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B852D3" w14:textId="77777777" w:rsidR="00FA58C1" w:rsidRDefault="00FA58C1" w:rsidP="00D12FEB">
      <w:pPr>
        <w:pStyle w:val="E3Title"/>
      </w:pPr>
      <w:r>
        <w:rPr>
          <w:noProof/>
          <w:lang w:eastAsia="en-AU"/>
        </w:rPr>
        <mc:AlternateContent>
          <mc:Choice Requires="wps">
            <w:drawing>
              <wp:inline distT="0" distB="0" distL="0" distR="0" wp14:anchorId="18B1A8D2" wp14:editId="72A65016">
                <wp:extent cx="6158865" cy="1717040"/>
                <wp:effectExtent l="0" t="0" r="0" b="10160"/>
                <wp:docPr id="1" name="Text Box 1"/>
                <wp:cNvGraphicFramePr/>
                <a:graphic xmlns:a="http://schemas.openxmlformats.org/drawingml/2006/main">
                  <a:graphicData uri="http://schemas.microsoft.com/office/word/2010/wordprocessingShape">
                    <wps:wsp>
                      <wps:cNvSpPr txBox="1"/>
                      <wps:spPr>
                        <a:xfrm>
                          <a:off x="0" y="0"/>
                          <a:ext cx="6158865" cy="171704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E0A995E" w14:textId="77777777" w:rsidR="00C22857" w:rsidRDefault="00C22857" w:rsidP="00FA58C1">
                            <w:pPr>
                              <w:pStyle w:val="E3Title"/>
                            </w:pPr>
                            <w:r>
                              <w:t>Decision RIS: Refrigerated display and storage cabinets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8B1A8D2" id="_x0000_t202" coordsize="21600,21600" o:spt="202" path="m,l,21600r21600,l21600,xe">
                <v:stroke joinstyle="miter"/>
                <v:path gradientshapeok="t" o:connecttype="rect"/>
              </v:shapetype>
              <v:shape id="Text Box 1" o:spid="_x0000_s1026" type="#_x0000_t202" style="width:484.95pt;height:1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" filled="f" stroked="f">
                <v:textbox>
                  <w:txbxContent>
                    <w:p w14:paraId="6E0A995E" w14:textId="77777777" w:rsidR="00C22857" w:rsidRDefault="00C22857" w:rsidP="00FA58C1">
                      <w:pPr>
                        <w:pStyle w:val="E3Title"/>
                      </w:pPr>
                      <w:r>
                        <w:t>Decision RIS: Refrigerated display and storage cabinets</w:t>
                      </w:r>
                    </w:p>
                  </w:txbxContent>
                </v:textbox>
                <w10:anchorlock/>
              </v:shape>
            </w:pict>
          </mc:Fallback>
        </mc:AlternateContent>
      </w:r>
    </w:p>
    <w:p w14:paraId="27AAA489" w14:textId="77777777" w:rsidR="00FA58C1" w:rsidRDefault="00FA58C1" w:rsidP="00ED5DCA">
      <w:pPr>
        <w:pStyle w:val="E3Subtitle"/>
      </w:pPr>
      <w:bookmarkStart w:id="0" w:name="_Toc297565335"/>
      <w:bookmarkStart w:id="1" w:name="_Toc297565841"/>
    </w:p>
    <w:p w14:paraId="5876D922" w14:textId="77777777" w:rsidR="00FA58C1" w:rsidRDefault="00FA58C1" w:rsidP="00ED5DCA">
      <w:pPr>
        <w:pStyle w:val="E3Subtitle"/>
      </w:pPr>
    </w:p>
    <w:p w14:paraId="6274E47C" w14:textId="77777777" w:rsidR="00FA58C1" w:rsidRDefault="00FA58C1" w:rsidP="00ED5DCA">
      <w:pPr>
        <w:pStyle w:val="E3Subtitle"/>
      </w:pPr>
    </w:p>
    <w:p w14:paraId="396E61E8" w14:textId="77777777" w:rsidR="00FA58C1" w:rsidRDefault="00FA58C1" w:rsidP="00ED5DCA">
      <w:pPr>
        <w:pStyle w:val="E3Subtitle"/>
      </w:pPr>
    </w:p>
    <w:p w14:paraId="5AAEDA98" w14:textId="77777777" w:rsidR="00FA58C1" w:rsidRDefault="00FA58C1" w:rsidP="00ED5DCA">
      <w:pPr>
        <w:pStyle w:val="E3Subtitle"/>
      </w:pPr>
    </w:p>
    <w:p w14:paraId="0104E6D8" w14:textId="77777777" w:rsidR="00FA58C1" w:rsidRDefault="00FA58C1" w:rsidP="00ED5DCA">
      <w:pPr>
        <w:pStyle w:val="E3Subtitle"/>
      </w:pPr>
    </w:p>
    <w:p w14:paraId="341895FB" w14:textId="77777777" w:rsidR="00FA58C1" w:rsidRDefault="00FA58C1" w:rsidP="00ED5DCA">
      <w:pPr>
        <w:pStyle w:val="E3Subtitle"/>
      </w:pPr>
    </w:p>
    <w:bookmarkEnd w:id="0"/>
    <w:bookmarkEnd w:id="1"/>
    <w:p w14:paraId="2E3E89CA" w14:textId="77777777" w:rsidR="00D14FB0" w:rsidRDefault="00FA58C1" w:rsidP="003C469D">
      <w:pPr>
        <w:pStyle w:val="E3InternalCoverPage"/>
      </w:pPr>
      <w:r>
        <w:rPr>
          <w:noProof/>
          <w:lang w:eastAsia="en-AU"/>
        </w:rPr>
        <mc:AlternateContent>
          <mc:Choice Requires="wps">
            <w:drawing>
              <wp:inline distT="0" distB="0" distL="0" distR="0" wp14:anchorId="715B46FD" wp14:editId="55BF406F">
                <wp:extent cx="5580380" cy="932943"/>
                <wp:effectExtent l="0" t="0" r="0" b="6985"/>
                <wp:docPr id="8" name="Text Box 8"/>
                <wp:cNvGraphicFramePr/>
                <a:graphic xmlns:a="http://schemas.openxmlformats.org/drawingml/2006/main">
                  <a:graphicData uri="http://schemas.microsoft.com/office/word/2010/wordprocessingShape">
                    <wps:wsp>
                      <wps:cNvSpPr txBox="1"/>
                      <wps:spPr>
                        <a:xfrm>
                          <a:off x="0" y="0"/>
                          <a:ext cx="5580380" cy="932943"/>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33B149C" w14:textId="77777777" w:rsidR="00C22857" w:rsidRDefault="00C22857" w:rsidP="00FA58C1">
                            <w:pPr>
                              <w:pStyle w:val="E3Subtitle"/>
                            </w:pPr>
                          </w:p>
                          <w:p w14:paraId="3C929584" w14:textId="33EAFFE2" w:rsidR="00C22857" w:rsidRDefault="00C22857" w:rsidP="00FA58C1">
                            <w:pPr>
                              <w:pStyle w:val="E3Subtitle"/>
                            </w:pPr>
                            <w:r>
                              <w:t>November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5B46FD" id="Text Box 8" o:spid="_x0000_s1027" type="#_x0000_t202" style="width:439.4pt;height:7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" filled="f" stroked="f">
                <v:textbox>
                  <w:txbxContent>
                    <w:p w14:paraId="733B149C" w14:textId="77777777" w:rsidR="00C22857" w:rsidRDefault="00C22857" w:rsidP="00FA58C1">
                      <w:pPr>
                        <w:pStyle w:val="E3Subtitle"/>
                      </w:pPr>
                    </w:p>
                    <w:p w14:paraId="3C929584" w14:textId="33EAFFE2" w:rsidR="00C22857" w:rsidRDefault="00C22857" w:rsidP="00FA58C1">
                      <w:pPr>
                        <w:pStyle w:val="E3Subtitle"/>
                      </w:pPr>
                      <w:r>
                        <w:t>November 2017</w:t>
                      </w:r>
                    </w:p>
                  </w:txbxContent>
                </v:textbox>
                <w10:anchorlock/>
              </v:shape>
            </w:pict>
          </mc:Fallback>
        </mc:AlternateContent>
      </w:r>
    </w:p>
    <w:p w14:paraId="5E7EB1B5" w14:textId="77777777" w:rsidR="00D14FB0" w:rsidRDefault="00D14FB0" w:rsidP="003C469D">
      <w:pPr>
        <w:pStyle w:val="E3InternalCoverPage"/>
        <w:rPr>
          <w:rFonts w:ascii="Helvetica" w:hAnsi="Helvetica"/>
          <w:b/>
          <w:sz w:val="24"/>
        </w:rPr>
      </w:pPr>
      <w:r>
        <w:br w:type="page"/>
      </w:r>
    </w:p>
    <w:p w14:paraId="4FE2DD67" w14:textId="77777777" w:rsidR="00823F42" w:rsidRPr="00AD73FE" w:rsidRDefault="00823F42" w:rsidP="003C469D">
      <w:pPr>
        <w:pStyle w:val="E3InternalCoverPage"/>
        <w:sectPr w:rsidR="00823F42" w:rsidRPr="00AD73FE" w:rsidSect="00FA58C1">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6237" w:right="1134" w:bottom="1418" w:left="1985" w:header="709" w:footer="492" w:gutter="0"/>
          <w:cols w:space="720"/>
          <w:titlePg/>
          <w:docGrid w:linePitch="360"/>
        </w:sectPr>
      </w:pPr>
    </w:p>
    <w:p w14:paraId="4D549BD9" w14:textId="77777777" w:rsidR="009F17F9" w:rsidRPr="008A1098" w:rsidRDefault="009F17F9" w:rsidP="003C469D">
      <w:pPr>
        <w:pStyle w:val="E3InternalCoverPage"/>
      </w:pPr>
    </w:p>
    <w:p w14:paraId="41EBAF18" w14:textId="77777777" w:rsidR="009F17F9" w:rsidRPr="00A05D5E" w:rsidRDefault="009F17F9" w:rsidP="003C469D">
      <w:pPr>
        <w:pStyle w:val="E3InternalCoverPage"/>
      </w:pPr>
      <w:r w:rsidRPr="00A05D5E">
        <w:t xml:space="preserve">This work is licensed under the Creative Commons Attribution 3.0 Australia Licence. To view a copy of </w:t>
      </w:r>
      <w:r w:rsidR="00A05D5E">
        <w:br/>
      </w:r>
      <w:r w:rsidRPr="00A05D5E">
        <w:t xml:space="preserve">this license, visit </w:t>
      </w:r>
      <w:hyperlink r:id="rId14" w:history="1">
        <w:r w:rsidR="006D2C3A" w:rsidRPr="00A05D5E">
          <w:rPr>
            <w:rStyle w:val="Hyperlink"/>
          </w:rPr>
          <w:t>the creative commons website.</w:t>
        </w:r>
      </w:hyperlink>
    </w:p>
    <w:p w14:paraId="09A90EB4" w14:textId="77777777" w:rsidR="009F17F9" w:rsidRPr="00A05D5E" w:rsidRDefault="009F17F9" w:rsidP="003C469D">
      <w:pPr>
        <w:pStyle w:val="E3InternalCoverPage"/>
      </w:pPr>
    </w:p>
    <w:p w14:paraId="35A5C0D8" w14:textId="0EAAFE7C" w:rsidR="009F17F9" w:rsidRPr="00A05D5E" w:rsidRDefault="002B403B" w:rsidP="003C469D">
      <w:pPr>
        <w:pStyle w:val="E3InternalCoverPage"/>
      </w:pPr>
      <w:r>
        <w:t xml:space="preserve">The </w:t>
      </w:r>
      <w:r w:rsidR="009F17F9" w:rsidRPr="00A05D5E">
        <w:t xml:space="preserve">Department of </w:t>
      </w:r>
      <w:r>
        <w:t>the Environment and Energy</w:t>
      </w:r>
      <w:r w:rsidR="009F17F9" w:rsidRPr="00A05D5E">
        <w:t xml:space="preserve"> on behalf of the Equipment Energy Efficiency Program asserts the right to be recognised as author of the original material in the following manner: </w:t>
      </w:r>
    </w:p>
    <w:p w14:paraId="32E3F3D0" w14:textId="77777777" w:rsidR="009F17F9" w:rsidRPr="00A05D5E" w:rsidRDefault="009F17F9" w:rsidP="003C469D">
      <w:pPr>
        <w:pStyle w:val="E3InternalCoverPage"/>
      </w:pPr>
      <w:r w:rsidRPr="00A05D5E">
        <w:rPr>
          <w:noProof/>
          <w:lang w:eastAsia="en-AU"/>
        </w:rPr>
        <w:drawing>
          <wp:inline distT="0" distB="0" distL="0" distR="0" wp14:anchorId="2517CB27" wp14:editId="1CD94F11">
            <wp:extent cx="1746885" cy="328295"/>
            <wp:effectExtent l="0" t="0" r="5715" b="1905"/>
            <wp:docPr id="5" name="Picture 4" title="Creative Commons Licensing -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6885" cy="328295"/>
                    </a:xfrm>
                    <a:prstGeom prst="rect">
                      <a:avLst/>
                    </a:prstGeom>
                    <a:noFill/>
                    <a:ln>
                      <a:noFill/>
                    </a:ln>
                  </pic:spPr>
                </pic:pic>
              </a:graphicData>
            </a:graphic>
          </wp:inline>
        </w:drawing>
      </w:r>
    </w:p>
    <w:p w14:paraId="6E0D4821" w14:textId="77777777" w:rsidR="009F17F9" w:rsidRPr="00A05D5E" w:rsidRDefault="009F17F9" w:rsidP="003C469D">
      <w:pPr>
        <w:pStyle w:val="E3InternalCoverPage"/>
      </w:pPr>
    </w:p>
    <w:p w14:paraId="05D9010E" w14:textId="7152BD40" w:rsidR="009F17F9" w:rsidRPr="00A05D5E" w:rsidRDefault="009F17F9" w:rsidP="00E10F09">
      <w:pPr>
        <w:pStyle w:val="E3InternalCoverPage"/>
      </w:pPr>
      <w:r w:rsidRPr="00A05D5E">
        <w:t xml:space="preserve">© Commonwealth of Australia (Department of </w:t>
      </w:r>
      <w:r w:rsidR="002B403B">
        <w:t>the Environment and Energy</w:t>
      </w:r>
      <w:r w:rsidRPr="00A05D5E">
        <w:t xml:space="preserve">) </w:t>
      </w:r>
      <w:r w:rsidRPr="00A05D5E">
        <w:fldChar w:fldCharType="begin"/>
      </w:r>
      <w:r w:rsidRPr="00A05D5E">
        <w:instrText xml:space="preserve"> DATE \@ "yyyy" \* MERGEFORMAT </w:instrText>
      </w:r>
      <w:r w:rsidRPr="00A05D5E">
        <w:fldChar w:fldCharType="separate"/>
      </w:r>
      <w:r w:rsidR="00D51B4B">
        <w:rPr>
          <w:noProof/>
        </w:rPr>
        <w:t>2017</w:t>
      </w:r>
      <w:r w:rsidRPr="00A05D5E">
        <w:fldChar w:fldCharType="end"/>
      </w:r>
      <w:r w:rsidRPr="00A05D5E">
        <w:t>.The material in this publication is provided for general information only, and on the understanding that the Australian Government is providing professional advice. Before any action or decision is taken on the basis of this material the reader should obtain appropriate independent professional advice.</w:t>
      </w:r>
    </w:p>
    <w:p w14:paraId="710A35EC" w14:textId="77777777" w:rsidR="009F17F9" w:rsidRPr="00A05D5E" w:rsidRDefault="009F17F9" w:rsidP="003C469D">
      <w:pPr>
        <w:pStyle w:val="E3InternalCoverPage"/>
        <w:ind w:right="3969"/>
      </w:pPr>
    </w:p>
    <w:p w14:paraId="2FC395A6" w14:textId="24C1E2ED" w:rsidR="009F17F9" w:rsidRPr="00A05D5E" w:rsidRDefault="009F17F9" w:rsidP="003C469D">
      <w:pPr>
        <w:pStyle w:val="E3InternalCoverPage"/>
        <w:ind w:right="3969"/>
      </w:pPr>
      <w:r w:rsidRPr="00A05D5E">
        <w:t>This document is available at</w:t>
      </w:r>
      <w:hyperlink r:id="rId16" w:history="1">
        <w:r w:rsidR="00120A42">
          <w:rPr>
            <w:rStyle w:val="Hyperlink"/>
            <w:u w:val="none"/>
          </w:rPr>
          <w:t xml:space="preserve"> </w:t>
        </w:r>
        <w:r w:rsidR="006D2C3A" w:rsidRPr="00A05D5E">
          <w:rPr>
            <w:rStyle w:val="Hyperlink"/>
          </w:rPr>
          <w:t>the Energy Rating website.</w:t>
        </w:r>
      </w:hyperlink>
    </w:p>
    <w:p w14:paraId="7D50BEF8" w14:textId="77777777" w:rsidR="009F17F9" w:rsidRPr="00A05D5E" w:rsidRDefault="009F17F9" w:rsidP="003C469D">
      <w:pPr>
        <w:pStyle w:val="E3InternalCoverPage"/>
        <w:ind w:right="3969"/>
      </w:pPr>
    </w:p>
    <w:p w14:paraId="52AD1B39" w14:textId="77777777" w:rsidR="00A37E0E" w:rsidRPr="003C469D" w:rsidRDefault="009F17F9" w:rsidP="003C469D">
      <w:pPr>
        <w:pStyle w:val="E3InternalCoverPage"/>
        <w:sectPr w:rsidR="00A37E0E" w:rsidRPr="003C469D" w:rsidSect="00CA6FCF">
          <w:headerReference w:type="first" r:id="rId17"/>
          <w:footerReference w:type="first" r:id="rId18"/>
          <w:pgSz w:w="11907" w:h="16840" w:code="9"/>
          <w:pgMar w:top="1134" w:right="1134" w:bottom="1418" w:left="1134" w:header="709" w:footer="709" w:gutter="0"/>
          <w:pgNumType w:start="0"/>
          <w:cols w:space="720"/>
          <w:titlePg/>
          <w:docGrid w:linePitch="360"/>
        </w:sectPr>
      </w:pPr>
      <w:r w:rsidRPr="003C469D">
        <w:t>While reasonable efforts have been made to ensure that the contents of this publication are factually correct, E3 does not accept responsibility for the accuracy or completeness of the content, and shall not be liable for any loss or damage that may be occasioned directly or indirectly through the use of, or reliance on, the contents of this publication.</w:t>
      </w:r>
      <w:r w:rsidR="00D14FB0" w:rsidRPr="003C469D">
        <w:t xml:space="preserve"> </w:t>
      </w:r>
    </w:p>
    <w:p w14:paraId="55FA2C34" w14:textId="77777777" w:rsidR="00D56F30" w:rsidRDefault="003C469D" w:rsidP="003C469D">
      <w:pPr>
        <w:pStyle w:val="E3ChapterTitle"/>
      </w:pPr>
      <w:bookmarkStart w:id="2" w:name="_Toc500151772"/>
      <w:r>
        <w:lastRenderedPageBreak/>
        <w:t>Contents</w:t>
      </w:r>
      <w:bookmarkEnd w:id="2"/>
    </w:p>
    <w:p w14:paraId="4B54D30D" w14:textId="77777777" w:rsidR="00B06BCA" w:rsidRDefault="005A16D8">
      <w:pPr>
        <w:pStyle w:val="TOC1"/>
        <w:rPr>
          <w:rFonts w:asciiTheme="minorHAnsi" w:eastAsiaTheme="minorEastAsia" w:hAnsiTheme="minorHAnsi" w:cstheme="minorBidi"/>
          <w:b w:val="0"/>
          <w:caps w:val="0"/>
          <w:noProof/>
          <w:color w:val="auto"/>
          <w:sz w:val="22"/>
          <w:szCs w:val="22"/>
          <w:lang w:val="en-AU" w:eastAsia="en-AU"/>
        </w:rPr>
      </w:pPr>
      <w:r>
        <w:fldChar w:fldCharType="begin"/>
      </w:r>
      <w:r>
        <w:instrText xml:space="preserve"> TOC \f \t "Heading 1,2,Heading 2,3,Heading 3,4,E3 Chapter Title,1,E3 Heading 1,2,E3 Heading 2,3,E3 Heading 3,4,Title,1,E3 TOC Title,1,Back Cover Title,1" </w:instrText>
      </w:r>
      <w:r>
        <w:fldChar w:fldCharType="separate"/>
      </w:r>
      <w:r w:rsidR="00B06BCA">
        <w:rPr>
          <w:noProof/>
        </w:rPr>
        <w:t>Contents</w:t>
      </w:r>
      <w:r w:rsidR="00B06BCA">
        <w:rPr>
          <w:noProof/>
        </w:rPr>
        <w:tab/>
      </w:r>
      <w:r w:rsidR="00B06BCA">
        <w:rPr>
          <w:noProof/>
        </w:rPr>
        <w:fldChar w:fldCharType="begin"/>
      </w:r>
      <w:r w:rsidR="00B06BCA">
        <w:rPr>
          <w:noProof/>
        </w:rPr>
        <w:instrText xml:space="preserve"> PAGEREF _Toc500151772 \h </w:instrText>
      </w:r>
      <w:r w:rsidR="00B06BCA">
        <w:rPr>
          <w:noProof/>
        </w:rPr>
      </w:r>
      <w:r w:rsidR="00B06BCA">
        <w:rPr>
          <w:noProof/>
        </w:rPr>
        <w:fldChar w:fldCharType="separate"/>
      </w:r>
      <w:r w:rsidR="00D51B4B">
        <w:rPr>
          <w:noProof/>
        </w:rPr>
        <w:t>1</w:t>
      </w:r>
      <w:r w:rsidR="00B06BCA">
        <w:rPr>
          <w:noProof/>
        </w:rPr>
        <w:fldChar w:fldCharType="end"/>
      </w:r>
    </w:p>
    <w:p w14:paraId="103177D6" w14:textId="77777777" w:rsidR="00B06BCA" w:rsidRDefault="00B06BCA">
      <w:pPr>
        <w:pStyle w:val="TOC1"/>
        <w:rPr>
          <w:rFonts w:asciiTheme="minorHAnsi" w:eastAsiaTheme="minorEastAsia" w:hAnsiTheme="minorHAnsi" w:cstheme="minorBidi"/>
          <w:b w:val="0"/>
          <w:caps w:val="0"/>
          <w:noProof/>
          <w:color w:val="auto"/>
          <w:sz w:val="22"/>
          <w:szCs w:val="22"/>
          <w:lang w:val="en-AU" w:eastAsia="en-AU"/>
        </w:rPr>
      </w:pPr>
      <w:r>
        <w:rPr>
          <w:noProof/>
        </w:rPr>
        <w:t>Glossary</w:t>
      </w:r>
      <w:r>
        <w:rPr>
          <w:noProof/>
        </w:rPr>
        <w:tab/>
      </w:r>
      <w:r>
        <w:rPr>
          <w:noProof/>
        </w:rPr>
        <w:fldChar w:fldCharType="begin"/>
      </w:r>
      <w:r>
        <w:rPr>
          <w:noProof/>
        </w:rPr>
        <w:instrText xml:space="preserve"> PAGEREF _Toc500151773 \h </w:instrText>
      </w:r>
      <w:r>
        <w:rPr>
          <w:noProof/>
        </w:rPr>
      </w:r>
      <w:r>
        <w:rPr>
          <w:noProof/>
        </w:rPr>
        <w:fldChar w:fldCharType="separate"/>
      </w:r>
      <w:r w:rsidR="00D51B4B">
        <w:rPr>
          <w:noProof/>
        </w:rPr>
        <w:t>6</w:t>
      </w:r>
      <w:r>
        <w:rPr>
          <w:noProof/>
        </w:rPr>
        <w:fldChar w:fldCharType="end"/>
      </w:r>
    </w:p>
    <w:p w14:paraId="54CF059D" w14:textId="77777777" w:rsidR="00B06BCA" w:rsidRDefault="00B06BCA">
      <w:pPr>
        <w:pStyle w:val="TOC1"/>
        <w:rPr>
          <w:rFonts w:asciiTheme="minorHAnsi" w:eastAsiaTheme="minorEastAsia" w:hAnsiTheme="minorHAnsi" w:cstheme="minorBidi"/>
          <w:b w:val="0"/>
          <w:caps w:val="0"/>
          <w:noProof/>
          <w:color w:val="auto"/>
          <w:sz w:val="22"/>
          <w:szCs w:val="22"/>
          <w:lang w:val="en-AU" w:eastAsia="en-AU"/>
        </w:rPr>
      </w:pPr>
      <w:r>
        <w:rPr>
          <w:noProof/>
        </w:rPr>
        <w:t>Executive Summary</w:t>
      </w:r>
      <w:r>
        <w:rPr>
          <w:noProof/>
        </w:rPr>
        <w:tab/>
      </w:r>
      <w:r>
        <w:rPr>
          <w:noProof/>
        </w:rPr>
        <w:fldChar w:fldCharType="begin"/>
      </w:r>
      <w:r>
        <w:rPr>
          <w:noProof/>
        </w:rPr>
        <w:instrText xml:space="preserve"> PAGEREF _Toc500151774 \h </w:instrText>
      </w:r>
      <w:r>
        <w:rPr>
          <w:noProof/>
        </w:rPr>
      </w:r>
      <w:r>
        <w:rPr>
          <w:noProof/>
        </w:rPr>
        <w:fldChar w:fldCharType="separate"/>
      </w:r>
      <w:r w:rsidR="00D51B4B">
        <w:rPr>
          <w:noProof/>
        </w:rPr>
        <w:t>1</w:t>
      </w:r>
      <w:r>
        <w:rPr>
          <w:noProof/>
        </w:rPr>
        <w:fldChar w:fldCharType="end"/>
      </w:r>
    </w:p>
    <w:p w14:paraId="25172CB5"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Background</w:t>
      </w:r>
      <w:r>
        <w:rPr>
          <w:noProof/>
        </w:rPr>
        <w:tab/>
      </w:r>
      <w:r>
        <w:rPr>
          <w:noProof/>
        </w:rPr>
        <w:fldChar w:fldCharType="begin"/>
      </w:r>
      <w:r>
        <w:rPr>
          <w:noProof/>
        </w:rPr>
        <w:instrText xml:space="preserve"> PAGEREF _Toc500151775 \h </w:instrText>
      </w:r>
      <w:r>
        <w:rPr>
          <w:noProof/>
        </w:rPr>
      </w:r>
      <w:r>
        <w:rPr>
          <w:noProof/>
        </w:rPr>
        <w:fldChar w:fldCharType="separate"/>
      </w:r>
      <w:r w:rsidR="00D51B4B">
        <w:rPr>
          <w:noProof/>
        </w:rPr>
        <w:t>1</w:t>
      </w:r>
      <w:r>
        <w:rPr>
          <w:noProof/>
        </w:rPr>
        <w:fldChar w:fldCharType="end"/>
      </w:r>
    </w:p>
    <w:p w14:paraId="051AD8F9"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Problem</w:t>
      </w:r>
      <w:r>
        <w:rPr>
          <w:noProof/>
        </w:rPr>
        <w:tab/>
      </w:r>
      <w:r>
        <w:rPr>
          <w:noProof/>
        </w:rPr>
        <w:fldChar w:fldCharType="begin"/>
      </w:r>
      <w:r>
        <w:rPr>
          <w:noProof/>
        </w:rPr>
        <w:instrText xml:space="preserve"> PAGEREF _Toc500151776 \h </w:instrText>
      </w:r>
      <w:r>
        <w:rPr>
          <w:noProof/>
        </w:rPr>
      </w:r>
      <w:r>
        <w:rPr>
          <w:noProof/>
        </w:rPr>
        <w:fldChar w:fldCharType="separate"/>
      </w:r>
      <w:r w:rsidR="00D51B4B">
        <w:rPr>
          <w:noProof/>
        </w:rPr>
        <w:t>8</w:t>
      </w:r>
      <w:r>
        <w:rPr>
          <w:noProof/>
        </w:rPr>
        <w:fldChar w:fldCharType="end"/>
      </w:r>
    </w:p>
    <w:p w14:paraId="72028B4A"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Objective</w:t>
      </w:r>
      <w:r>
        <w:rPr>
          <w:noProof/>
        </w:rPr>
        <w:tab/>
      </w:r>
      <w:r>
        <w:rPr>
          <w:noProof/>
        </w:rPr>
        <w:fldChar w:fldCharType="begin"/>
      </w:r>
      <w:r>
        <w:rPr>
          <w:noProof/>
        </w:rPr>
        <w:instrText xml:space="preserve"> PAGEREF _Toc500151777 \h </w:instrText>
      </w:r>
      <w:r>
        <w:rPr>
          <w:noProof/>
        </w:rPr>
      </w:r>
      <w:r>
        <w:rPr>
          <w:noProof/>
        </w:rPr>
        <w:fldChar w:fldCharType="separate"/>
      </w:r>
      <w:r w:rsidR="00D51B4B">
        <w:rPr>
          <w:noProof/>
        </w:rPr>
        <w:t>9</w:t>
      </w:r>
      <w:r>
        <w:rPr>
          <w:noProof/>
        </w:rPr>
        <w:fldChar w:fldCharType="end"/>
      </w:r>
    </w:p>
    <w:p w14:paraId="66A696FB"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Policy options</w:t>
      </w:r>
      <w:r>
        <w:rPr>
          <w:noProof/>
        </w:rPr>
        <w:tab/>
      </w:r>
      <w:r>
        <w:rPr>
          <w:noProof/>
        </w:rPr>
        <w:fldChar w:fldCharType="begin"/>
      </w:r>
      <w:r>
        <w:rPr>
          <w:noProof/>
        </w:rPr>
        <w:instrText xml:space="preserve"> PAGEREF _Toc500151778 \h </w:instrText>
      </w:r>
      <w:r>
        <w:rPr>
          <w:noProof/>
        </w:rPr>
      </w:r>
      <w:r>
        <w:rPr>
          <w:noProof/>
        </w:rPr>
        <w:fldChar w:fldCharType="separate"/>
      </w:r>
      <w:r w:rsidR="00D51B4B">
        <w:rPr>
          <w:noProof/>
        </w:rPr>
        <w:t>9</w:t>
      </w:r>
      <w:r>
        <w:rPr>
          <w:noProof/>
        </w:rPr>
        <w:fldChar w:fldCharType="end"/>
      </w:r>
    </w:p>
    <w:p w14:paraId="1FFB1A30"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Costs and Benefits</w:t>
      </w:r>
      <w:r>
        <w:rPr>
          <w:noProof/>
        </w:rPr>
        <w:tab/>
      </w:r>
      <w:r>
        <w:rPr>
          <w:noProof/>
        </w:rPr>
        <w:fldChar w:fldCharType="begin"/>
      </w:r>
      <w:r>
        <w:rPr>
          <w:noProof/>
        </w:rPr>
        <w:instrText xml:space="preserve"> PAGEREF _Toc500151779 \h </w:instrText>
      </w:r>
      <w:r>
        <w:rPr>
          <w:noProof/>
        </w:rPr>
      </w:r>
      <w:r>
        <w:rPr>
          <w:noProof/>
        </w:rPr>
        <w:fldChar w:fldCharType="separate"/>
      </w:r>
      <w:r w:rsidR="00D51B4B">
        <w:rPr>
          <w:noProof/>
        </w:rPr>
        <w:t>11</w:t>
      </w:r>
      <w:r>
        <w:rPr>
          <w:noProof/>
        </w:rPr>
        <w:fldChar w:fldCharType="end"/>
      </w:r>
    </w:p>
    <w:p w14:paraId="7F2878B4"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Consultation</w:t>
      </w:r>
      <w:r>
        <w:rPr>
          <w:noProof/>
        </w:rPr>
        <w:tab/>
      </w:r>
      <w:r>
        <w:rPr>
          <w:noProof/>
        </w:rPr>
        <w:fldChar w:fldCharType="begin"/>
      </w:r>
      <w:r>
        <w:rPr>
          <w:noProof/>
        </w:rPr>
        <w:instrText xml:space="preserve"> PAGEREF _Toc500151780 \h </w:instrText>
      </w:r>
      <w:r>
        <w:rPr>
          <w:noProof/>
        </w:rPr>
      </w:r>
      <w:r>
        <w:rPr>
          <w:noProof/>
        </w:rPr>
        <w:fldChar w:fldCharType="separate"/>
      </w:r>
      <w:r w:rsidR="00D51B4B">
        <w:rPr>
          <w:noProof/>
        </w:rPr>
        <w:t>13</w:t>
      </w:r>
      <w:r>
        <w:rPr>
          <w:noProof/>
        </w:rPr>
        <w:fldChar w:fldCharType="end"/>
      </w:r>
    </w:p>
    <w:p w14:paraId="4EAB865A"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Conclusion</w:t>
      </w:r>
      <w:r>
        <w:rPr>
          <w:noProof/>
        </w:rPr>
        <w:tab/>
      </w:r>
      <w:r>
        <w:rPr>
          <w:noProof/>
        </w:rPr>
        <w:fldChar w:fldCharType="begin"/>
      </w:r>
      <w:r>
        <w:rPr>
          <w:noProof/>
        </w:rPr>
        <w:instrText xml:space="preserve"> PAGEREF _Toc500151781 \h </w:instrText>
      </w:r>
      <w:r>
        <w:rPr>
          <w:noProof/>
        </w:rPr>
      </w:r>
      <w:r>
        <w:rPr>
          <w:noProof/>
        </w:rPr>
        <w:fldChar w:fldCharType="separate"/>
      </w:r>
      <w:r w:rsidR="00D51B4B">
        <w:rPr>
          <w:noProof/>
        </w:rPr>
        <w:t>14</w:t>
      </w:r>
      <w:r>
        <w:rPr>
          <w:noProof/>
        </w:rPr>
        <w:fldChar w:fldCharType="end"/>
      </w:r>
    </w:p>
    <w:p w14:paraId="254E195E" w14:textId="77777777" w:rsidR="00B06BCA" w:rsidRDefault="00B06BCA">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1.</w:t>
      </w:r>
      <w:r>
        <w:rPr>
          <w:rFonts w:asciiTheme="minorHAnsi" w:eastAsiaTheme="minorEastAsia" w:hAnsiTheme="minorHAnsi" w:cstheme="minorBidi"/>
          <w:b w:val="0"/>
          <w:caps w:val="0"/>
          <w:noProof/>
          <w:color w:val="auto"/>
          <w:sz w:val="22"/>
          <w:szCs w:val="22"/>
          <w:lang w:val="en-AU" w:eastAsia="en-AU"/>
        </w:rPr>
        <w:tab/>
      </w:r>
      <w:r>
        <w:rPr>
          <w:noProof/>
        </w:rPr>
        <w:t>Introduction</w:t>
      </w:r>
      <w:r>
        <w:rPr>
          <w:noProof/>
        </w:rPr>
        <w:tab/>
      </w:r>
      <w:r>
        <w:rPr>
          <w:noProof/>
        </w:rPr>
        <w:fldChar w:fldCharType="begin"/>
      </w:r>
      <w:r>
        <w:rPr>
          <w:noProof/>
        </w:rPr>
        <w:instrText xml:space="preserve"> PAGEREF _Toc500151782 \h </w:instrText>
      </w:r>
      <w:r>
        <w:rPr>
          <w:noProof/>
        </w:rPr>
      </w:r>
      <w:r>
        <w:rPr>
          <w:noProof/>
        </w:rPr>
        <w:fldChar w:fldCharType="separate"/>
      </w:r>
      <w:r w:rsidR="00D51B4B">
        <w:rPr>
          <w:noProof/>
        </w:rPr>
        <w:t>16</w:t>
      </w:r>
      <w:r>
        <w:rPr>
          <w:noProof/>
        </w:rPr>
        <w:fldChar w:fldCharType="end"/>
      </w:r>
    </w:p>
    <w:p w14:paraId="402FE97D" w14:textId="77777777" w:rsidR="00B06BCA" w:rsidRDefault="00B06BCA">
      <w:pPr>
        <w:pStyle w:val="TOC2"/>
        <w:tabs>
          <w:tab w:val="right" w:leader="dot" w:pos="9629"/>
        </w:tabs>
        <w:rPr>
          <w:rFonts w:asciiTheme="minorHAnsi" w:eastAsiaTheme="minorEastAsia" w:hAnsiTheme="minorHAnsi" w:cstheme="minorBidi"/>
          <w:noProof/>
          <w:color w:val="auto"/>
          <w:sz w:val="22"/>
          <w:lang w:val="en-AU" w:eastAsia="en-AU"/>
        </w:rPr>
      </w:pPr>
      <w:r w:rsidRPr="0070021A">
        <w:rPr>
          <w:rFonts w:cs="Arial"/>
          <w:noProof/>
          <w:color w:val="000000" w:themeColor="text1"/>
        </w:rPr>
        <w:t>Refrigerated commercial cabinets</w:t>
      </w:r>
      <w:r>
        <w:rPr>
          <w:noProof/>
        </w:rPr>
        <w:tab/>
      </w:r>
      <w:r>
        <w:rPr>
          <w:noProof/>
        </w:rPr>
        <w:fldChar w:fldCharType="begin"/>
      </w:r>
      <w:r>
        <w:rPr>
          <w:noProof/>
        </w:rPr>
        <w:instrText xml:space="preserve"> PAGEREF _Toc500151783 \h </w:instrText>
      </w:r>
      <w:r>
        <w:rPr>
          <w:noProof/>
        </w:rPr>
      </w:r>
      <w:r>
        <w:rPr>
          <w:noProof/>
        </w:rPr>
        <w:fldChar w:fldCharType="separate"/>
      </w:r>
      <w:r w:rsidR="00D51B4B">
        <w:rPr>
          <w:noProof/>
        </w:rPr>
        <w:t>16</w:t>
      </w:r>
      <w:r>
        <w:rPr>
          <w:noProof/>
        </w:rPr>
        <w:fldChar w:fldCharType="end"/>
      </w:r>
    </w:p>
    <w:p w14:paraId="091D3F0C" w14:textId="77777777" w:rsidR="00B06BCA" w:rsidRDefault="00B06BCA">
      <w:pPr>
        <w:pStyle w:val="TOC2"/>
        <w:tabs>
          <w:tab w:val="right" w:leader="dot" w:pos="9629"/>
        </w:tabs>
        <w:rPr>
          <w:rFonts w:asciiTheme="minorHAnsi" w:eastAsiaTheme="minorEastAsia" w:hAnsiTheme="minorHAnsi" w:cstheme="minorBidi"/>
          <w:noProof/>
          <w:color w:val="auto"/>
          <w:sz w:val="22"/>
          <w:lang w:val="en-AU" w:eastAsia="en-AU"/>
        </w:rPr>
      </w:pPr>
      <w:r w:rsidRPr="0070021A">
        <w:rPr>
          <w:rFonts w:cs="Arial"/>
          <w:noProof/>
          <w:color w:val="000000" w:themeColor="text1"/>
        </w:rPr>
        <w:t>The Market</w:t>
      </w:r>
      <w:r>
        <w:rPr>
          <w:noProof/>
        </w:rPr>
        <w:tab/>
      </w:r>
      <w:r>
        <w:rPr>
          <w:noProof/>
        </w:rPr>
        <w:fldChar w:fldCharType="begin"/>
      </w:r>
      <w:r>
        <w:rPr>
          <w:noProof/>
        </w:rPr>
        <w:instrText xml:space="preserve"> PAGEREF _Toc500151784 \h </w:instrText>
      </w:r>
      <w:r>
        <w:rPr>
          <w:noProof/>
        </w:rPr>
      </w:r>
      <w:r>
        <w:rPr>
          <w:noProof/>
        </w:rPr>
        <w:fldChar w:fldCharType="separate"/>
      </w:r>
      <w:r w:rsidR="00D51B4B">
        <w:rPr>
          <w:noProof/>
        </w:rPr>
        <w:t>19</w:t>
      </w:r>
      <w:r>
        <w:rPr>
          <w:noProof/>
        </w:rPr>
        <w:fldChar w:fldCharType="end"/>
      </w:r>
    </w:p>
    <w:p w14:paraId="420872A5"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New Zealand market sales, stock and applications</w:t>
      </w:r>
      <w:r>
        <w:rPr>
          <w:noProof/>
        </w:rPr>
        <w:tab/>
      </w:r>
      <w:r>
        <w:rPr>
          <w:noProof/>
        </w:rPr>
        <w:fldChar w:fldCharType="begin"/>
      </w:r>
      <w:r>
        <w:rPr>
          <w:noProof/>
        </w:rPr>
        <w:instrText xml:space="preserve"> PAGEREF _Toc500151785 \h </w:instrText>
      </w:r>
      <w:r>
        <w:rPr>
          <w:noProof/>
        </w:rPr>
      </w:r>
      <w:r>
        <w:rPr>
          <w:noProof/>
        </w:rPr>
        <w:fldChar w:fldCharType="separate"/>
      </w:r>
      <w:r w:rsidR="00D51B4B">
        <w:rPr>
          <w:noProof/>
        </w:rPr>
        <w:t>24</w:t>
      </w:r>
      <w:r>
        <w:rPr>
          <w:noProof/>
        </w:rPr>
        <w:fldChar w:fldCharType="end"/>
      </w:r>
    </w:p>
    <w:p w14:paraId="59230220"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Current regulations and requirements</w:t>
      </w:r>
      <w:r>
        <w:rPr>
          <w:noProof/>
        </w:rPr>
        <w:tab/>
      </w:r>
      <w:r>
        <w:rPr>
          <w:noProof/>
        </w:rPr>
        <w:fldChar w:fldCharType="begin"/>
      </w:r>
      <w:r>
        <w:rPr>
          <w:noProof/>
        </w:rPr>
        <w:instrText xml:space="preserve"> PAGEREF _Toc500151786 \h </w:instrText>
      </w:r>
      <w:r>
        <w:rPr>
          <w:noProof/>
        </w:rPr>
      </w:r>
      <w:r>
        <w:rPr>
          <w:noProof/>
        </w:rPr>
        <w:fldChar w:fldCharType="separate"/>
      </w:r>
      <w:r w:rsidR="00D51B4B">
        <w:rPr>
          <w:noProof/>
        </w:rPr>
        <w:t>26</w:t>
      </w:r>
      <w:r>
        <w:rPr>
          <w:noProof/>
        </w:rPr>
        <w:fldChar w:fldCharType="end"/>
      </w:r>
    </w:p>
    <w:p w14:paraId="2F156BD4"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Policy context</w:t>
      </w:r>
      <w:r>
        <w:rPr>
          <w:noProof/>
        </w:rPr>
        <w:tab/>
      </w:r>
      <w:r>
        <w:rPr>
          <w:noProof/>
        </w:rPr>
        <w:fldChar w:fldCharType="begin"/>
      </w:r>
      <w:r>
        <w:rPr>
          <w:noProof/>
        </w:rPr>
        <w:instrText xml:space="preserve"> PAGEREF _Toc500151787 \h </w:instrText>
      </w:r>
      <w:r>
        <w:rPr>
          <w:noProof/>
        </w:rPr>
      </w:r>
      <w:r>
        <w:rPr>
          <w:noProof/>
        </w:rPr>
        <w:fldChar w:fldCharType="separate"/>
      </w:r>
      <w:r w:rsidR="00D51B4B">
        <w:rPr>
          <w:noProof/>
        </w:rPr>
        <w:t>28</w:t>
      </w:r>
      <w:r>
        <w:rPr>
          <w:noProof/>
        </w:rPr>
        <w:fldChar w:fldCharType="end"/>
      </w:r>
    </w:p>
    <w:p w14:paraId="63D67490" w14:textId="77777777" w:rsidR="00B06BCA" w:rsidRDefault="00B06BCA">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2.</w:t>
      </w:r>
      <w:r>
        <w:rPr>
          <w:rFonts w:asciiTheme="minorHAnsi" w:eastAsiaTheme="minorEastAsia" w:hAnsiTheme="minorHAnsi" w:cstheme="minorBidi"/>
          <w:b w:val="0"/>
          <w:caps w:val="0"/>
          <w:noProof/>
          <w:color w:val="auto"/>
          <w:sz w:val="22"/>
          <w:szCs w:val="22"/>
          <w:lang w:val="en-AU" w:eastAsia="en-AU"/>
        </w:rPr>
        <w:tab/>
      </w:r>
      <w:r>
        <w:rPr>
          <w:noProof/>
        </w:rPr>
        <w:t>The Problem</w:t>
      </w:r>
      <w:r>
        <w:rPr>
          <w:noProof/>
        </w:rPr>
        <w:tab/>
      </w:r>
      <w:r>
        <w:rPr>
          <w:noProof/>
        </w:rPr>
        <w:fldChar w:fldCharType="begin"/>
      </w:r>
      <w:r>
        <w:rPr>
          <w:noProof/>
        </w:rPr>
        <w:instrText xml:space="preserve"> PAGEREF _Toc500151788 \h </w:instrText>
      </w:r>
      <w:r>
        <w:rPr>
          <w:noProof/>
        </w:rPr>
      </w:r>
      <w:r>
        <w:rPr>
          <w:noProof/>
        </w:rPr>
        <w:fldChar w:fldCharType="separate"/>
      </w:r>
      <w:r w:rsidR="00D51B4B">
        <w:rPr>
          <w:noProof/>
        </w:rPr>
        <w:t>31</w:t>
      </w:r>
      <w:r>
        <w:rPr>
          <w:noProof/>
        </w:rPr>
        <w:fldChar w:fldCharType="end"/>
      </w:r>
    </w:p>
    <w:p w14:paraId="35429C45"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Introduction</w:t>
      </w:r>
      <w:r>
        <w:rPr>
          <w:noProof/>
        </w:rPr>
        <w:tab/>
      </w:r>
      <w:r>
        <w:rPr>
          <w:noProof/>
        </w:rPr>
        <w:fldChar w:fldCharType="begin"/>
      </w:r>
      <w:r>
        <w:rPr>
          <w:noProof/>
        </w:rPr>
        <w:instrText xml:space="preserve"> PAGEREF _Toc500151789 \h </w:instrText>
      </w:r>
      <w:r>
        <w:rPr>
          <w:noProof/>
        </w:rPr>
      </w:r>
      <w:r>
        <w:rPr>
          <w:noProof/>
        </w:rPr>
        <w:fldChar w:fldCharType="separate"/>
      </w:r>
      <w:r w:rsidR="00D51B4B">
        <w:rPr>
          <w:noProof/>
        </w:rPr>
        <w:t>31</w:t>
      </w:r>
      <w:r>
        <w:rPr>
          <w:noProof/>
        </w:rPr>
        <w:fldChar w:fldCharType="end"/>
      </w:r>
    </w:p>
    <w:p w14:paraId="5771C261"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Problems with the existing regulation</w:t>
      </w:r>
      <w:r>
        <w:rPr>
          <w:noProof/>
        </w:rPr>
        <w:tab/>
      </w:r>
      <w:r>
        <w:rPr>
          <w:noProof/>
        </w:rPr>
        <w:fldChar w:fldCharType="begin"/>
      </w:r>
      <w:r>
        <w:rPr>
          <w:noProof/>
        </w:rPr>
        <w:instrText xml:space="preserve"> PAGEREF _Toc500151790 \h </w:instrText>
      </w:r>
      <w:r>
        <w:rPr>
          <w:noProof/>
        </w:rPr>
      </w:r>
      <w:r>
        <w:rPr>
          <w:noProof/>
        </w:rPr>
        <w:fldChar w:fldCharType="separate"/>
      </w:r>
      <w:r w:rsidR="00D51B4B">
        <w:rPr>
          <w:noProof/>
        </w:rPr>
        <w:t>32</w:t>
      </w:r>
      <w:r>
        <w:rPr>
          <w:noProof/>
        </w:rPr>
        <w:fldChar w:fldCharType="end"/>
      </w:r>
    </w:p>
    <w:p w14:paraId="423AEFBC"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Information failures</w:t>
      </w:r>
      <w:r>
        <w:rPr>
          <w:noProof/>
        </w:rPr>
        <w:tab/>
      </w:r>
      <w:r>
        <w:rPr>
          <w:noProof/>
        </w:rPr>
        <w:fldChar w:fldCharType="begin"/>
      </w:r>
      <w:r>
        <w:rPr>
          <w:noProof/>
        </w:rPr>
        <w:instrText xml:space="preserve"> PAGEREF _Toc500151791 \h </w:instrText>
      </w:r>
      <w:r>
        <w:rPr>
          <w:noProof/>
        </w:rPr>
      </w:r>
      <w:r>
        <w:rPr>
          <w:noProof/>
        </w:rPr>
        <w:fldChar w:fldCharType="separate"/>
      </w:r>
      <w:r w:rsidR="00D51B4B">
        <w:rPr>
          <w:noProof/>
        </w:rPr>
        <w:t>40</w:t>
      </w:r>
      <w:r>
        <w:rPr>
          <w:noProof/>
        </w:rPr>
        <w:fldChar w:fldCharType="end"/>
      </w:r>
    </w:p>
    <w:p w14:paraId="6A0BD9BC"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Market failures</w:t>
      </w:r>
      <w:r>
        <w:rPr>
          <w:noProof/>
        </w:rPr>
        <w:tab/>
      </w:r>
      <w:r>
        <w:rPr>
          <w:noProof/>
        </w:rPr>
        <w:fldChar w:fldCharType="begin"/>
      </w:r>
      <w:r>
        <w:rPr>
          <w:noProof/>
        </w:rPr>
        <w:instrText xml:space="preserve"> PAGEREF _Toc500151792 \h </w:instrText>
      </w:r>
      <w:r>
        <w:rPr>
          <w:noProof/>
        </w:rPr>
      </w:r>
      <w:r>
        <w:rPr>
          <w:noProof/>
        </w:rPr>
        <w:fldChar w:fldCharType="separate"/>
      </w:r>
      <w:r w:rsidR="00D51B4B">
        <w:rPr>
          <w:noProof/>
        </w:rPr>
        <w:t>41</w:t>
      </w:r>
      <w:r>
        <w:rPr>
          <w:noProof/>
        </w:rPr>
        <w:fldChar w:fldCharType="end"/>
      </w:r>
    </w:p>
    <w:p w14:paraId="63ACE45A"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Conclusion</w:t>
      </w:r>
      <w:r>
        <w:rPr>
          <w:noProof/>
        </w:rPr>
        <w:tab/>
      </w:r>
      <w:r>
        <w:rPr>
          <w:noProof/>
        </w:rPr>
        <w:fldChar w:fldCharType="begin"/>
      </w:r>
      <w:r>
        <w:rPr>
          <w:noProof/>
        </w:rPr>
        <w:instrText xml:space="preserve"> PAGEREF _Toc500151793 \h </w:instrText>
      </w:r>
      <w:r>
        <w:rPr>
          <w:noProof/>
        </w:rPr>
      </w:r>
      <w:r>
        <w:rPr>
          <w:noProof/>
        </w:rPr>
        <w:fldChar w:fldCharType="separate"/>
      </w:r>
      <w:r w:rsidR="00D51B4B">
        <w:rPr>
          <w:noProof/>
        </w:rPr>
        <w:t>43</w:t>
      </w:r>
      <w:r>
        <w:rPr>
          <w:noProof/>
        </w:rPr>
        <w:fldChar w:fldCharType="end"/>
      </w:r>
    </w:p>
    <w:p w14:paraId="7AC12F7A" w14:textId="77777777" w:rsidR="00B06BCA" w:rsidRDefault="00B06BCA">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3.</w:t>
      </w:r>
      <w:r>
        <w:rPr>
          <w:rFonts w:asciiTheme="minorHAnsi" w:eastAsiaTheme="minorEastAsia" w:hAnsiTheme="minorHAnsi" w:cstheme="minorBidi"/>
          <w:b w:val="0"/>
          <w:caps w:val="0"/>
          <w:noProof/>
          <w:color w:val="auto"/>
          <w:sz w:val="22"/>
          <w:szCs w:val="22"/>
          <w:lang w:val="en-AU" w:eastAsia="en-AU"/>
        </w:rPr>
        <w:tab/>
      </w:r>
      <w:r>
        <w:rPr>
          <w:noProof/>
        </w:rPr>
        <w:t>Objective</w:t>
      </w:r>
      <w:r>
        <w:rPr>
          <w:noProof/>
        </w:rPr>
        <w:tab/>
      </w:r>
      <w:r>
        <w:rPr>
          <w:noProof/>
        </w:rPr>
        <w:fldChar w:fldCharType="begin"/>
      </w:r>
      <w:r>
        <w:rPr>
          <w:noProof/>
        </w:rPr>
        <w:instrText xml:space="preserve"> PAGEREF _Toc500151794 \h </w:instrText>
      </w:r>
      <w:r>
        <w:rPr>
          <w:noProof/>
        </w:rPr>
      </w:r>
      <w:r>
        <w:rPr>
          <w:noProof/>
        </w:rPr>
        <w:fldChar w:fldCharType="separate"/>
      </w:r>
      <w:r w:rsidR="00D51B4B">
        <w:rPr>
          <w:noProof/>
        </w:rPr>
        <w:t>44</w:t>
      </w:r>
      <w:r>
        <w:rPr>
          <w:noProof/>
        </w:rPr>
        <w:fldChar w:fldCharType="end"/>
      </w:r>
    </w:p>
    <w:p w14:paraId="604752E7"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Why is government action needed?</w:t>
      </w:r>
      <w:r>
        <w:rPr>
          <w:noProof/>
        </w:rPr>
        <w:tab/>
      </w:r>
      <w:r>
        <w:rPr>
          <w:noProof/>
        </w:rPr>
        <w:fldChar w:fldCharType="begin"/>
      </w:r>
      <w:r>
        <w:rPr>
          <w:noProof/>
        </w:rPr>
        <w:instrText xml:space="preserve"> PAGEREF _Toc500151795 \h </w:instrText>
      </w:r>
      <w:r>
        <w:rPr>
          <w:noProof/>
        </w:rPr>
      </w:r>
      <w:r>
        <w:rPr>
          <w:noProof/>
        </w:rPr>
        <w:fldChar w:fldCharType="separate"/>
      </w:r>
      <w:r w:rsidR="00D51B4B">
        <w:rPr>
          <w:noProof/>
        </w:rPr>
        <w:t>44</w:t>
      </w:r>
      <w:r>
        <w:rPr>
          <w:noProof/>
        </w:rPr>
        <w:fldChar w:fldCharType="end"/>
      </w:r>
    </w:p>
    <w:p w14:paraId="2B44643A"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The role of Government</w:t>
      </w:r>
      <w:r>
        <w:rPr>
          <w:noProof/>
        </w:rPr>
        <w:tab/>
      </w:r>
      <w:r>
        <w:rPr>
          <w:noProof/>
        </w:rPr>
        <w:fldChar w:fldCharType="begin"/>
      </w:r>
      <w:r>
        <w:rPr>
          <w:noProof/>
        </w:rPr>
        <w:instrText xml:space="preserve"> PAGEREF _Toc500151796 \h </w:instrText>
      </w:r>
      <w:r>
        <w:rPr>
          <w:noProof/>
        </w:rPr>
      </w:r>
      <w:r>
        <w:rPr>
          <w:noProof/>
        </w:rPr>
        <w:fldChar w:fldCharType="separate"/>
      </w:r>
      <w:r w:rsidR="00D51B4B">
        <w:rPr>
          <w:noProof/>
        </w:rPr>
        <w:t>44</w:t>
      </w:r>
      <w:r>
        <w:rPr>
          <w:noProof/>
        </w:rPr>
        <w:fldChar w:fldCharType="end"/>
      </w:r>
    </w:p>
    <w:p w14:paraId="79C5C5A8"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Policy options</w:t>
      </w:r>
      <w:r>
        <w:rPr>
          <w:noProof/>
        </w:rPr>
        <w:tab/>
      </w:r>
      <w:r>
        <w:rPr>
          <w:noProof/>
        </w:rPr>
        <w:fldChar w:fldCharType="begin"/>
      </w:r>
      <w:r>
        <w:rPr>
          <w:noProof/>
        </w:rPr>
        <w:instrText xml:space="preserve"> PAGEREF _Toc500151797 \h </w:instrText>
      </w:r>
      <w:r>
        <w:rPr>
          <w:noProof/>
        </w:rPr>
      </w:r>
      <w:r>
        <w:rPr>
          <w:noProof/>
        </w:rPr>
        <w:fldChar w:fldCharType="separate"/>
      </w:r>
      <w:r w:rsidR="00D51B4B">
        <w:rPr>
          <w:noProof/>
        </w:rPr>
        <w:t>45</w:t>
      </w:r>
      <w:r>
        <w:rPr>
          <w:noProof/>
        </w:rPr>
        <w:fldChar w:fldCharType="end"/>
      </w:r>
    </w:p>
    <w:p w14:paraId="333CADE6" w14:textId="77777777" w:rsidR="00B06BCA" w:rsidRDefault="00B06BCA">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4.</w:t>
      </w:r>
      <w:r>
        <w:rPr>
          <w:rFonts w:asciiTheme="minorHAnsi" w:eastAsiaTheme="minorEastAsia" w:hAnsiTheme="minorHAnsi" w:cstheme="minorBidi"/>
          <w:b w:val="0"/>
          <w:caps w:val="0"/>
          <w:noProof/>
          <w:color w:val="auto"/>
          <w:sz w:val="22"/>
          <w:szCs w:val="22"/>
          <w:lang w:val="en-AU" w:eastAsia="en-AU"/>
        </w:rPr>
        <w:tab/>
      </w:r>
      <w:r>
        <w:rPr>
          <w:noProof/>
        </w:rPr>
        <w:t>Options</w:t>
      </w:r>
      <w:r>
        <w:rPr>
          <w:noProof/>
        </w:rPr>
        <w:tab/>
      </w:r>
      <w:r>
        <w:rPr>
          <w:noProof/>
        </w:rPr>
        <w:fldChar w:fldCharType="begin"/>
      </w:r>
      <w:r>
        <w:rPr>
          <w:noProof/>
        </w:rPr>
        <w:instrText xml:space="preserve"> PAGEREF _Toc500151798 \h </w:instrText>
      </w:r>
      <w:r>
        <w:rPr>
          <w:noProof/>
        </w:rPr>
      </w:r>
      <w:r>
        <w:rPr>
          <w:noProof/>
        </w:rPr>
        <w:fldChar w:fldCharType="separate"/>
      </w:r>
      <w:r w:rsidR="00D51B4B">
        <w:rPr>
          <w:noProof/>
        </w:rPr>
        <w:t>46</w:t>
      </w:r>
      <w:r>
        <w:rPr>
          <w:noProof/>
        </w:rPr>
        <w:fldChar w:fldCharType="end"/>
      </w:r>
    </w:p>
    <w:p w14:paraId="39E831BD"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Policy options under consideration</w:t>
      </w:r>
      <w:r>
        <w:rPr>
          <w:noProof/>
        </w:rPr>
        <w:tab/>
      </w:r>
      <w:r>
        <w:rPr>
          <w:noProof/>
        </w:rPr>
        <w:fldChar w:fldCharType="begin"/>
      </w:r>
      <w:r>
        <w:rPr>
          <w:noProof/>
        </w:rPr>
        <w:instrText xml:space="preserve"> PAGEREF _Toc500151799 \h </w:instrText>
      </w:r>
      <w:r>
        <w:rPr>
          <w:noProof/>
        </w:rPr>
      </w:r>
      <w:r>
        <w:rPr>
          <w:noProof/>
        </w:rPr>
        <w:fldChar w:fldCharType="separate"/>
      </w:r>
      <w:r w:rsidR="00D51B4B">
        <w:rPr>
          <w:noProof/>
        </w:rPr>
        <w:t>46</w:t>
      </w:r>
      <w:r>
        <w:rPr>
          <w:noProof/>
        </w:rPr>
        <w:fldChar w:fldCharType="end"/>
      </w:r>
    </w:p>
    <w:p w14:paraId="1BC8E9B1"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Regulatory Options</w:t>
      </w:r>
      <w:r>
        <w:rPr>
          <w:noProof/>
        </w:rPr>
        <w:tab/>
      </w:r>
      <w:r>
        <w:rPr>
          <w:noProof/>
        </w:rPr>
        <w:fldChar w:fldCharType="begin"/>
      </w:r>
      <w:r>
        <w:rPr>
          <w:noProof/>
        </w:rPr>
        <w:instrText xml:space="preserve"> PAGEREF _Toc500151800 \h </w:instrText>
      </w:r>
      <w:r>
        <w:rPr>
          <w:noProof/>
        </w:rPr>
      </w:r>
      <w:r>
        <w:rPr>
          <w:noProof/>
        </w:rPr>
        <w:fldChar w:fldCharType="separate"/>
      </w:r>
      <w:r w:rsidR="00D51B4B">
        <w:rPr>
          <w:noProof/>
        </w:rPr>
        <w:t>49</w:t>
      </w:r>
      <w:r>
        <w:rPr>
          <w:noProof/>
        </w:rPr>
        <w:fldChar w:fldCharType="end"/>
      </w:r>
    </w:p>
    <w:p w14:paraId="05B9F077"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Energy efficiency labelling</w:t>
      </w:r>
      <w:r>
        <w:rPr>
          <w:noProof/>
        </w:rPr>
        <w:tab/>
      </w:r>
      <w:r>
        <w:rPr>
          <w:noProof/>
        </w:rPr>
        <w:fldChar w:fldCharType="begin"/>
      </w:r>
      <w:r>
        <w:rPr>
          <w:noProof/>
        </w:rPr>
        <w:instrText xml:space="preserve"> PAGEREF _Toc500151801 \h </w:instrText>
      </w:r>
      <w:r>
        <w:rPr>
          <w:noProof/>
        </w:rPr>
      </w:r>
      <w:r>
        <w:rPr>
          <w:noProof/>
        </w:rPr>
        <w:fldChar w:fldCharType="separate"/>
      </w:r>
      <w:r w:rsidR="00D51B4B">
        <w:rPr>
          <w:noProof/>
        </w:rPr>
        <w:t>56</w:t>
      </w:r>
      <w:r>
        <w:rPr>
          <w:noProof/>
        </w:rPr>
        <w:fldChar w:fldCharType="end"/>
      </w:r>
    </w:p>
    <w:p w14:paraId="494AAB72"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Summary of regulatory options</w:t>
      </w:r>
      <w:r>
        <w:rPr>
          <w:noProof/>
        </w:rPr>
        <w:tab/>
      </w:r>
      <w:r>
        <w:rPr>
          <w:noProof/>
        </w:rPr>
        <w:fldChar w:fldCharType="begin"/>
      </w:r>
      <w:r>
        <w:rPr>
          <w:noProof/>
        </w:rPr>
        <w:instrText xml:space="preserve"> PAGEREF _Toc500151802 \h </w:instrText>
      </w:r>
      <w:r>
        <w:rPr>
          <w:noProof/>
        </w:rPr>
      </w:r>
      <w:r>
        <w:rPr>
          <w:noProof/>
        </w:rPr>
        <w:fldChar w:fldCharType="separate"/>
      </w:r>
      <w:r w:rsidR="00D51B4B">
        <w:rPr>
          <w:noProof/>
        </w:rPr>
        <w:t>59</w:t>
      </w:r>
      <w:r>
        <w:rPr>
          <w:noProof/>
        </w:rPr>
        <w:fldChar w:fldCharType="end"/>
      </w:r>
    </w:p>
    <w:p w14:paraId="50A00051"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Option 2</w:t>
      </w:r>
      <w:r>
        <w:rPr>
          <w:noProof/>
        </w:rPr>
        <w:tab/>
      </w:r>
      <w:r>
        <w:rPr>
          <w:noProof/>
        </w:rPr>
        <w:fldChar w:fldCharType="begin"/>
      </w:r>
      <w:r>
        <w:rPr>
          <w:noProof/>
        </w:rPr>
        <w:instrText xml:space="preserve"> PAGEREF _Toc500151803 \h </w:instrText>
      </w:r>
      <w:r>
        <w:rPr>
          <w:noProof/>
        </w:rPr>
      </w:r>
      <w:r>
        <w:rPr>
          <w:noProof/>
        </w:rPr>
        <w:fldChar w:fldCharType="separate"/>
      </w:r>
      <w:r w:rsidR="00D51B4B">
        <w:rPr>
          <w:noProof/>
        </w:rPr>
        <w:t>59</w:t>
      </w:r>
      <w:r>
        <w:rPr>
          <w:noProof/>
        </w:rPr>
        <w:fldChar w:fldCharType="end"/>
      </w:r>
    </w:p>
    <w:p w14:paraId="2538FD57"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Option 3</w:t>
      </w:r>
      <w:r>
        <w:rPr>
          <w:noProof/>
        </w:rPr>
        <w:tab/>
      </w:r>
      <w:r>
        <w:rPr>
          <w:noProof/>
        </w:rPr>
        <w:fldChar w:fldCharType="begin"/>
      </w:r>
      <w:r>
        <w:rPr>
          <w:noProof/>
        </w:rPr>
        <w:instrText xml:space="preserve"> PAGEREF _Toc500151804 \h </w:instrText>
      </w:r>
      <w:r>
        <w:rPr>
          <w:noProof/>
        </w:rPr>
      </w:r>
      <w:r>
        <w:rPr>
          <w:noProof/>
        </w:rPr>
        <w:fldChar w:fldCharType="separate"/>
      </w:r>
      <w:r w:rsidR="00D51B4B">
        <w:rPr>
          <w:noProof/>
        </w:rPr>
        <w:t>59</w:t>
      </w:r>
      <w:r>
        <w:rPr>
          <w:noProof/>
        </w:rPr>
        <w:fldChar w:fldCharType="end"/>
      </w:r>
    </w:p>
    <w:p w14:paraId="165BCB40"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Option 4</w:t>
      </w:r>
      <w:r>
        <w:rPr>
          <w:noProof/>
        </w:rPr>
        <w:tab/>
      </w:r>
      <w:r>
        <w:rPr>
          <w:noProof/>
        </w:rPr>
        <w:fldChar w:fldCharType="begin"/>
      </w:r>
      <w:r>
        <w:rPr>
          <w:noProof/>
        </w:rPr>
        <w:instrText xml:space="preserve"> PAGEREF _Toc500151805 \h </w:instrText>
      </w:r>
      <w:r>
        <w:rPr>
          <w:noProof/>
        </w:rPr>
      </w:r>
      <w:r>
        <w:rPr>
          <w:noProof/>
        </w:rPr>
        <w:fldChar w:fldCharType="separate"/>
      </w:r>
      <w:r w:rsidR="00D51B4B">
        <w:rPr>
          <w:noProof/>
        </w:rPr>
        <w:t>59</w:t>
      </w:r>
      <w:r>
        <w:rPr>
          <w:noProof/>
        </w:rPr>
        <w:fldChar w:fldCharType="end"/>
      </w:r>
    </w:p>
    <w:p w14:paraId="5A910527"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Option 5</w:t>
      </w:r>
      <w:r>
        <w:rPr>
          <w:noProof/>
        </w:rPr>
        <w:tab/>
      </w:r>
      <w:r>
        <w:rPr>
          <w:noProof/>
        </w:rPr>
        <w:fldChar w:fldCharType="begin"/>
      </w:r>
      <w:r>
        <w:rPr>
          <w:noProof/>
        </w:rPr>
        <w:instrText xml:space="preserve"> PAGEREF _Toc500151806 \h </w:instrText>
      </w:r>
      <w:r>
        <w:rPr>
          <w:noProof/>
        </w:rPr>
      </w:r>
      <w:r>
        <w:rPr>
          <w:noProof/>
        </w:rPr>
        <w:fldChar w:fldCharType="separate"/>
      </w:r>
      <w:r w:rsidR="00D51B4B">
        <w:rPr>
          <w:noProof/>
        </w:rPr>
        <w:t>59</w:t>
      </w:r>
      <w:r>
        <w:rPr>
          <w:noProof/>
        </w:rPr>
        <w:fldChar w:fldCharType="end"/>
      </w:r>
    </w:p>
    <w:p w14:paraId="087F9E22" w14:textId="77777777" w:rsidR="00B06BCA" w:rsidRDefault="00B06BCA">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lastRenderedPageBreak/>
        <w:t>5.</w:t>
      </w:r>
      <w:r>
        <w:rPr>
          <w:rFonts w:asciiTheme="minorHAnsi" w:eastAsiaTheme="minorEastAsia" w:hAnsiTheme="minorHAnsi" w:cstheme="minorBidi"/>
          <w:b w:val="0"/>
          <w:caps w:val="0"/>
          <w:noProof/>
          <w:color w:val="auto"/>
          <w:sz w:val="22"/>
          <w:szCs w:val="22"/>
          <w:lang w:val="en-AU" w:eastAsia="en-AU"/>
        </w:rPr>
        <w:tab/>
      </w:r>
      <w:r>
        <w:rPr>
          <w:noProof/>
        </w:rPr>
        <w:t>Impacts</w:t>
      </w:r>
      <w:r>
        <w:rPr>
          <w:noProof/>
        </w:rPr>
        <w:tab/>
      </w:r>
      <w:r>
        <w:rPr>
          <w:noProof/>
        </w:rPr>
        <w:fldChar w:fldCharType="begin"/>
      </w:r>
      <w:r>
        <w:rPr>
          <w:noProof/>
        </w:rPr>
        <w:instrText xml:space="preserve"> PAGEREF _Toc500151807 \h </w:instrText>
      </w:r>
      <w:r>
        <w:rPr>
          <w:noProof/>
        </w:rPr>
      </w:r>
      <w:r>
        <w:rPr>
          <w:noProof/>
        </w:rPr>
        <w:fldChar w:fldCharType="separate"/>
      </w:r>
      <w:r w:rsidR="00D51B4B">
        <w:rPr>
          <w:noProof/>
        </w:rPr>
        <w:t>62</w:t>
      </w:r>
      <w:r>
        <w:rPr>
          <w:noProof/>
        </w:rPr>
        <w:fldChar w:fldCharType="end"/>
      </w:r>
    </w:p>
    <w:p w14:paraId="22E24696"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Option 1: Business as Usual (BAU)</w:t>
      </w:r>
      <w:r>
        <w:rPr>
          <w:noProof/>
        </w:rPr>
        <w:tab/>
      </w:r>
      <w:r>
        <w:rPr>
          <w:noProof/>
        </w:rPr>
        <w:fldChar w:fldCharType="begin"/>
      </w:r>
      <w:r>
        <w:rPr>
          <w:noProof/>
        </w:rPr>
        <w:instrText xml:space="preserve"> PAGEREF _Toc500151808 \h </w:instrText>
      </w:r>
      <w:r>
        <w:rPr>
          <w:noProof/>
        </w:rPr>
      </w:r>
      <w:r>
        <w:rPr>
          <w:noProof/>
        </w:rPr>
        <w:fldChar w:fldCharType="separate"/>
      </w:r>
      <w:r w:rsidR="00D51B4B">
        <w:rPr>
          <w:noProof/>
        </w:rPr>
        <w:t>62</w:t>
      </w:r>
      <w:r>
        <w:rPr>
          <w:noProof/>
        </w:rPr>
        <w:fldChar w:fldCharType="end"/>
      </w:r>
    </w:p>
    <w:p w14:paraId="5DBA9FDD"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Option 2</w:t>
      </w:r>
      <w:r>
        <w:rPr>
          <w:noProof/>
        </w:rPr>
        <w:tab/>
      </w:r>
      <w:r>
        <w:rPr>
          <w:noProof/>
        </w:rPr>
        <w:fldChar w:fldCharType="begin"/>
      </w:r>
      <w:r>
        <w:rPr>
          <w:noProof/>
        </w:rPr>
        <w:instrText xml:space="preserve"> PAGEREF _Toc500151809 \h </w:instrText>
      </w:r>
      <w:r>
        <w:rPr>
          <w:noProof/>
        </w:rPr>
      </w:r>
      <w:r>
        <w:rPr>
          <w:noProof/>
        </w:rPr>
        <w:fldChar w:fldCharType="separate"/>
      </w:r>
      <w:r w:rsidR="00D51B4B">
        <w:rPr>
          <w:noProof/>
        </w:rPr>
        <w:t>63</w:t>
      </w:r>
      <w:r>
        <w:rPr>
          <w:noProof/>
        </w:rPr>
        <w:fldChar w:fldCharType="end"/>
      </w:r>
    </w:p>
    <w:p w14:paraId="5B93C40A" w14:textId="77777777" w:rsidR="00B06BCA" w:rsidRDefault="00B06BCA">
      <w:pPr>
        <w:pStyle w:val="TOC2"/>
        <w:tabs>
          <w:tab w:val="right" w:leader="dot" w:pos="9629"/>
        </w:tabs>
        <w:rPr>
          <w:rFonts w:asciiTheme="minorHAnsi" w:eastAsiaTheme="minorEastAsia" w:hAnsiTheme="minorHAnsi" w:cstheme="minorBidi"/>
          <w:noProof/>
          <w:color w:val="auto"/>
          <w:sz w:val="22"/>
          <w:lang w:val="en-AU" w:eastAsia="en-AU"/>
        </w:rPr>
      </w:pPr>
      <w:r w:rsidRPr="0070021A">
        <w:rPr>
          <w:rFonts w:cs="Times New Roman"/>
          <w:noProof/>
        </w:rPr>
        <w:t>Advantages of Option 2:</w:t>
      </w:r>
      <w:r>
        <w:rPr>
          <w:noProof/>
        </w:rPr>
        <w:tab/>
      </w:r>
      <w:r>
        <w:rPr>
          <w:noProof/>
        </w:rPr>
        <w:fldChar w:fldCharType="begin"/>
      </w:r>
      <w:r>
        <w:rPr>
          <w:noProof/>
        </w:rPr>
        <w:instrText xml:space="preserve"> PAGEREF _Toc500151810 \h </w:instrText>
      </w:r>
      <w:r>
        <w:rPr>
          <w:noProof/>
        </w:rPr>
      </w:r>
      <w:r>
        <w:rPr>
          <w:noProof/>
        </w:rPr>
        <w:fldChar w:fldCharType="separate"/>
      </w:r>
      <w:r w:rsidR="00D51B4B">
        <w:rPr>
          <w:noProof/>
        </w:rPr>
        <w:t>64</w:t>
      </w:r>
      <w:r>
        <w:rPr>
          <w:noProof/>
        </w:rPr>
        <w:fldChar w:fldCharType="end"/>
      </w:r>
    </w:p>
    <w:p w14:paraId="4ED49CE8" w14:textId="77777777" w:rsidR="00B06BCA" w:rsidRDefault="00B06BCA">
      <w:pPr>
        <w:pStyle w:val="TOC2"/>
        <w:tabs>
          <w:tab w:val="right" w:leader="dot" w:pos="9629"/>
        </w:tabs>
        <w:rPr>
          <w:rFonts w:asciiTheme="minorHAnsi" w:eastAsiaTheme="minorEastAsia" w:hAnsiTheme="minorHAnsi" w:cstheme="minorBidi"/>
          <w:noProof/>
          <w:color w:val="auto"/>
          <w:sz w:val="22"/>
          <w:lang w:val="en-AU" w:eastAsia="en-AU"/>
        </w:rPr>
      </w:pPr>
      <w:r w:rsidRPr="0070021A">
        <w:rPr>
          <w:rFonts w:cs="Times New Roman"/>
          <w:noProof/>
        </w:rPr>
        <w:t>Dis-advantages of Option 2:</w:t>
      </w:r>
      <w:r>
        <w:rPr>
          <w:noProof/>
        </w:rPr>
        <w:tab/>
      </w:r>
      <w:r>
        <w:rPr>
          <w:noProof/>
        </w:rPr>
        <w:fldChar w:fldCharType="begin"/>
      </w:r>
      <w:r>
        <w:rPr>
          <w:noProof/>
        </w:rPr>
        <w:instrText xml:space="preserve"> PAGEREF _Toc500151811 \h </w:instrText>
      </w:r>
      <w:r>
        <w:rPr>
          <w:noProof/>
        </w:rPr>
      </w:r>
      <w:r>
        <w:rPr>
          <w:noProof/>
        </w:rPr>
        <w:fldChar w:fldCharType="separate"/>
      </w:r>
      <w:r w:rsidR="00D51B4B">
        <w:rPr>
          <w:noProof/>
        </w:rPr>
        <w:t>64</w:t>
      </w:r>
      <w:r>
        <w:rPr>
          <w:noProof/>
        </w:rPr>
        <w:fldChar w:fldCharType="end"/>
      </w:r>
    </w:p>
    <w:p w14:paraId="4D9451FD"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Impacts on Market Participants</w:t>
      </w:r>
      <w:r>
        <w:rPr>
          <w:noProof/>
        </w:rPr>
        <w:tab/>
      </w:r>
      <w:r>
        <w:rPr>
          <w:noProof/>
        </w:rPr>
        <w:fldChar w:fldCharType="begin"/>
      </w:r>
      <w:r>
        <w:rPr>
          <w:noProof/>
        </w:rPr>
        <w:instrText xml:space="preserve"> PAGEREF _Toc500151812 \h </w:instrText>
      </w:r>
      <w:r>
        <w:rPr>
          <w:noProof/>
        </w:rPr>
      </w:r>
      <w:r>
        <w:rPr>
          <w:noProof/>
        </w:rPr>
        <w:fldChar w:fldCharType="separate"/>
      </w:r>
      <w:r w:rsidR="00D51B4B">
        <w:rPr>
          <w:noProof/>
        </w:rPr>
        <w:t>64</w:t>
      </w:r>
      <w:r>
        <w:rPr>
          <w:noProof/>
        </w:rPr>
        <w:fldChar w:fldCharType="end"/>
      </w:r>
    </w:p>
    <w:p w14:paraId="4E1A2B5B"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Option 3</w:t>
      </w:r>
      <w:r>
        <w:rPr>
          <w:noProof/>
        </w:rPr>
        <w:tab/>
      </w:r>
      <w:r>
        <w:rPr>
          <w:noProof/>
        </w:rPr>
        <w:fldChar w:fldCharType="begin"/>
      </w:r>
      <w:r>
        <w:rPr>
          <w:noProof/>
        </w:rPr>
        <w:instrText xml:space="preserve"> PAGEREF _Toc500151813 \h </w:instrText>
      </w:r>
      <w:r>
        <w:rPr>
          <w:noProof/>
        </w:rPr>
      </w:r>
      <w:r>
        <w:rPr>
          <w:noProof/>
        </w:rPr>
        <w:fldChar w:fldCharType="separate"/>
      </w:r>
      <w:r w:rsidR="00D51B4B">
        <w:rPr>
          <w:noProof/>
        </w:rPr>
        <w:t>69</w:t>
      </w:r>
      <w:r>
        <w:rPr>
          <w:noProof/>
        </w:rPr>
        <w:fldChar w:fldCharType="end"/>
      </w:r>
    </w:p>
    <w:p w14:paraId="5CFE10BB" w14:textId="77777777" w:rsidR="00B06BCA" w:rsidRDefault="00B06BCA">
      <w:pPr>
        <w:pStyle w:val="TOC2"/>
        <w:tabs>
          <w:tab w:val="right" w:leader="dot" w:pos="9629"/>
        </w:tabs>
        <w:rPr>
          <w:rFonts w:asciiTheme="minorHAnsi" w:eastAsiaTheme="minorEastAsia" w:hAnsiTheme="minorHAnsi" w:cstheme="minorBidi"/>
          <w:noProof/>
          <w:color w:val="auto"/>
          <w:sz w:val="22"/>
          <w:lang w:val="en-AU" w:eastAsia="en-AU"/>
        </w:rPr>
      </w:pPr>
      <w:r w:rsidRPr="0070021A">
        <w:rPr>
          <w:rFonts w:cs="Arial"/>
          <w:noProof/>
          <w:color w:val="000000" w:themeColor="text1"/>
        </w:rPr>
        <w:t>Option 4</w:t>
      </w:r>
      <w:r>
        <w:rPr>
          <w:noProof/>
        </w:rPr>
        <w:tab/>
      </w:r>
      <w:r>
        <w:rPr>
          <w:noProof/>
        </w:rPr>
        <w:fldChar w:fldCharType="begin"/>
      </w:r>
      <w:r>
        <w:rPr>
          <w:noProof/>
        </w:rPr>
        <w:instrText xml:space="preserve"> PAGEREF _Toc500151814 \h </w:instrText>
      </w:r>
      <w:r>
        <w:rPr>
          <w:noProof/>
        </w:rPr>
      </w:r>
      <w:r>
        <w:rPr>
          <w:noProof/>
        </w:rPr>
        <w:fldChar w:fldCharType="separate"/>
      </w:r>
      <w:r w:rsidR="00D51B4B">
        <w:rPr>
          <w:noProof/>
        </w:rPr>
        <w:t>72</w:t>
      </w:r>
      <w:r>
        <w:rPr>
          <w:noProof/>
        </w:rPr>
        <w:fldChar w:fldCharType="end"/>
      </w:r>
    </w:p>
    <w:p w14:paraId="19D4CB80"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Value of online energy rating information</w:t>
      </w:r>
      <w:r>
        <w:rPr>
          <w:noProof/>
        </w:rPr>
        <w:tab/>
      </w:r>
      <w:r>
        <w:rPr>
          <w:noProof/>
        </w:rPr>
        <w:fldChar w:fldCharType="begin"/>
      </w:r>
      <w:r>
        <w:rPr>
          <w:noProof/>
        </w:rPr>
        <w:instrText xml:space="preserve"> PAGEREF _Toc500151815 \h </w:instrText>
      </w:r>
      <w:r>
        <w:rPr>
          <w:noProof/>
        </w:rPr>
      </w:r>
      <w:r>
        <w:rPr>
          <w:noProof/>
        </w:rPr>
        <w:fldChar w:fldCharType="separate"/>
      </w:r>
      <w:r w:rsidR="00D51B4B">
        <w:rPr>
          <w:noProof/>
        </w:rPr>
        <w:t>75</w:t>
      </w:r>
      <w:r>
        <w:rPr>
          <w:noProof/>
        </w:rPr>
        <w:fldChar w:fldCharType="end"/>
      </w:r>
    </w:p>
    <w:p w14:paraId="138FA0C1"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Discussion of Non-Regulatory Options</w:t>
      </w:r>
      <w:r>
        <w:rPr>
          <w:noProof/>
        </w:rPr>
        <w:tab/>
      </w:r>
      <w:r>
        <w:rPr>
          <w:noProof/>
        </w:rPr>
        <w:fldChar w:fldCharType="begin"/>
      </w:r>
      <w:r>
        <w:rPr>
          <w:noProof/>
        </w:rPr>
        <w:instrText xml:space="preserve"> PAGEREF _Toc500151816 \h </w:instrText>
      </w:r>
      <w:r>
        <w:rPr>
          <w:noProof/>
        </w:rPr>
      </w:r>
      <w:r>
        <w:rPr>
          <w:noProof/>
        </w:rPr>
        <w:fldChar w:fldCharType="separate"/>
      </w:r>
      <w:r w:rsidR="00D51B4B">
        <w:rPr>
          <w:noProof/>
        </w:rPr>
        <w:t>77</w:t>
      </w:r>
      <w:r>
        <w:rPr>
          <w:noProof/>
        </w:rPr>
        <w:fldChar w:fldCharType="end"/>
      </w:r>
    </w:p>
    <w:p w14:paraId="0816C8E2"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Summary of impacts, costs and benefits</w:t>
      </w:r>
      <w:r>
        <w:rPr>
          <w:noProof/>
        </w:rPr>
        <w:tab/>
      </w:r>
      <w:r>
        <w:rPr>
          <w:noProof/>
        </w:rPr>
        <w:fldChar w:fldCharType="begin"/>
      </w:r>
      <w:r>
        <w:rPr>
          <w:noProof/>
        </w:rPr>
        <w:instrText xml:space="preserve"> PAGEREF _Toc500151817 \h </w:instrText>
      </w:r>
      <w:r>
        <w:rPr>
          <w:noProof/>
        </w:rPr>
      </w:r>
      <w:r>
        <w:rPr>
          <w:noProof/>
        </w:rPr>
        <w:fldChar w:fldCharType="separate"/>
      </w:r>
      <w:r w:rsidR="00D51B4B">
        <w:rPr>
          <w:noProof/>
        </w:rPr>
        <w:t>78</w:t>
      </w:r>
      <w:r>
        <w:rPr>
          <w:noProof/>
        </w:rPr>
        <w:fldChar w:fldCharType="end"/>
      </w:r>
    </w:p>
    <w:p w14:paraId="6D25457D" w14:textId="77777777" w:rsidR="00B06BCA" w:rsidRDefault="00B06BCA">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6.</w:t>
      </w:r>
      <w:r>
        <w:rPr>
          <w:rFonts w:asciiTheme="minorHAnsi" w:eastAsiaTheme="minorEastAsia" w:hAnsiTheme="minorHAnsi" w:cstheme="minorBidi"/>
          <w:b w:val="0"/>
          <w:caps w:val="0"/>
          <w:noProof/>
          <w:color w:val="auto"/>
          <w:sz w:val="22"/>
          <w:szCs w:val="22"/>
          <w:lang w:val="en-AU" w:eastAsia="en-AU"/>
        </w:rPr>
        <w:tab/>
      </w:r>
      <w:r>
        <w:rPr>
          <w:noProof/>
        </w:rPr>
        <w:t>Consultation</w:t>
      </w:r>
      <w:r>
        <w:rPr>
          <w:noProof/>
        </w:rPr>
        <w:tab/>
      </w:r>
      <w:r>
        <w:rPr>
          <w:noProof/>
        </w:rPr>
        <w:fldChar w:fldCharType="begin"/>
      </w:r>
      <w:r>
        <w:rPr>
          <w:noProof/>
        </w:rPr>
        <w:instrText xml:space="preserve"> PAGEREF _Toc500151818 \h </w:instrText>
      </w:r>
      <w:r>
        <w:rPr>
          <w:noProof/>
        </w:rPr>
      </w:r>
      <w:r>
        <w:rPr>
          <w:noProof/>
        </w:rPr>
        <w:fldChar w:fldCharType="separate"/>
      </w:r>
      <w:r w:rsidR="00D51B4B">
        <w:rPr>
          <w:noProof/>
        </w:rPr>
        <w:t>82</w:t>
      </w:r>
      <w:r>
        <w:rPr>
          <w:noProof/>
        </w:rPr>
        <w:fldChar w:fldCharType="end"/>
      </w:r>
    </w:p>
    <w:p w14:paraId="49E7BFE0"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Market Research</w:t>
      </w:r>
      <w:r>
        <w:rPr>
          <w:noProof/>
        </w:rPr>
        <w:tab/>
      </w:r>
      <w:r>
        <w:rPr>
          <w:noProof/>
        </w:rPr>
        <w:fldChar w:fldCharType="begin"/>
      </w:r>
      <w:r>
        <w:rPr>
          <w:noProof/>
        </w:rPr>
        <w:instrText xml:space="preserve"> PAGEREF _Toc500151819 \h </w:instrText>
      </w:r>
      <w:r>
        <w:rPr>
          <w:noProof/>
        </w:rPr>
      </w:r>
      <w:r>
        <w:rPr>
          <w:noProof/>
        </w:rPr>
        <w:fldChar w:fldCharType="separate"/>
      </w:r>
      <w:r w:rsidR="00D51B4B">
        <w:rPr>
          <w:noProof/>
        </w:rPr>
        <w:t>82</w:t>
      </w:r>
      <w:r>
        <w:rPr>
          <w:noProof/>
        </w:rPr>
        <w:fldChar w:fldCharType="end"/>
      </w:r>
    </w:p>
    <w:p w14:paraId="5AB8CAC4"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Public consultation on the product profile</w:t>
      </w:r>
      <w:r>
        <w:rPr>
          <w:noProof/>
        </w:rPr>
        <w:tab/>
      </w:r>
      <w:r>
        <w:rPr>
          <w:noProof/>
        </w:rPr>
        <w:fldChar w:fldCharType="begin"/>
      </w:r>
      <w:r>
        <w:rPr>
          <w:noProof/>
        </w:rPr>
        <w:instrText xml:space="preserve"> PAGEREF _Toc500151820 \h </w:instrText>
      </w:r>
      <w:r>
        <w:rPr>
          <w:noProof/>
        </w:rPr>
      </w:r>
      <w:r>
        <w:rPr>
          <w:noProof/>
        </w:rPr>
        <w:fldChar w:fldCharType="separate"/>
      </w:r>
      <w:r w:rsidR="00D51B4B">
        <w:rPr>
          <w:noProof/>
        </w:rPr>
        <w:t>82</w:t>
      </w:r>
      <w:r>
        <w:rPr>
          <w:noProof/>
        </w:rPr>
        <w:fldChar w:fldCharType="end"/>
      </w:r>
    </w:p>
    <w:p w14:paraId="7E47AB99"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Technical Working Group: recommendations</w:t>
      </w:r>
      <w:r>
        <w:rPr>
          <w:noProof/>
        </w:rPr>
        <w:tab/>
      </w:r>
      <w:r>
        <w:rPr>
          <w:noProof/>
        </w:rPr>
        <w:fldChar w:fldCharType="begin"/>
      </w:r>
      <w:r>
        <w:rPr>
          <w:noProof/>
        </w:rPr>
        <w:instrText xml:space="preserve"> PAGEREF _Toc500151821 \h </w:instrText>
      </w:r>
      <w:r>
        <w:rPr>
          <w:noProof/>
        </w:rPr>
      </w:r>
      <w:r>
        <w:rPr>
          <w:noProof/>
        </w:rPr>
        <w:fldChar w:fldCharType="separate"/>
      </w:r>
      <w:r w:rsidR="00D51B4B">
        <w:rPr>
          <w:noProof/>
        </w:rPr>
        <w:t>86</w:t>
      </w:r>
      <w:r>
        <w:rPr>
          <w:noProof/>
        </w:rPr>
        <w:fldChar w:fldCharType="end"/>
      </w:r>
    </w:p>
    <w:p w14:paraId="1E8F0A17" w14:textId="77777777" w:rsidR="00B06BCA" w:rsidRDefault="00B06BCA">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7.</w:t>
      </w:r>
      <w:r>
        <w:rPr>
          <w:rFonts w:asciiTheme="minorHAnsi" w:eastAsiaTheme="minorEastAsia" w:hAnsiTheme="minorHAnsi" w:cstheme="minorBidi"/>
          <w:b w:val="0"/>
          <w:caps w:val="0"/>
          <w:noProof/>
          <w:color w:val="auto"/>
          <w:sz w:val="22"/>
          <w:szCs w:val="22"/>
          <w:lang w:val="en-AU" w:eastAsia="en-AU"/>
        </w:rPr>
        <w:tab/>
      </w:r>
      <w:r>
        <w:rPr>
          <w:noProof/>
        </w:rPr>
        <w:t>Conclusion</w:t>
      </w:r>
      <w:r>
        <w:rPr>
          <w:noProof/>
        </w:rPr>
        <w:tab/>
      </w:r>
      <w:r>
        <w:rPr>
          <w:noProof/>
        </w:rPr>
        <w:fldChar w:fldCharType="begin"/>
      </w:r>
      <w:r>
        <w:rPr>
          <w:noProof/>
        </w:rPr>
        <w:instrText xml:space="preserve"> PAGEREF _Toc500151822 \h </w:instrText>
      </w:r>
      <w:r>
        <w:rPr>
          <w:noProof/>
        </w:rPr>
      </w:r>
      <w:r>
        <w:rPr>
          <w:noProof/>
        </w:rPr>
        <w:fldChar w:fldCharType="separate"/>
      </w:r>
      <w:r w:rsidR="00D51B4B">
        <w:rPr>
          <w:noProof/>
        </w:rPr>
        <w:t>87</w:t>
      </w:r>
      <w:r>
        <w:rPr>
          <w:noProof/>
        </w:rPr>
        <w:fldChar w:fldCharType="end"/>
      </w:r>
    </w:p>
    <w:p w14:paraId="7082D16B"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Recommended option</w:t>
      </w:r>
      <w:r>
        <w:rPr>
          <w:noProof/>
        </w:rPr>
        <w:tab/>
      </w:r>
      <w:r>
        <w:rPr>
          <w:noProof/>
        </w:rPr>
        <w:fldChar w:fldCharType="begin"/>
      </w:r>
      <w:r>
        <w:rPr>
          <w:noProof/>
        </w:rPr>
        <w:instrText xml:space="preserve"> PAGEREF _Toc500151823 \h </w:instrText>
      </w:r>
      <w:r>
        <w:rPr>
          <w:noProof/>
        </w:rPr>
      </w:r>
      <w:r>
        <w:rPr>
          <w:noProof/>
        </w:rPr>
        <w:fldChar w:fldCharType="separate"/>
      </w:r>
      <w:r w:rsidR="00D51B4B">
        <w:rPr>
          <w:noProof/>
        </w:rPr>
        <w:t>87</w:t>
      </w:r>
      <w:r>
        <w:rPr>
          <w:noProof/>
        </w:rPr>
        <w:fldChar w:fldCharType="end"/>
      </w:r>
    </w:p>
    <w:p w14:paraId="65A8F77F" w14:textId="77777777" w:rsidR="00B06BCA" w:rsidRDefault="00B06BCA">
      <w:pPr>
        <w:pStyle w:val="TOC2"/>
        <w:tabs>
          <w:tab w:val="right" w:leader="dot" w:pos="9629"/>
        </w:tabs>
        <w:rPr>
          <w:rFonts w:asciiTheme="minorHAnsi" w:eastAsiaTheme="minorEastAsia" w:hAnsiTheme="minorHAnsi" w:cstheme="minorBidi"/>
          <w:noProof/>
          <w:color w:val="auto"/>
          <w:sz w:val="22"/>
          <w:lang w:val="en-AU" w:eastAsia="en-AU"/>
        </w:rPr>
      </w:pPr>
      <w:r w:rsidRPr="0070021A">
        <w:rPr>
          <w:noProof/>
        </w:rPr>
        <w:t>Option 4</w:t>
      </w:r>
      <w:r>
        <w:rPr>
          <w:noProof/>
        </w:rPr>
        <w:tab/>
      </w:r>
      <w:r>
        <w:rPr>
          <w:noProof/>
        </w:rPr>
        <w:fldChar w:fldCharType="begin"/>
      </w:r>
      <w:r>
        <w:rPr>
          <w:noProof/>
        </w:rPr>
        <w:instrText xml:space="preserve"> PAGEREF _Toc500151824 \h </w:instrText>
      </w:r>
      <w:r>
        <w:rPr>
          <w:noProof/>
        </w:rPr>
      </w:r>
      <w:r>
        <w:rPr>
          <w:noProof/>
        </w:rPr>
        <w:fldChar w:fldCharType="separate"/>
      </w:r>
      <w:r w:rsidR="00D51B4B">
        <w:rPr>
          <w:noProof/>
        </w:rPr>
        <w:t>87</w:t>
      </w:r>
      <w:r>
        <w:rPr>
          <w:noProof/>
        </w:rPr>
        <w:fldChar w:fldCharType="end"/>
      </w:r>
    </w:p>
    <w:p w14:paraId="1E2BA645" w14:textId="77777777" w:rsidR="00B06BCA" w:rsidRDefault="00B06BCA">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8.</w:t>
      </w:r>
      <w:r>
        <w:rPr>
          <w:rFonts w:asciiTheme="minorHAnsi" w:eastAsiaTheme="minorEastAsia" w:hAnsiTheme="minorHAnsi" w:cstheme="minorBidi"/>
          <w:b w:val="0"/>
          <w:caps w:val="0"/>
          <w:noProof/>
          <w:color w:val="auto"/>
          <w:sz w:val="22"/>
          <w:szCs w:val="22"/>
          <w:lang w:val="en-AU" w:eastAsia="en-AU"/>
        </w:rPr>
        <w:tab/>
      </w:r>
      <w:r>
        <w:rPr>
          <w:noProof/>
        </w:rPr>
        <w:t>Implementation</w:t>
      </w:r>
      <w:r>
        <w:rPr>
          <w:noProof/>
        </w:rPr>
        <w:tab/>
      </w:r>
      <w:r>
        <w:rPr>
          <w:noProof/>
        </w:rPr>
        <w:fldChar w:fldCharType="begin"/>
      </w:r>
      <w:r>
        <w:rPr>
          <w:noProof/>
        </w:rPr>
        <w:instrText xml:space="preserve"> PAGEREF _Toc500151825 \h </w:instrText>
      </w:r>
      <w:r>
        <w:rPr>
          <w:noProof/>
        </w:rPr>
      </w:r>
      <w:r>
        <w:rPr>
          <w:noProof/>
        </w:rPr>
        <w:fldChar w:fldCharType="separate"/>
      </w:r>
      <w:r w:rsidR="00D51B4B">
        <w:rPr>
          <w:noProof/>
        </w:rPr>
        <w:t>88</w:t>
      </w:r>
      <w:r>
        <w:rPr>
          <w:noProof/>
        </w:rPr>
        <w:fldChar w:fldCharType="end"/>
      </w:r>
    </w:p>
    <w:p w14:paraId="0B966476"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Implementing regulatory changes</w:t>
      </w:r>
      <w:r>
        <w:rPr>
          <w:noProof/>
        </w:rPr>
        <w:tab/>
      </w:r>
      <w:r>
        <w:rPr>
          <w:noProof/>
        </w:rPr>
        <w:fldChar w:fldCharType="begin"/>
      </w:r>
      <w:r>
        <w:rPr>
          <w:noProof/>
        </w:rPr>
        <w:instrText xml:space="preserve"> PAGEREF _Toc500151826 \h </w:instrText>
      </w:r>
      <w:r>
        <w:rPr>
          <w:noProof/>
        </w:rPr>
      </w:r>
      <w:r>
        <w:rPr>
          <w:noProof/>
        </w:rPr>
        <w:fldChar w:fldCharType="separate"/>
      </w:r>
      <w:r w:rsidR="00D51B4B">
        <w:rPr>
          <w:noProof/>
        </w:rPr>
        <w:t>88</w:t>
      </w:r>
      <w:r>
        <w:rPr>
          <w:noProof/>
        </w:rPr>
        <w:fldChar w:fldCharType="end"/>
      </w:r>
    </w:p>
    <w:p w14:paraId="2398A99B" w14:textId="77777777" w:rsidR="00B06BCA" w:rsidRDefault="00B06BCA">
      <w:pPr>
        <w:pStyle w:val="TOC1"/>
        <w:rPr>
          <w:rFonts w:asciiTheme="minorHAnsi" w:eastAsiaTheme="minorEastAsia" w:hAnsiTheme="minorHAnsi" w:cstheme="minorBidi"/>
          <w:b w:val="0"/>
          <w:caps w:val="0"/>
          <w:noProof/>
          <w:color w:val="auto"/>
          <w:sz w:val="22"/>
          <w:szCs w:val="22"/>
          <w:lang w:val="en-AU" w:eastAsia="en-AU"/>
        </w:rPr>
      </w:pPr>
      <w:r w:rsidRPr="0070021A">
        <w:rPr>
          <w:noProof/>
          <w:lang w:val="en-NZ" w:eastAsia="en-NZ"/>
        </w:rPr>
        <w:t>References</w:t>
      </w:r>
      <w:r>
        <w:rPr>
          <w:noProof/>
        </w:rPr>
        <w:tab/>
      </w:r>
      <w:r>
        <w:rPr>
          <w:noProof/>
        </w:rPr>
        <w:fldChar w:fldCharType="begin"/>
      </w:r>
      <w:r>
        <w:rPr>
          <w:noProof/>
        </w:rPr>
        <w:instrText xml:space="preserve"> PAGEREF _Toc500151827 \h </w:instrText>
      </w:r>
      <w:r>
        <w:rPr>
          <w:noProof/>
        </w:rPr>
      </w:r>
      <w:r>
        <w:rPr>
          <w:noProof/>
        </w:rPr>
        <w:fldChar w:fldCharType="separate"/>
      </w:r>
      <w:r w:rsidR="00D51B4B">
        <w:rPr>
          <w:noProof/>
        </w:rPr>
        <w:t>93</w:t>
      </w:r>
      <w:r>
        <w:rPr>
          <w:noProof/>
        </w:rPr>
        <w:fldChar w:fldCharType="end"/>
      </w:r>
    </w:p>
    <w:p w14:paraId="32AF75A1" w14:textId="77777777" w:rsidR="00B06BCA" w:rsidRDefault="00B06BCA">
      <w:pPr>
        <w:pStyle w:val="TOC1"/>
        <w:rPr>
          <w:rFonts w:asciiTheme="minorHAnsi" w:eastAsiaTheme="minorEastAsia" w:hAnsiTheme="minorHAnsi" w:cstheme="minorBidi"/>
          <w:b w:val="0"/>
          <w:caps w:val="0"/>
          <w:noProof/>
          <w:color w:val="auto"/>
          <w:sz w:val="22"/>
          <w:szCs w:val="22"/>
          <w:lang w:val="en-AU" w:eastAsia="en-AU"/>
        </w:rPr>
      </w:pPr>
      <w:r>
        <w:rPr>
          <w:noProof/>
        </w:rPr>
        <w:t>Attachment A- Australian stock by major sectors</w:t>
      </w:r>
      <w:r>
        <w:rPr>
          <w:noProof/>
        </w:rPr>
        <w:tab/>
      </w:r>
      <w:r>
        <w:rPr>
          <w:noProof/>
        </w:rPr>
        <w:fldChar w:fldCharType="begin"/>
      </w:r>
      <w:r>
        <w:rPr>
          <w:noProof/>
        </w:rPr>
        <w:instrText xml:space="preserve"> PAGEREF _Toc500151828 \h </w:instrText>
      </w:r>
      <w:r>
        <w:rPr>
          <w:noProof/>
        </w:rPr>
      </w:r>
      <w:r>
        <w:rPr>
          <w:noProof/>
        </w:rPr>
        <w:fldChar w:fldCharType="separate"/>
      </w:r>
      <w:r w:rsidR="00D51B4B">
        <w:rPr>
          <w:noProof/>
        </w:rPr>
        <w:t>94</w:t>
      </w:r>
      <w:r>
        <w:rPr>
          <w:noProof/>
        </w:rPr>
        <w:fldChar w:fldCharType="end"/>
      </w:r>
    </w:p>
    <w:p w14:paraId="10405E8F"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Retail and food services channels</w:t>
      </w:r>
      <w:r>
        <w:rPr>
          <w:noProof/>
        </w:rPr>
        <w:tab/>
      </w:r>
      <w:r>
        <w:rPr>
          <w:noProof/>
        </w:rPr>
        <w:fldChar w:fldCharType="begin"/>
      </w:r>
      <w:r>
        <w:rPr>
          <w:noProof/>
        </w:rPr>
        <w:instrText xml:space="preserve"> PAGEREF _Toc500151829 \h </w:instrText>
      </w:r>
      <w:r>
        <w:rPr>
          <w:noProof/>
        </w:rPr>
      </w:r>
      <w:r>
        <w:rPr>
          <w:noProof/>
        </w:rPr>
        <w:fldChar w:fldCharType="separate"/>
      </w:r>
      <w:r w:rsidR="00D51B4B">
        <w:rPr>
          <w:noProof/>
        </w:rPr>
        <w:t>94</w:t>
      </w:r>
      <w:r>
        <w:rPr>
          <w:noProof/>
        </w:rPr>
        <w:fldChar w:fldCharType="end"/>
      </w:r>
    </w:p>
    <w:p w14:paraId="107848DA"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Supermarkets, convenience stores and small retail</w:t>
      </w:r>
      <w:r>
        <w:rPr>
          <w:noProof/>
        </w:rPr>
        <w:tab/>
      </w:r>
      <w:r>
        <w:rPr>
          <w:noProof/>
        </w:rPr>
        <w:fldChar w:fldCharType="begin"/>
      </w:r>
      <w:r>
        <w:rPr>
          <w:noProof/>
        </w:rPr>
        <w:instrText xml:space="preserve"> PAGEREF _Toc500151830 \h </w:instrText>
      </w:r>
      <w:r>
        <w:rPr>
          <w:noProof/>
        </w:rPr>
      </w:r>
      <w:r>
        <w:rPr>
          <w:noProof/>
        </w:rPr>
        <w:fldChar w:fldCharType="separate"/>
      </w:r>
      <w:r w:rsidR="00D51B4B">
        <w:rPr>
          <w:noProof/>
        </w:rPr>
        <w:t>95</w:t>
      </w:r>
      <w:r>
        <w:rPr>
          <w:noProof/>
        </w:rPr>
        <w:fldChar w:fldCharType="end"/>
      </w:r>
    </w:p>
    <w:p w14:paraId="718F8FCF"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Food service channels</w:t>
      </w:r>
      <w:r>
        <w:rPr>
          <w:noProof/>
        </w:rPr>
        <w:tab/>
      </w:r>
      <w:r>
        <w:rPr>
          <w:noProof/>
        </w:rPr>
        <w:fldChar w:fldCharType="begin"/>
      </w:r>
      <w:r>
        <w:rPr>
          <w:noProof/>
        </w:rPr>
        <w:instrText xml:space="preserve"> PAGEREF _Toc500151831 \h </w:instrText>
      </w:r>
      <w:r>
        <w:rPr>
          <w:noProof/>
        </w:rPr>
      </w:r>
      <w:r>
        <w:rPr>
          <w:noProof/>
        </w:rPr>
        <w:fldChar w:fldCharType="separate"/>
      </w:r>
      <w:r w:rsidR="00D51B4B">
        <w:rPr>
          <w:noProof/>
        </w:rPr>
        <w:t>96</w:t>
      </w:r>
      <w:r>
        <w:rPr>
          <w:noProof/>
        </w:rPr>
        <w:fldChar w:fldCharType="end"/>
      </w:r>
    </w:p>
    <w:p w14:paraId="2B8CF661" w14:textId="77777777" w:rsidR="00B06BCA" w:rsidRDefault="00B06BCA">
      <w:pPr>
        <w:pStyle w:val="TOC1"/>
        <w:rPr>
          <w:rFonts w:asciiTheme="minorHAnsi" w:eastAsiaTheme="minorEastAsia" w:hAnsiTheme="minorHAnsi" w:cstheme="minorBidi"/>
          <w:b w:val="0"/>
          <w:caps w:val="0"/>
          <w:noProof/>
          <w:color w:val="auto"/>
          <w:sz w:val="22"/>
          <w:szCs w:val="22"/>
          <w:lang w:val="en-AU" w:eastAsia="en-AU"/>
        </w:rPr>
      </w:pPr>
      <w:r>
        <w:rPr>
          <w:noProof/>
        </w:rPr>
        <w:t>Attachment B - New Zealand stock by major sectors</w:t>
      </w:r>
      <w:r>
        <w:rPr>
          <w:noProof/>
        </w:rPr>
        <w:tab/>
      </w:r>
      <w:r>
        <w:rPr>
          <w:noProof/>
        </w:rPr>
        <w:fldChar w:fldCharType="begin"/>
      </w:r>
      <w:r>
        <w:rPr>
          <w:noProof/>
        </w:rPr>
        <w:instrText xml:space="preserve"> PAGEREF _Toc500151832 \h </w:instrText>
      </w:r>
      <w:r>
        <w:rPr>
          <w:noProof/>
        </w:rPr>
      </w:r>
      <w:r>
        <w:rPr>
          <w:noProof/>
        </w:rPr>
        <w:fldChar w:fldCharType="separate"/>
      </w:r>
      <w:r w:rsidR="00D51B4B">
        <w:rPr>
          <w:noProof/>
        </w:rPr>
        <w:t>100</w:t>
      </w:r>
      <w:r>
        <w:rPr>
          <w:noProof/>
        </w:rPr>
        <w:fldChar w:fldCharType="end"/>
      </w:r>
    </w:p>
    <w:p w14:paraId="59D4BC95"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Supermarkets, convenience stores and small retail</w:t>
      </w:r>
      <w:r>
        <w:rPr>
          <w:noProof/>
        </w:rPr>
        <w:tab/>
      </w:r>
      <w:r>
        <w:rPr>
          <w:noProof/>
        </w:rPr>
        <w:fldChar w:fldCharType="begin"/>
      </w:r>
      <w:r>
        <w:rPr>
          <w:noProof/>
        </w:rPr>
        <w:instrText xml:space="preserve"> PAGEREF _Toc500151833 \h </w:instrText>
      </w:r>
      <w:r>
        <w:rPr>
          <w:noProof/>
        </w:rPr>
      </w:r>
      <w:r>
        <w:rPr>
          <w:noProof/>
        </w:rPr>
        <w:fldChar w:fldCharType="separate"/>
      </w:r>
      <w:r w:rsidR="00D51B4B">
        <w:rPr>
          <w:noProof/>
        </w:rPr>
        <w:t>100</w:t>
      </w:r>
      <w:r>
        <w:rPr>
          <w:noProof/>
        </w:rPr>
        <w:fldChar w:fldCharType="end"/>
      </w:r>
    </w:p>
    <w:p w14:paraId="515375B2"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Food service channels</w:t>
      </w:r>
      <w:r>
        <w:rPr>
          <w:noProof/>
        </w:rPr>
        <w:tab/>
      </w:r>
      <w:r>
        <w:rPr>
          <w:noProof/>
        </w:rPr>
        <w:fldChar w:fldCharType="begin"/>
      </w:r>
      <w:r>
        <w:rPr>
          <w:noProof/>
        </w:rPr>
        <w:instrText xml:space="preserve"> PAGEREF _Toc500151834 \h </w:instrText>
      </w:r>
      <w:r>
        <w:rPr>
          <w:noProof/>
        </w:rPr>
      </w:r>
      <w:r>
        <w:rPr>
          <w:noProof/>
        </w:rPr>
        <w:fldChar w:fldCharType="separate"/>
      </w:r>
      <w:r w:rsidR="00D51B4B">
        <w:rPr>
          <w:noProof/>
        </w:rPr>
        <w:t>100</w:t>
      </w:r>
      <w:r>
        <w:rPr>
          <w:noProof/>
        </w:rPr>
        <w:fldChar w:fldCharType="end"/>
      </w:r>
    </w:p>
    <w:p w14:paraId="09D71824" w14:textId="77777777" w:rsidR="00B06BCA" w:rsidRDefault="00B06BCA">
      <w:pPr>
        <w:pStyle w:val="TOC1"/>
        <w:rPr>
          <w:rFonts w:asciiTheme="minorHAnsi" w:eastAsiaTheme="minorEastAsia" w:hAnsiTheme="minorHAnsi" w:cstheme="minorBidi"/>
          <w:b w:val="0"/>
          <w:caps w:val="0"/>
          <w:noProof/>
          <w:color w:val="auto"/>
          <w:sz w:val="22"/>
          <w:szCs w:val="22"/>
          <w:lang w:val="en-AU" w:eastAsia="en-AU"/>
        </w:rPr>
      </w:pPr>
      <w:r>
        <w:rPr>
          <w:noProof/>
        </w:rPr>
        <w:t>Attachment C- Stock modelling, assumptions / Cost-Benefit methodology</w:t>
      </w:r>
      <w:r>
        <w:rPr>
          <w:noProof/>
        </w:rPr>
        <w:tab/>
      </w:r>
      <w:r>
        <w:rPr>
          <w:noProof/>
        </w:rPr>
        <w:fldChar w:fldCharType="begin"/>
      </w:r>
      <w:r>
        <w:rPr>
          <w:noProof/>
        </w:rPr>
        <w:instrText xml:space="preserve"> PAGEREF _Toc500151835 \h </w:instrText>
      </w:r>
      <w:r>
        <w:rPr>
          <w:noProof/>
        </w:rPr>
      </w:r>
      <w:r>
        <w:rPr>
          <w:noProof/>
        </w:rPr>
        <w:fldChar w:fldCharType="separate"/>
      </w:r>
      <w:r w:rsidR="00D51B4B">
        <w:rPr>
          <w:noProof/>
        </w:rPr>
        <w:t>102</w:t>
      </w:r>
      <w:r>
        <w:rPr>
          <w:noProof/>
        </w:rPr>
        <w:fldChar w:fldCharType="end"/>
      </w:r>
    </w:p>
    <w:p w14:paraId="1BC5D4D4"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Test and registration costs</w:t>
      </w:r>
      <w:r>
        <w:rPr>
          <w:noProof/>
        </w:rPr>
        <w:tab/>
      </w:r>
      <w:r>
        <w:rPr>
          <w:noProof/>
        </w:rPr>
        <w:fldChar w:fldCharType="begin"/>
      </w:r>
      <w:r>
        <w:rPr>
          <w:noProof/>
        </w:rPr>
        <w:instrText xml:space="preserve"> PAGEREF _Toc500151836 \h </w:instrText>
      </w:r>
      <w:r>
        <w:rPr>
          <w:noProof/>
        </w:rPr>
      </w:r>
      <w:r>
        <w:rPr>
          <w:noProof/>
        </w:rPr>
        <w:fldChar w:fldCharType="separate"/>
      </w:r>
      <w:r w:rsidR="00D51B4B">
        <w:rPr>
          <w:noProof/>
        </w:rPr>
        <w:t>103</w:t>
      </w:r>
      <w:r>
        <w:rPr>
          <w:noProof/>
        </w:rPr>
        <w:fldChar w:fldCharType="end"/>
      </w:r>
    </w:p>
    <w:p w14:paraId="0F8281E4"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sidRPr="0070021A">
        <w:rPr>
          <w:rFonts w:cs="Helvetica"/>
          <w:noProof/>
        </w:rPr>
        <w:t>Costs of improvements</w:t>
      </w:r>
      <w:r>
        <w:rPr>
          <w:noProof/>
        </w:rPr>
        <w:tab/>
      </w:r>
      <w:r>
        <w:rPr>
          <w:noProof/>
        </w:rPr>
        <w:fldChar w:fldCharType="begin"/>
      </w:r>
      <w:r>
        <w:rPr>
          <w:noProof/>
        </w:rPr>
        <w:instrText xml:space="preserve"> PAGEREF _Toc500151837 \h </w:instrText>
      </w:r>
      <w:r>
        <w:rPr>
          <w:noProof/>
        </w:rPr>
      </w:r>
      <w:r>
        <w:rPr>
          <w:noProof/>
        </w:rPr>
        <w:fldChar w:fldCharType="separate"/>
      </w:r>
      <w:r w:rsidR="00D51B4B">
        <w:rPr>
          <w:noProof/>
        </w:rPr>
        <w:t>105</w:t>
      </w:r>
      <w:r>
        <w:rPr>
          <w:noProof/>
        </w:rPr>
        <w:fldChar w:fldCharType="end"/>
      </w:r>
    </w:p>
    <w:p w14:paraId="1CBDB623"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Energy efficiency opportunities and complementary activities</w:t>
      </w:r>
      <w:r>
        <w:rPr>
          <w:noProof/>
        </w:rPr>
        <w:tab/>
      </w:r>
      <w:r>
        <w:rPr>
          <w:noProof/>
        </w:rPr>
        <w:fldChar w:fldCharType="begin"/>
      </w:r>
      <w:r>
        <w:rPr>
          <w:noProof/>
        </w:rPr>
        <w:instrText xml:space="preserve"> PAGEREF _Toc500151838 \h </w:instrText>
      </w:r>
      <w:r>
        <w:rPr>
          <w:noProof/>
        </w:rPr>
      </w:r>
      <w:r>
        <w:rPr>
          <w:noProof/>
        </w:rPr>
        <w:fldChar w:fldCharType="separate"/>
      </w:r>
      <w:r w:rsidR="00D51B4B">
        <w:rPr>
          <w:noProof/>
        </w:rPr>
        <w:t>106</w:t>
      </w:r>
      <w:r>
        <w:rPr>
          <w:noProof/>
        </w:rPr>
        <w:fldChar w:fldCharType="end"/>
      </w:r>
    </w:p>
    <w:p w14:paraId="350119EF"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Estimated costs for energy saving technologies</w:t>
      </w:r>
      <w:r>
        <w:rPr>
          <w:noProof/>
        </w:rPr>
        <w:tab/>
      </w:r>
      <w:r>
        <w:rPr>
          <w:noProof/>
        </w:rPr>
        <w:fldChar w:fldCharType="begin"/>
      </w:r>
      <w:r>
        <w:rPr>
          <w:noProof/>
        </w:rPr>
        <w:instrText xml:space="preserve"> PAGEREF _Toc500151839 \h </w:instrText>
      </w:r>
      <w:r>
        <w:rPr>
          <w:noProof/>
        </w:rPr>
      </w:r>
      <w:r>
        <w:rPr>
          <w:noProof/>
        </w:rPr>
        <w:fldChar w:fldCharType="separate"/>
      </w:r>
      <w:r w:rsidR="00D51B4B">
        <w:rPr>
          <w:noProof/>
        </w:rPr>
        <w:t>108</w:t>
      </w:r>
      <w:r>
        <w:rPr>
          <w:noProof/>
        </w:rPr>
        <w:fldChar w:fldCharType="end"/>
      </w:r>
    </w:p>
    <w:p w14:paraId="064CA8AA"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Cost of improving efficiency with current registered models</w:t>
      </w:r>
      <w:r>
        <w:rPr>
          <w:noProof/>
        </w:rPr>
        <w:tab/>
      </w:r>
      <w:r>
        <w:rPr>
          <w:noProof/>
        </w:rPr>
        <w:fldChar w:fldCharType="begin"/>
      </w:r>
      <w:r>
        <w:rPr>
          <w:noProof/>
        </w:rPr>
        <w:instrText xml:space="preserve"> PAGEREF _Toc500151840 \h </w:instrText>
      </w:r>
      <w:r>
        <w:rPr>
          <w:noProof/>
        </w:rPr>
      </w:r>
      <w:r>
        <w:rPr>
          <w:noProof/>
        </w:rPr>
        <w:fldChar w:fldCharType="separate"/>
      </w:r>
      <w:r w:rsidR="00D51B4B">
        <w:rPr>
          <w:noProof/>
        </w:rPr>
        <w:t>109</w:t>
      </w:r>
      <w:r>
        <w:rPr>
          <w:noProof/>
        </w:rPr>
        <w:fldChar w:fldCharType="end"/>
      </w:r>
    </w:p>
    <w:p w14:paraId="45EF3622"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Assumptions relating to cost of efficiency improvement</w:t>
      </w:r>
      <w:r>
        <w:rPr>
          <w:noProof/>
        </w:rPr>
        <w:tab/>
      </w:r>
      <w:r>
        <w:rPr>
          <w:noProof/>
        </w:rPr>
        <w:fldChar w:fldCharType="begin"/>
      </w:r>
      <w:r>
        <w:rPr>
          <w:noProof/>
        </w:rPr>
        <w:instrText xml:space="preserve"> PAGEREF _Toc500151841 \h </w:instrText>
      </w:r>
      <w:r>
        <w:rPr>
          <w:noProof/>
        </w:rPr>
      </w:r>
      <w:r>
        <w:rPr>
          <w:noProof/>
        </w:rPr>
        <w:fldChar w:fldCharType="separate"/>
      </w:r>
      <w:r w:rsidR="00D51B4B">
        <w:rPr>
          <w:noProof/>
        </w:rPr>
        <w:t>110</w:t>
      </w:r>
      <w:r>
        <w:rPr>
          <w:noProof/>
        </w:rPr>
        <w:fldChar w:fldCharType="end"/>
      </w:r>
    </w:p>
    <w:p w14:paraId="04FC8EEC"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color w:val="auto"/>
        </w:rPr>
        <w:t>Cost Benefit Analysis</w:t>
      </w:r>
      <w:r>
        <w:rPr>
          <w:noProof/>
        </w:rPr>
        <w:tab/>
      </w:r>
      <w:r>
        <w:rPr>
          <w:noProof/>
        </w:rPr>
        <w:fldChar w:fldCharType="begin"/>
      </w:r>
      <w:r>
        <w:rPr>
          <w:noProof/>
        </w:rPr>
        <w:instrText xml:space="preserve"> PAGEREF _Toc500151842 \h </w:instrText>
      </w:r>
      <w:r>
        <w:rPr>
          <w:noProof/>
        </w:rPr>
      </w:r>
      <w:r>
        <w:rPr>
          <w:noProof/>
        </w:rPr>
        <w:fldChar w:fldCharType="separate"/>
      </w:r>
      <w:r w:rsidR="00D51B4B">
        <w:rPr>
          <w:noProof/>
        </w:rPr>
        <w:t>111</w:t>
      </w:r>
      <w:r>
        <w:rPr>
          <w:noProof/>
        </w:rPr>
        <w:fldChar w:fldCharType="end"/>
      </w:r>
    </w:p>
    <w:p w14:paraId="68039BAB"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Heat rejection considerations</w:t>
      </w:r>
      <w:r>
        <w:rPr>
          <w:noProof/>
        </w:rPr>
        <w:tab/>
      </w:r>
      <w:r>
        <w:rPr>
          <w:noProof/>
        </w:rPr>
        <w:fldChar w:fldCharType="begin"/>
      </w:r>
      <w:r>
        <w:rPr>
          <w:noProof/>
        </w:rPr>
        <w:instrText xml:space="preserve"> PAGEREF _Toc500151843 \h </w:instrText>
      </w:r>
      <w:r>
        <w:rPr>
          <w:noProof/>
        </w:rPr>
      </w:r>
      <w:r>
        <w:rPr>
          <w:noProof/>
        </w:rPr>
        <w:fldChar w:fldCharType="separate"/>
      </w:r>
      <w:r w:rsidR="00D51B4B">
        <w:rPr>
          <w:noProof/>
        </w:rPr>
        <w:t>114</w:t>
      </w:r>
      <w:r>
        <w:rPr>
          <w:noProof/>
        </w:rPr>
        <w:fldChar w:fldCharType="end"/>
      </w:r>
    </w:p>
    <w:p w14:paraId="6D77E834"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Potential Impacts on peak demand electricity</w:t>
      </w:r>
      <w:r>
        <w:rPr>
          <w:noProof/>
        </w:rPr>
        <w:tab/>
      </w:r>
      <w:r>
        <w:rPr>
          <w:noProof/>
        </w:rPr>
        <w:fldChar w:fldCharType="begin"/>
      </w:r>
      <w:r>
        <w:rPr>
          <w:noProof/>
        </w:rPr>
        <w:instrText xml:space="preserve"> PAGEREF _Toc500151844 \h </w:instrText>
      </w:r>
      <w:r>
        <w:rPr>
          <w:noProof/>
        </w:rPr>
      </w:r>
      <w:r>
        <w:rPr>
          <w:noProof/>
        </w:rPr>
        <w:fldChar w:fldCharType="separate"/>
      </w:r>
      <w:r w:rsidR="00D51B4B">
        <w:rPr>
          <w:noProof/>
        </w:rPr>
        <w:t>114</w:t>
      </w:r>
      <w:r>
        <w:rPr>
          <w:noProof/>
        </w:rPr>
        <w:fldChar w:fldCharType="end"/>
      </w:r>
    </w:p>
    <w:p w14:paraId="2C14011D"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Electricity tariffs used in this cost-benefit analysis</w:t>
      </w:r>
      <w:r>
        <w:rPr>
          <w:noProof/>
        </w:rPr>
        <w:tab/>
      </w:r>
      <w:r>
        <w:rPr>
          <w:noProof/>
        </w:rPr>
        <w:fldChar w:fldCharType="begin"/>
      </w:r>
      <w:r>
        <w:rPr>
          <w:noProof/>
        </w:rPr>
        <w:instrText xml:space="preserve"> PAGEREF _Toc500151845 \h </w:instrText>
      </w:r>
      <w:r>
        <w:rPr>
          <w:noProof/>
        </w:rPr>
      </w:r>
      <w:r>
        <w:rPr>
          <w:noProof/>
        </w:rPr>
        <w:fldChar w:fldCharType="separate"/>
      </w:r>
      <w:r w:rsidR="00D51B4B">
        <w:rPr>
          <w:noProof/>
        </w:rPr>
        <w:t>115</w:t>
      </w:r>
      <w:r>
        <w:rPr>
          <w:noProof/>
        </w:rPr>
        <w:fldChar w:fldCharType="end"/>
      </w:r>
    </w:p>
    <w:p w14:paraId="167B7082"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Greenhouse gas factors</w:t>
      </w:r>
      <w:r>
        <w:rPr>
          <w:noProof/>
        </w:rPr>
        <w:tab/>
      </w:r>
      <w:r>
        <w:rPr>
          <w:noProof/>
        </w:rPr>
        <w:fldChar w:fldCharType="begin"/>
      </w:r>
      <w:r>
        <w:rPr>
          <w:noProof/>
        </w:rPr>
        <w:instrText xml:space="preserve"> PAGEREF _Toc500151846 \h </w:instrText>
      </w:r>
      <w:r>
        <w:rPr>
          <w:noProof/>
        </w:rPr>
      </w:r>
      <w:r>
        <w:rPr>
          <w:noProof/>
        </w:rPr>
        <w:fldChar w:fldCharType="separate"/>
      </w:r>
      <w:r w:rsidR="00D51B4B">
        <w:rPr>
          <w:noProof/>
        </w:rPr>
        <w:t>115</w:t>
      </w:r>
      <w:r>
        <w:rPr>
          <w:noProof/>
        </w:rPr>
        <w:fldChar w:fldCharType="end"/>
      </w:r>
    </w:p>
    <w:p w14:paraId="1897DCD5"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Model parameters and key assumptions</w:t>
      </w:r>
      <w:r>
        <w:rPr>
          <w:noProof/>
        </w:rPr>
        <w:tab/>
      </w:r>
      <w:r>
        <w:rPr>
          <w:noProof/>
        </w:rPr>
        <w:fldChar w:fldCharType="begin"/>
      </w:r>
      <w:r>
        <w:rPr>
          <w:noProof/>
        </w:rPr>
        <w:instrText xml:space="preserve"> PAGEREF _Toc500151847 \h </w:instrText>
      </w:r>
      <w:r>
        <w:rPr>
          <w:noProof/>
        </w:rPr>
      </w:r>
      <w:r>
        <w:rPr>
          <w:noProof/>
        </w:rPr>
        <w:fldChar w:fldCharType="separate"/>
      </w:r>
      <w:r w:rsidR="00D51B4B">
        <w:rPr>
          <w:noProof/>
        </w:rPr>
        <w:t>116</w:t>
      </w:r>
      <w:r>
        <w:rPr>
          <w:noProof/>
        </w:rPr>
        <w:fldChar w:fldCharType="end"/>
      </w:r>
    </w:p>
    <w:p w14:paraId="14FF944C" w14:textId="77777777" w:rsidR="00B06BCA" w:rsidRDefault="00B06BCA">
      <w:pPr>
        <w:pStyle w:val="TOC1"/>
        <w:rPr>
          <w:rFonts w:asciiTheme="minorHAnsi" w:eastAsiaTheme="minorEastAsia" w:hAnsiTheme="minorHAnsi" w:cstheme="minorBidi"/>
          <w:b w:val="0"/>
          <w:caps w:val="0"/>
          <w:noProof/>
          <w:color w:val="auto"/>
          <w:sz w:val="22"/>
          <w:szCs w:val="22"/>
          <w:lang w:val="en-AU" w:eastAsia="en-AU"/>
        </w:rPr>
      </w:pPr>
      <w:r>
        <w:rPr>
          <w:noProof/>
        </w:rPr>
        <w:lastRenderedPageBreak/>
        <w:t>Attachment D- Manufacturers and importers</w:t>
      </w:r>
      <w:r>
        <w:rPr>
          <w:noProof/>
        </w:rPr>
        <w:tab/>
      </w:r>
      <w:r>
        <w:rPr>
          <w:noProof/>
        </w:rPr>
        <w:fldChar w:fldCharType="begin"/>
      </w:r>
      <w:r>
        <w:rPr>
          <w:noProof/>
        </w:rPr>
        <w:instrText xml:space="preserve"> PAGEREF _Toc500151848 \h </w:instrText>
      </w:r>
      <w:r>
        <w:rPr>
          <w:noProof/>
        </w:rPr>
      </w:r>
      <w:r>
        <w:rPr>
          <w:noProof/>
        </w:rPr>
        <w:fldChar w:fldCharType="separate"/>
      </w:r>
      <w:r w:rsidR="00D51B4B">
        <w:rPr>
          <w:noProof/>
        </w:rPr>
        <w:t>123</w:t>
      </w:r>
      <w:r>
        <w:rPr>
          <w:noProof/>
        </w:rPr>
        <w:fldChar w:fldCharType="end"/>
      </w:r>
    </w:p>
    <w:p w14:paraId="2BE8F4F0" w14:textId="77777777" w:rsidR="00B06BCA" w:rsidRDefault="00B06BCA">
      <w:pPr>
        <w:pStyle w:val="TOC1"/>
        <w:rPr>
          <w:rFonts w:asciiTheme="minorHAnsi" w:eastAsiaTheme="minorEastAsia" w:hAnsiTheme="minorHAnsi" w:cstheme="minorBidi"/>
          <w:b w:val="0"/>
          <w:caps w:val="0"/>
          <w:noProof/>
          <w:color w:val="auto"/>
          <w:sz w:val="22"/>
          <w:szCs w:val="22"/>
          <w:lang w:val="en-AU" w:eastAsia="en-AU"/>
        </w:rPr>
      </w:pPr>
      <w:r>
        <w:rPr>
          <w:noProof/>
        </w:rPr>
        <w:t>Attachment E - Australasian vs International Standards</w:t>
      </w:r>
      <w:r>
        <w:rPr>
          <w:noProof/>
        </w:rPr>
        <w:tab/>
      </w:r>
      <w:r>
        <w:rPr>
          <w:noProof/>
        </w:rPr>
        <w:fldChar w:fldCharType="begin"/>
      </w:r>
      <w:r>
        <w:rPr>
          <w:noProof/>
        </w:rPr>
        <w:instrText xml:space="preserve"> PAGEREF _Toc500151849 \h </w:instrText>
      </w:r>
      <w:r>
        <w:rPr>
          <w:noProof/>
        </w:rPr>
      </w:r>
      <w:r>
        <w:rPr>
          <w:noProof/>
        </w:rPr>
        <w:fldChar w:fldCharType="separate"/>
      </w:r>
      <w:r w:rsidR="00D51B4B">
        <w:rPr>
          <w:noProof/>
        </w:rPr>
        <w:t>127</w:t>
      </w:r>
      <w:r>
        <w:rPr>
          <w:noProof/>
        </w:rPr>
        <w:fldChar w:fldCharType="end"/>
      </w:r>
    </w:p>
    <w:p w14:paraId="2309600C"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Pr>
          <w:noProof/>
        </w:rPr>
        <w:t>Current AU/NZ test and performance Standard, AS 1731</w:t>
      </w:r>
      <w:r>
        <w:rPr>
          <w:noProof/>
        </w:rPr>
        <w:tab/>
      </w:r>
      <w:r>
        <w:rPr>
          <w:noProof/>
        </w:rPr>
        <w:fldChar w:fldCharType="begin"/>
      </w:r>
      <w:r>
        <w:rPr>
          <w:noProof/>
        </w:rPr>
        <w:instrText xml:space="preserve"> PAGEREF _Toc500151850 \h </w:instrText>
      </w:r>
      <w:r>
        <w:rPr>
          <w:noProof/>
        </w:rPr>
      </w:r>
      <w:r>
        <w:rPr>
          <w:noProof/>
        </w:rPr>
        <w:fldChar w:fldCharType="separate"/>
      </w:r>
      <w:r w:rsidR="00D51B4B">
        <w:rPr>
          <w:noProof/>
        </w:rPr>
        <w:t>127</w:t>
      </w:r>
      <w:r>
        <w:rPr>
          <w:noProof/>
        </w:rPr>
        <w:fldChar w:fldCharType="end"/>
      </w:r>
    </w:p>
    <w:p w14:paraId="39B6836D"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color w:val="auto"/>
        </w:rPr>
        <w:t>Europe</w:t>
      </w:r>
      <w:r>
        <w:rPr>
          <w:noProof/>
        </w:rPr>
        <w:tab/>
      </w:r>
      <w:r>
        <w:rPr>
          <w:noProof/>
        </w:rPr>
        <w:fldChar w:fldCharType="begin"/>
      </w:r>
      <w:r>
        <w:rPr>
          <w:noProof/>
        </w:rPr>
        <w:instrText xml:space="preserve"> PAGEREF _Toc500151851 \h </w:instrText>
      </w:r>
      <w:r>
        <w:rPr>
          <w:noProof/>
        </w:rPr>
      </w:r>
      <w:r>
        <w:rPr>
          <w:noProof/>
        </w:rPr>
        <w:fldChar w:fldCharType="separate"/>
      </w:r>
      <w:r w:rsidR="00D51B4B">
        <w:rPr>
          <w:noProof/>
        </w:rPr>
        <w:t>128</w:t>
      </w:r>
      <w:r>
        <w:rPr>
          <w:noProof/>
        </w:rPr>
        <w:fldChar w:fldCharType="end"/>
      </w:r>
    </w:p>
    <w:p w14:paraId="29DCC8FC"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sidRPr="0070021A">
        <w:rPr>
          <w:rFonts w:eastAsiaTheme="minorEastAsia"/>
          <w:noProof/>
          <w:color w:val="auto"/>
          <w:lang w:val="en-NZ" w:eastAsia="en-NZ"/>
        </w:rPr>
        <w:t>Refrigerated Display Cabinet MEPS</w:t>
      </w:r>
      <w:r>
        <w:rPr>
          <w:noProof/>
        </w:rPr>
        <w:tab/>
      </w:r>
      <w:r>
        <w:rPr>
          <w:noProof/>
        </w:rPr>
        <w:fldChar w:fldCharType="begin"/>
      </w:r>
      <w:r>
        <w:rPr>
          <w:noProof/>
        </w:rPr>
        <w:instrText xml:space="preserve"> PAGEREF _Toc500151852 \h </w:instrText>
      </w:r>
      <w:r>
        <w:rPr>
          <w:noProof/>
        </w:rPr>
      </w:r>
      <w:r>
        <w:rPr>
          <w:noProof/>
        </w:rPr>
        <w:fldChar w:fldCharType="separate"/>
      </w:r>
      <w:r w:rsidR="00D51B4B">
        <w:rPr>
          <w:noProof/>
        </w:rPr>
        <w:t>129</w:t>
      </w:r>
      <w:r>
        <w:rPr>
          <w:noProof/>
        </w:rPr>
        <w:fldChar w:fldCharType="end"/>
      </w:r>
    </w:p>
    <w:p w14:paraId="161743F7"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sidRPr="0070021A">
        <w:rPr>
          <w:rFonts w:eastAsiaTheme="minorEastAsia"/>
          <w:noProof/>
          <w:lang w:val="en-NZ" w:eastAsia="en-NZ"/>
        </w:rPr>
        <w:t>Refrigerated Storage Cabinet MEPS</w:t>
      </w:r>
      <w:r>
        <w:rPr>
          <w:noProof/>
        </w:rPr>
        <w:tab/>
      </w:r>
      <w:r>
        <w:rPr>
          <w:noProof/>
        </w:rPr>
        <w:fldChar w:fldCharType="begin"/>
      </w:r>
      <w:r>
        <w:rPr>
          <w:noProof/>
        </w:rPr>
        <w:instrText xml:space="preserve"> PAGEREF _Toc500151853 \h </w:instrText>
      </w:r>
      <w:r>
        <w:rPr>
          <w:noProof/>
        </w:rPr>
      </w:r>
      <w:r>
        <w:rPr>
          <w:noProof/>
        </w:rPr>
        <w:fldChar w:fldCharType="separate"/>
      </w:r>
      <w:r w:rsidR="00D51B4B">
        <w:rPr>
          <w:noProof/>
        </w:rPr>
        <w:t>133</w:t>
      </w:r>
      <w:r>
        <w:rPr>
          <w:noProof/>
        </w:rPr>
        <w:fldChar w:fldCharType="end"/>
      </w:r>
    </w:p>
    <w:p w14:paraId="15971B19" w14:textId="77777777" w:rsidR="00B06BCA" w:rsidRDefault="00B06BCA">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Beyond Europe – other efficiency regimes for refrigerated cabinets</w:t>
      </w:r>
      <w:r>
        <w:rPr>
          <w:noProof/>
        </w:rPr>
        <w:tab/>
      </w:r>
      <w:r>
        <w:rPr>
          <w:noProof/>
        </w:rPr>
        <w:fldChar w:fldCharType="begin"/>
      </w:r>
      <w:r>
        <w:rPr>
          <w:noProof/>
        </w:rPr>
        <w:instrText xml:space="preserve"> PAGEREF _Toc500151854 \h </w:instrText>
      </w:r>
      <w:r>
        <w:rPr>
          <w:noProof/>
        </w:rPr>
      </w:r>
      <w:r>
        <w:rPr>
          <w:noProof/>
        </w:rPr>
        <w:fldChar w:fldCharType="separate"/>
      </w:r>
      <w:r w:rsidR="00D51B4B">
        <w:rPr>
          <w:noProof/>
        </w:rPr>
        <w:t>140</w:t>
      </w:r>
      <w:r>
        <w:rPr>
          <w:noProof/>
        </w:rPr>
        <w:fldChar w:fldCharType="end"/>
      </w:r>
    </w:p>
    <w:p w14:paraId="60F742AE" w14:textId="77777777" w:rsidR="00B06BCA" w:rsidRDefault="00B06BCA">
      <w:pPr>
        <w:pStyle w:val="TOC1"/>
        <w:rPr>
          <w:rFonts w:asciiTheme="minorHAnsi" w:eastAsiaTheme="minorEastAsia" w:hAnsiTheme="minorHAnsi" w:cstheme="minorBidi"/>
          <w:b w:val="0"/>
          <w:caps w:val="0"/>
          <w:noProof/>
          <w:color w:val="auto"/>
          <w:sz w:val="22"/>
          <w:szCs w:val="22"/>
          <w:lang w:val="en-AU" w:eastAsia="en-AU"/>
        </w:rPr>
      </w:pPr>
      <w:r>
        <w:rPr>
          <w:noProof/>
        </w:rPr>
        <w:t>Attachment F – Technical Working Group Recommendations</w:t>
      </w:r>
      <w:r>
        <w:rPr>
          <w:noProof/>
        </w:rPr>
        <w:tab/>
      </w:r>
      <w:r>
        <w:rPr>
          <w:noProof/>
        </w:rPr>
        <w:fldChar w:fldCharType="begin"/>
      </w:r>
      <w:r>
        <w:rPr>
          <w:noProof/>
        </w:rPr>
        <w:instrText xml:space="preserve"> PAGEREF _Toc500151855 \h </w:instrText>
      </w:r>
      <w:r>
        <w:rPr>
          <w:noProof/>
        </w:rPr>
      </w:r>
      <w:r>
        <w:rPr>
          <w:noProof/>
        </w:rPr>
        <w:fldChar w:fldCharType="separate"/>
      </w:r>
      <w:r w:rsidR="00D51B4B">
        <w:rPr>
          <w:noProof/>
        </w:rPr>
        <w:t>143</w:t>
      </w:r>
      <w:r>
        <w:rPr>
          <w:noProof/>
        </w:rPr>
        <w:fldChar w:fldCharType="end"/>
      </w:r>
    </w:p>
    <w:p w14:paraId="3CFE724A" w14:textId="4037F2FA" w:rsidR="008C6776" w:rsidRDefault="005A16D8" w:rsidP="00480F88">
      <w:pPr>
        <w:pStyle w:val="E3BodyText"/>
      </w:pPr>
      <w:r>
        <w:fldChar w:fldCharType="end"/>
      </w:r>
    </w:p>
    <w:p w14:paraId="08735DDF" w14:textId="77777777" w:rsidR="00BD0CDF" w:rsidRDefault="00BD0CDF" w:rsidP="003E5EF5">
      <w:pPr>
        <w:pStyle w:val="TOC1"/>
      </w:pPr>
      <w:r>
        <w:t>List of tables</w:t>
      </w:r>
    </w:p>
    <w:p w14:paraId="4CE4F772" w14:textId="77777777" w:rsidR="00F5660D" w:rsidRDefault="00F5660D">
      <w:pPr>
        <w:pStyle w:val="TableofFigures"/>
        <w:tabs>
          <w:tab w:val="right" w:leader="dot" w:pos="9629"/>
        </w:tabs>
      </w:pPr>
    </w:p>
    <w:p w14:paraId="7C881BF4" w14:textId="77777777" w:rsidR="00C22857" w:rsidRDefault="006D1444">
      <w:pPr>
        <w:pStyle w:val="TableofFigures"/>
        <w:tabs>
          <w:tab w:val="right" w:leader="dot" w:pos="9629"/>
        </w:tabs>
        <w:rPr>
          <w:rFonts w:asciiTheme="minorHAnsi" w:eastAsiaTheme="minorEastAsia" w:hAnsiTheme="minorHAnsi" w:cstheme="minorBidi"/>
          <w:noProof/>
          <w:color w:val="auto"/>
          <w:sz w:val="22"/>
          <w:szCs w:val="22"/>
          <w:lang w:val="en-AU" w:eastAsia="en-AU"/>
        </w:rPr>
      </w:pPr>
      <w:r w:rsidRPr="00F20882">
        <w:rPr>
          <w:b/>
          <w:bCs/>
          <w:noProof/>
          <w:szCs w:val="22"/>
        </w:rPr>
        <w:fldChar w:fldCharType="begin"/>
      </w:r>
      <w:r w:rsidR="00BD0CDF" w:rsidRPr="00F20882">
        <w:rPr>
          <w:noProof/>
          <w:szCs w:val="22"/>
        </w:rPr>
        <w:instrText xml:space="preserve"> TOC \h \z \t "E3 Table Titles" \c </w:instrText>
      </w:r>
      <w:r w:rsidRPr="00F20882">
        <w:rPr>
          <w:b/>
          <w:bCs/>
          <w:noProof/>
          <w:szCs w:val="22"/>
        </w:rPr>
        <w:fldChar w:fldCharType="separate"/>
      </w:r>
      <w:hyperlink w:anchor="_Toc500159651" w:history="1">
        <w:r w:rsidR="00C22857" w:rsidRPr="00637D61">
          <w:rPr>
            <w:rStyle w:val="Hyperlink"/>
            <w:noProof/>
          </w:rPr>
          <w:t>Table 1: Published and draft EN Standards and EC MEPS levels (and the parts which are not currently being considered for adoption in Australia and New Zealand).</w:t>
        </w:r>
        <w:r w:rsidR="00C22857">
          <w:rPr>
            <w:noProof/>
            <w:webHidden/>
          </w:rPr>
          <w:tab/>
        </w:r>
        <w:r w:rsidR="00C22857">
          <w:rPr>
            <w:noProof/>
            <w:webHidden/>
          </w:rPr>
          <w:fldChar w:fldCharType="begin"/>
        </w:r>
        <w:r w:rsidR="00C22857">
          <w:rPr>
            <w:noProof/>
            <w:webHidden/>
          </w:rPr>
          <w:instrText xml:space="preserve"> PAGEREF _Toc500159651 \h </w:instrText>
        </w:r>
        <w:r w:rsidR="00C22857">
          <w:rPr>
            <w:noProof/>
            <w:webHidden/>
          </w:rPr>
        </w:r>
        <w:r w:rsidR="00C22857">
          <w:rPr>
            <w:noProof/>
            <w:webHidden/>
          </w:rPr>
          <w:fldChar w:fldCharType="separate"/>
        </w:r>
        <w:r w:rsidR="00D51B4B">
          <w:rPr>
            <w:noProof/>
            <w:webHidden/>
          </w:rPr>
          <w:t>10</w:t>
        </w:r>
        <w:r w:rsidR="00C22857">
          <w:rPr>
            <w:noProof/>
            <w:webHidden/>
          </w:rPr>
          <w:fldChar w:fldCharType="end"/>
        </w:r>
      </w:hyperlink>
    </w:p>
    <w:p w14:paraId="0CA5531C"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52" w:history="1">
        <w:r w:rsidR="00C22857" w:rsidRPr="00637D61">
          <w:rPr>
            <w:rStyle w:val="Hyperlink"/>
            <w:noProof/>
          </w:rPr>
          <w:t>Table 2: A summary of the cost-benefit analysis of regulatory options for Australia and New Zealand, including online energy rating information (from 2017 to 2035).</w:t>
        </w:r>
        <w:r w:rsidR="00C22857">
          <w:rPr>
            <w:noProof/>
            <w:webHidden/>
          </w:rPr>
          <w:tab/>
        </w:r>
        <w:r w:rsidR="00C22857">
          <w:rPr>
            <w:noProof/>
            <w:webHidden/>
          </w:rPr>
          <w:fldChar w:fldCharType="begin"/>
        </w:r>
        <w:r w:rsidR="00C22857">
          <w:rPr>
            <w:noProof/>
            <w:webHidden/>
          </w:rPr>
          <w:instrText xml:space="preserve"> PAGEREF _Toc500159652 \h </w:instrText>
        </w:r>
        <w:r w:rsidR="00C22857">
          <w:rPr>
            <w:noProof/>
            <w:webHidden/>
          </w:rPr>
        </w:r>
        <w:r w:rsidR="00C22857">
          <w:rPr>
            <w:noProof/>
            <w:webHidden/>
          </w:rPr>
          <w:fldChar w:fldCharType="separate"/>
        </w:r>
        <w:r>
          <w:rPr>
            <w:noProof/>
            <w:webHidden/>
          </w:rPr>
          <w:t>12</w:t>
        </w:r>
        <w:r w:rsidR="00C22857">
          <w:rPr>
            <w:noProof/>
            <w:webHidden/>
          </w:rPr>
          <w:fldChar w:fldCharType="end"/>
        </w:r>
      </w:hyperlink>
    </w:p>
    <w:p w14:paraId="3D720934"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53" w:history="1">
        <w:r w:rsidR="00C22857" w:rsidRPr="00637D61">
          <w:rPr>
            <w:rStyle w:val="Hyperlink"/>
            <w:noProof/>
          </w:rPr>
          <w:t>Table 3: Summary of policy options</w:t>
        </w:r>
        <w:r w:rsidR="00C22857">
          <w:rPr>
            <w:noProof/>
            <w:webHidden/>
          </w:rPr>
          <w:tab/>
        </w:r>
        <w:r w:rsidR="00C22857">
          <w:rPr>
            <w:noProof/>
            <w:webHidden/>
          </w:rPr>
          <w:fldChar w:fldCharType="begin"/>
        </w:r>
        <w:r w:rsidR="00C22857">
          <w:rPr>
            <w:noProof/>
            <w:webHidden/>
          </w:rPr>
          <w:instrText xml:space="preserve"> PAGEREF _Toc500159653 \h </w:instrText>
        </w:r>
        <w:r w:rsidR="00C22857">
          <w:rPr>
            <w:noProof/>
            <w:webHidden/>
          </w:rPr>
        </w:r>
        <w:r w:rsidR="00C22857">
          <w:rPr>
            <w:noProof/>
            <w:webHidden/>
          </w:rPr>
          <w:fldChar w:fldCharType="separate"/>
        </w:r>
        <w:r>
          <w:rPr>
            <w:noProof/>
            <w:webHidden/>
          </w:rPr>
          <w:t>47</w:t>
        </w:r>
        <w:r w:rsidR="00C22857">
          <w:rPr>
            <w:noProof/>
            <w:webHidden/>
          </w:rPr>
          <w:fldChar w:fldCharType="end"/>
        </w:r>
      </w:hyperlink>
    </w:p>
    <w:p w14:paraId="5AD7D3ED"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54" w:history="1">
        <w:r w:rsidR="00C22857" w:rsidRPr="00637D61">
          <w:rPr>
            <w:rStyle w:val="Hyperlink"/>
            <w:noProof/>
          </w:rPr>
          <w:t>Table 4: Published EN Standards and EC MEPS levels (and the parts which are not currently being considered for adoption in Australia and New Zealand).</w:t>
        </w:r>
        <w:r w:rsidR="00C22857">
          <w:rPr>
            <w:noProof/>
            <w:webHidden/>
          </w:rPr>
          <w:tab/>
        </w:r>
        <w:r w:rsidR="00C22857">
          <w:rPr>
            <w:noProof/>
            <w:webHidden/>
          </w:rPr>
          <w:fldChar w:fldCharType="begin"/>
        </w:r>
        <w:r w:rsidR="00C22857">
          <w:rPr>
            <w:noProof/>
            <w:webHidden/>
          </w:rPr>
          <w:instrText xml:space="preserve"> PAGEREF _Toc500159654 \h </w:instrText>
        </w:r>
        <w:r w:rsidR="00C22857">
          <w:rPr>
            <w:noProof/>
            <w:webHidden/>
          </w:rPr>
        </w:r>
        <w:r w:rsidR="00C22857">
          <w:rPr>
            <w:noProof/>
            <w:webHidden/>
          </w:rPr>
          <w:fldChar w:fldCharType="separate"/>
        </w:r>
        <w:r>
          <w:rPr>
            <w:noProof/>
            <w:webHidden/>
          </w:rPr>
          <w:t>48</w:t>
        </w:r>
        <w:r w:rsidR="00C22857">
          <w:rPr>
            <w:noProof/>
            <w:webHidden/>
          </w:rPr>
          <w:fldChar w:fldCharType="end"/>
        </w:r>
      </w:hyperlink>
    </w:p>
    <w:p w14:paraId="24EA023E"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55" w:history="1">
        <w:r w:rsidR="00C22857" w:rsidRPr="00637D61">
          <w:rPr>
            <w:rStyle w:val="Hyperlink"/>
            <w:noProof/>
          </w:rPr>
          <w:t>Table 5: Summary of 15 groups of display and storage cabinets.</w:t>
        </w:r>
        <w:r w:rsidR="00C22857">
          <w:rPr>
            <w:noProof/>
            <w:webHidden/>
          </w:rPr>
          <w:tab/>
        </w:r>
        <w:r w:rsidR="00C22857">
          <w:rPr>
            <w:noProof/>
            <w:webHidden/>
          </w:rPr>
          <w:fldChar w:fldCharType="begin"/>
        </w:r>
        <w:r w:rsidR="00C22857">
          <w:rPr>
            <w:noProof/>
            <w:webHidden/>
          </w:rPr>
          <w:instrText xml:space="preserve"> PAGEREF _Toc500159655 \h </w:instrText>
        </w:r>
        <w:r w:rsidR="00C22857">
          <w:rPr>
            <w:noProof/>
            <w:webHidden/>
          </w:rPr>
        </w:r>
        <w:r w:rsidR="00C22857">
          <w:rPr>
            <w:noProof/>
            <w:webHidden/>
          </w:rPr>
          <w:fldChar w:fldCharType="separate"/>
        </w:r>
        <w:r>
          <w:rPr>
            <w:noProof/>
            <w:webHidden/>
          </w:rPr>
          <w:t>51</w:t>
        </w:r>
        <w:r w:rsidR="00C22857">
          <w:rPr>
            <w:noProof/>
            <w:webHidden/>
          </w:rPr>
          <w:fldChar w:fldCharType="end"/>
        </w:r>
      </w:hyperlink>
    </w:p>
    <w:p w14:paraId="4064C184"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56" w:history="1">
        <w:r w:rsidR="00C22857" w:rsidRPr="00637D61">
          <w:rPr>
            <w:rStyle w:val="Hyperlink"/>
            <w:noProof/>
          </w:rPr>
          <w:t>Table 6: Proportion of cabinet types per group, estimated from European data vs local sales data.</w:t>
        </w:r>
        <w:r w:rsidR="00C22857">
          <w:rPr>
            <w:noProof/>
            <w:webHidden/>
          </w:rPr>
          <w:tab/>
        </w:r>
        <w:r w:rsidR="00C22857">
          <w:rPr>
            <w:noProof/>
            <w:webHidden/>
          </w:rPr>
          <w:fldChar w:fldCharType="begin"/>
        </w:r>
        <w:r w:rsidR="00C22857">
          <w:rPr>
            <w:noProof/>
            <w:webHidden/>
          </w:rPr>
          <w:instrText xml:space="preserve"> PAGEREF _Toc500159656 \h </w:instrText>
        </w:r>
        <w:r w:rsidR="00C22857">
          <w:rPr>
            <w:noProof/>
            <w:webHidden/>
          </w:rPr>
        </w:r>
        <w:r w:rsidR="00C22857">
          <w:rPr>
            <w:noProof/>
            <w:webHidden/>
          </w:rPr>
          <w:fldChar w:fldCharType="separate"/>
        </w:r>
        <w:r>
          <w:rPr>
            <w:noProof/>
            <w:webHidden/>
          </w:rPr>
          <w:t>53</w:t>
        </w:r>
        <w:r w:rsidR="00C22857">
          <w:rPr>
            <w:noProof/>
            <w:webHidden/>
          </w:rPr>
          <w:fldChar w:fldCharType="end"/>
        </w:r>
      </w:hyperlink>
    </w:p>
    <w:p w14:paraId="7460B93F"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57" w:history="1">
        <w:r w:rsidR="00C22857" w:rsidRPr="00637D61">
          <w:rPr>
            <w:rStyle w:val="Hyperlink"/>
            <w:noProof/>
          </w:rPr>
          <w:t>Table 7: European introduction dates and MEPS for storage cabinets, and draft MEPS for display cabinets.</w:t>
        </w:r>
        <w:r w:rsidR="00C22857">
          <w:rPr>
            <w:noProof/>
            <w:webHidden/>
          </w:rPr>
          <w:tab/>
        </w:r>
        <w:r w:rsidR="00C22857">
          <w:rPr>
            <w:noProof/>
            <w:webHidden/>
          </w:rPr>
          <w:fldChar w:fldCharType="begin"/>
        </w:r>
        <w:r w:rsidR="00C22857">
          <w:rPr>
            <w:noProof/>
            <w:webHidden/>
          </w:rPr>
          <w:instrText xml:space="preserve"> PAGEREF _Toc500159657 \h </w:instrText>
        </w:r>
        <w:r w:rsidR="00C22857">
          <w:rPr>
            <w:noProof/>
            <w:webHidden/>
          </w:rPr>
        </w:r>
        <w:r w:rsidR="00C22857">
          <w:rPr>
            <w:noProof/>
            <w:webHidden/>
          </w:rPr>
          <w:fldChar w:fldCharType="separate"/>
        </w:r>
        <w:r>
          <w:rPr>
            <w:noProof/>
            <w:webHidden/>
          </w:rPr>
          <w:t>55</w:t>
        </w:r>
        <w:r w:rsidR="00C22857">
          <w:rPr>
            <w:noProof/>
            <w:webHidden/>
          </w:rPr>
          <w:fldChar w:fldCharType="end"/>
        </w:r>
      </w:hyperlink>
    </w:p>
    <w:p w14:paraId="3DAF8CFD"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58" w:history="1">
        <w:r w:rsidR="00C22857" w:rsidRPr="00637D61">
          <w:rPr>
            <w:rStyle w:val="Hyperlink"/>
            <w:noProof/>
          </w:rPr>
          <w:t>Table 8A: Proposed “MEPS” implementation dates for refrigerated storage cabinets.</w:t>
        </w:r>
        <w:r w:rsidR="00C22857">
          <w:rPr>
            <w:noProof/>
            <w:webHidden/>
          </w:rPr>
          <w:tab/>
        </w:r>
        <w:r w:rsidR="00C22857">
          <w:rPr>
            <w:noProof/>
            <w:webHidden/>
          </w:rPr>
          <w:fldChar w:fldCharType="begin"/>
        </w:r>
        <w:r w:rsidR="00C22857">
          <w:rPr>
            <w:noProof/>
            <w:webHidden/>
          </w:rPr>
          <w:instrText xml:space="preserve"> PAGEREF _Toc500159658 \h </w:instrText>
        </w:r>
        <w:r w:rsidR="00C22857">
          <w:rPr>
            <w:noProof/>
            <w:webHidden/>
          </w:rPr>
        </w:r>
        <w:r w:rsidR="00C22857">
          <w:rPr>
            <w:noProof/>
            <w:webHidden/>
          </w:rPr>
          <w:fldChar w:fldCharType="separate"/>
        </w:r>
        <w:r>
          <w:rPr>
            <w:noProof/>
            <w:webHidden/>
          </w:rPr>
          <w:t>56</w:t>
        </w:r>
        <w:r w:rsidR="00C22857">
          <w:rPr>
            <w:noProof/>
            <w:webHidden/>
          </w:rPr>
          <w:fldChar w:fldCharType="end"/>
        </w:r>
      </w:hyperlink>
    </w:p>
    <w:p w14:paraId="12C09D5B"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59" w:history="1">
        <w:r w:rsidR="00C22857" w:rsidRPr="00637D61">
          <w:rPr>
            <w:rStyle w:val="Hyperlink"/>
            <w:noProof/>
          </w:rPr>
          <w:t>Table 8B: Proposed revised “MEPS” implementation dates for refrigerated storage cabinets.</w:t>
        </w:r>
        <w:r w:rsidR="00C22857">
          <w:rPr>
            <w:noProof/>
            <w:webHidden/>
          </w:rPr>
          <w:tab/>
        </w:r>
        <w:r w:rsidR="00C22857">
          <w:rPr>
            <w:noProof/>
            <w:webHidden/>
          </w:rPr>
          <w:fldChar w:fldCharType="begin"/>
        </w:r>
        <w:r w:rsidR="00C22857">
          <w:rPr>
            <w:noProof/>
            <w:webHidden/>
          </w:rPr>
          <w:instrText xml:space="preserve"> PAGEREF _Toc500159659 \h </w:instrText>
        </w:r>
        <w:r w:rsidR="00C22857">
          <w:rPr>
            <w:noProof/>
            <w:webHidden/>
          </w:rPr>
        </w:r>
        <w:r w:rsidR="00C22857">
          <w:rPr>
            <w:noProof/>
            <w:webHidden/>
          </w:rPr>
          <w:fldChar w:fldCharType="separate"/>
        </w:r>
        <w:r>
          <w:rPr>
            <w:noProof/>
            <w:webHidden/>
          </w:rPr>
          <w:t>56</w:t>
        </w:r>
        <w:r w:rsidR="00C22857">
          <w:rPr>
            <w:noProof/>
            <w:webHidden/>
          </w:rPr>
          <w:fldChar w:fldCharType="end"/>
        </w:r>
      </w:hyperlink>
    </w:p>
    <w:p w14:paraId="02615E90"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0" w:history="1">
        <w:r w:rsidR="00C22857" w:rsidRPr="00637D61">
          <w:rPr>
            <w:rStyle w:val="Hyperlink"/>
            <w:noProof/>
          </w:rPr>
          <w:t>Table 9: Proposed efficiency grades for refrigerated display cabinets</w:t>
        </w:r>
        <w:r w:rsidR="00C22857" w:rsidRPr="00637D61">
          <w:rPr>
            <w:rStyle w:val="Hyperlink"/>
            <w:noProof/>
            <w:lang w:eastAsia="en-NZ"/>
          </w:rPr>
          <w:t>.</w:t>
        </w:r>
        <w:r w:rsidR="00C22857">
          <w:rPr>
            <w:noProof/>
            <w:webHidden/>
          </w:rPr>
          <w:tab/>
        </w:r>
        <w:r w:rsidR="00C22857">
          <w:rPr>
            <w:noProof/>
            <w:webHidden/>
          </w:rPr>
          <w:fldChar w:fldCharType="begin"/>
        </w:r>
        <w:r w:rsidR="00C22857">
          <w:rPr>
            <w:noProof/>
            <w:webHidden/>
          </w:rPr>
          <w:instrText xml:space="preserve"> PAGEREF _Toc500159660 \h </w:instrText>
        </w:r>
        <w:r w:rsidR="00C22857">
          <w:rPr>
            <w:noProof/>
            <w:webHidden/>
          </w:rPr>
        </w:r>
        <w:r w:rsidR="00C22857">
          <w:rPr>
            <w:noProof/>
            <w:webHidden/>
          </w:rPr>
          <w:fldChar w:fldCharType="separate"/>
        </w:r>
        <w:r>
          <w:rPr>
            <w:noProof/>
            <w:webHidden/>
          </w:rPr>
          <w:t>56</w:t>
        </w:r>
        <w:r w:rsidR="00C22857">
          <w:rPr>
            <w:noProof/>
            <w:webHidden/>
          </w:rPr>
          <w:fldChar w:fldCharType="end"/>
        </w:r>
      </w:hyperlink>
    </w:p>
    <w:p w14:paraId="6C757E1F"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1" w:history="1">
        <w:r w:rsidR="00C22857" w:rsidRPr="00637D61">
          <w:rPr>
            <w:rStyle w:val="Hyperlink"/>
            <w:noProof/>
          </w:rPr>
          <w:t>Table 10: Energy efficiency classes for labelling of storage cabinets.</w:t>
        </w:r>
        <w:r w:rsidR="00C22857">
          <w:rPr>
            <w:noProof/>
            <w:webHidden/>
          </w:rPr>
          <w:tab/>
        </w:r>
        <w:r w:rsidR="00C22857">
          <w:rPr>
            <w:noProof/>
            <w:webHidden/>
          </w:rPr>
          <w:fldChar w:fldCharType="begin"/>
        </w:r>
        <w:r w:rsidR="00C22857">
          <w:rPr>
            <w:noProof/>
            <w:webHidden/>
          </w:rPr>
          <w:instrText xml:space="preserve"> PAGEREF _Toc500159661 \h </w:instrText>
        </w:r>
        <w:r w:rsidR="00C22857">
          <w:rPr>
            <w:noProof/>
            <w:webHidden/>
          </w:rPr>
        </w:r>
        <w:r w:rsidR="00C22857">
          <w:rPr>
            <w:noProof/>
            <w:webHidden/>
          </w:rPr>
          <w:fldChar w:fldCharType="separate"/>
        </w:r>
        <w:r>
          <w:rPr>
            <w:noProof/>
            <w:webHidden/>
          </w:rPr>
          <w:t>57</w:t>
        </w:r>
        <w:r w:rsidR="00C22857">
          <w:rPr>
            <w:noProof/>
            <w:webHidden/>
          </w:rPr>
          <w:fldChar w:fldCharType="end"/>
        </w:r>
      </w:hyperlink>
    </w:p>
    <w:p w14:paraId="727453DC"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2" w:history="1">
        <w:r w:rsidR="00C22857" w:rsidRPr="00637D61">
          <w:rPr>
            <w:rStyle w:val="Hyperlink"/>
            <w:noProof/>
          </w:rPr>
          <w:t>Table 11: Summary of 15 groups of display and storage cabinets and impacts on models from Option 2.</w:t>
        </w:r>
        <w:r w:rsidR="00C22857">
          <w:rPr>
            <w:noProof/>
            <w:webHidden/>
          </w:rPr>
          <w:tab/>
        </w:r>
        <w:r w:rsidR="00C22857">
          <w:rPr>
            <w:noProof/>
            <w:webHidden/>
          </w:rPr>
          <w:fldChar w:fldCharType="begin"/>
        </w:r>
        <w:r w:rsidR="00C22857">
          <w:rPr>
            <w:noProof/>
            <w:webHidden/>
          </w:rPr>
          <w:instrText xml:space="preserve"> PAGEREF _Toc500159662 \h </w:instrText>
        </w:r>
        <w:r w:rsidR="00C22857">
          <w:rPr>
            <w:noProof/>
            <w:webHidden/>
          </w:rPr>
        </w:r>
        <w:r w:rsidR="00C22857">
          <w:rPr>
            <w:noProof/>
            <w:webHidden/>
          </w:rPr>
          <w:fldChar w:fldCharType="separate"/>
        </w:r>
        <w:r>
          <w:rPr>
            <w:noProof/>
            <w:webHidden/>
          </w:rPr>
          <w:t>67</w:t>
        </w:r>
        <w:r w:rsidR="00C22857">
          <w:rPr>
            <w:noProof/>
            <w:webHidden/>
          </w:rPr>
          <w:fldChar w:fldCharType="end"/>
        </w:r>
      </w:hyperlink>
    </w:p>
    <w:p w14:paraId="73C225B7"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3" w:history="1">
        <w:r w:rsidR="00C22857" w:rsidRPr="00637D61">
          <w:rPr>
            <w:rStyle w:val="Hyperlink"/>
            <w:noProof/>
          </w:rPr>
          <w:t>Table 12 Evaluation of impacts – Option 2.</w:t>
        </w:r>
        <w:r w:rsidR="00C22857">
          <w:rPr>
            <w:noProof/>
            <w:webHidden/>
          </w:rPr>
          <w:tab/>
        </w:r>
        <w:r w:rsidR="00C22857">
          <w:rPr>
            <w:noProof/>
            <w:webHidden/>
          </w:rPr>
          <w:fldChar w:fldCharType="begin"/>
        </w:r>
        <w:r w:rsidR="00C22857">
          <w:rPr>
            <w:noProof/>
            <w:webHidden/>
          </w:rPr>
          <w:instrText xml:space="preserve"> PAGEREF _Toc500159663 \h </w:instrText>
        </w:r>
        <w:r w:rsidR="00C22857">
          <w:rPr>
            <w:noProof/>
            <w:webHidden/>
          </w:rPr>
        </w:r>
        <w:r w:rsidR="00C22857">
          <w:rPr>
            <w:noProof/>
            <w:webHidden/>
          </w:rPr>
          <w:fldChar w:fldCharType="separate"/>
        </w:r>
        <w:r>
          <w:rPr>
            <w:noProof/>
            <w:webHidden/>
          </w:rPr>
          <w:t>68</w:t>
        </w:r>
        <w:r w:rsidR="00C22857">
          <w:rPr>
            <w:noProof/>
            <w:webHidden/>
          </w:rPr>
          <w:fldChar w:fldCharType="end"/>
        </w:r>
      </w:hyperlink>
    </w:p>
    <w:p w14:paraId="7A2DD4FD"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4" w:history="1">
        <w:r w:rsidR="00C22857" w:rsidRPr="00637D61">
          <w:rPr>
            <w:rStyle w:val="Hyperlink"/>
            <w:noProof/>
          </w:rPr>
          <w:t>Table 13: Summary of 15 groups of display and storage cabinets and impacts on models from Option 3.</w:t>
        </w:r>
        <w:r w:rsidR="00C22857">
          <w:rPr>
            <w:noProof/>
            <w:webHidden/>
          </w:rPr>
          <w:tab/>
        </w:r>
        <w:r w:rsidR="00C22857">
          <w:rPr>
            <w:noProof/>
            <w:webHidden/>
          </w:rPr>
          <w:fldChar w:fldCharType="begin"/>
        </w:r>
        <w:r w:rsidR="00C22857">
          <w:rPr>
            <w:noProof/>
            <w:webHidden/>
          </w:rPr>
          <w:instrText xml:space="preserve"> PAGEREF _Toc500159664 \h </w:instrText>
        </w:r>
        <w:r w:rsidR="00C22857">
          <w:rPr>
            <w:noProof/>
            <w:webHidden/>
          </w:rPr>
        </w:r>
        <w:r w:rsidR="00C22857">
          <w:rPr>
            <w:noProof/>
            <w:webHidden/>
          </w:rPr>
          <w:fldChar w:fldCharType="separate"/>
        </w:r>
        <w:r>
          <w:rPr>
            <w:noProof/>
            <w:webHidden/>
          </w:rPr>
          <w:t>69</w:t>
        </w:r>
        <w:r w:rsidR="00C22857">
          <w:rPr>
            <w:noProof/>
            <w:webHidden/>
          </w:rPr>
          <w:fldChar w:fldCharType="end"/>
        </w:r>
      </w:hyperlink>
    </w:p>
    <w:p w14:paraId="4B50E353"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5" w:history="1">
        <w:r w:rsidR="00C22857" w:rsidRPr="00637D61">
          <w:rPr>
            <w:rStyle w:val="Hyperlink"/>
            <w:noProof/>
          </w:rPr>
          <w:t>Table 14 Evaluation of impacts – Option 3.</w:t>
        </w:r>
        <w:r w:rsidR="00C22857">
          <w:rPr>
            <w:noProof/>
            <w:webHidden/>
          </w:rPr>
          <w:tab/>
        </w:r>
        <w:r w:rsidR="00C22857">
          <w:rPr>
            <w:noProof/>
            <w:webHidden/>
          </w:rPr>
          <w:fldChar w:fldCharType="begin"/>
        </w:r>
        <w:r w:rsidR="00C22857">
          <w:rPr>
            <w:noProof/>
            <w:webHidden/>
          </w:rPr>
          <w:instrText xml:space="preserve"> PAGEREF _Toc500159665 \h </w:instrText>
        </w:r>
        <w:r w:rsidR="00C22857">
          <w:rPr>
            <w:noProof/>
            <w:webHidden/>
          </w:rPr>
        </w:r>
        <w:r w:rsidR="00C22857">
          <w:rPr>
            <w:noProof/>
            <w:webHidden/>
          </w:rPr>
          <w:fldChar w:fldCharType="separate"/>
        </w:r>
        <w:r>
          <w:rPr>
            <w:noProof/>
            <w:webHidden/>
          </w:rPr>
          <w:t>71</w:t>
        </w:r>
        <w:r w:rsidR="00C22857">
          <w:rPr>
            <w:noProof/>
            <w:webHidden/>
          </w:rPr>
          <w:fldChar w:fldCharType="end"/>
        </w:r>
      </w:hyperlink>
    </w:p>
    <w:p w14:paraId="792DB2E7"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6" w:history="1">
        <w:r w:rsidR="00C22857" w:rsidRPr="00637D61">
          <w:rPr>
            <w:rStyle w:val="Hyperlink"/>
            <w:noProof/>
          </w:rPr>
          <w:t>Table 15: Summary of 15 groups of display and storage cabinets and impacts on models from Option 4.</w:t>
        </w:r>
        <w:r w:rsidR="00C22857">
          <w:rPr>
            <w:noProof/>
            <w:webHidden/>
          </w:rPr>
          <w:tab/>
        </w:r>
        <w:r w:rsidR="00C22857">
          <w:rPr>
            <w:noProof/>
            <w:webHidden/>
          </w:rPr>
          <w:fldChar w:fldCharType="begin"/>
        </w:r>
        <w:r w:rsidR="00C22857">
          <w:rPr>
            <w:noProof/>
            <w:webHidden/>
          </w:rPr>
          <w:instrText xml:space="preserve"> PAGEREF _Toc500159666 \h </w:instrText>
        </w:r>
        <w:r w:rsidR="00C22857">
          <w:rPr>
            <w:noProof/>
            <w:webHidden/>
          </w:rPr>
        </w:r>
        <w:r w:rsidR="00C22857">
          <w:rPr>
            <w:noProof/>
            <w:webHidden/>
          </w:rPr>
          <w:fldChar w:fldCharType="separate"/>
        </w:r>
        <w:r>
          <w:rPr>
            <w:noProof/>
            <w:webHidden/>
          </w:rPr>
          <w:t>73</w:t>
        </w:r>
        <w:r w:rsidR="00C22857">
          <w:rPr>
            <w:noProof/>
            <w:webHidden/>
          </w:rPr>
          <w:fldChar w:fldCharType="end"/>
        </w:r>
      </w:hyperlink>
    </w:p>
    <w:p w14:paraId="69353A42"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7" w:history="1">
        <w:r w:rsidR="00C22857" w:rsidRPr="00637D61">
          <w:rPr>
            <w:rStyle w:val="Hyperlink"/>
            <w:noProof/>
          </w:rPr>
          <w:t>Table 16 Evaluation of impacts – Option 4.</w:t>
        </w:r>
        <w:r w:rsidR="00C22857">
          <w:rPr>
            <w:noProof/>
            <w:webHidden/>
          </w:rPr>
          <w:tab/>
        </w:r>
        <w:r w:rsidR="00C22857">
          <w:rPr>
            <w:noProof/>
            <w:webHidden/>
          </w:rPr>
          <w:fldChar w:fldCharType="begin"/>
        </w:r>
        <w:r w:rsidR="00C22857">
          <w:rPr>
            <w:noProof/>
            <w:webHidden/>
          </w:rPr>
          <w:instrText xml:space="preserve"> PAGEREF _Toc500159667 \h </w:instrText>
        </w:r>
        <w:r w:rsidR="00C22857">
          <w:rPr>
            <w:noProof/>
            <w:webHidden/>
          </w:rPr>
        </w:r>
        <w:r w:rsidR="00C22857">
          <w:rPr>
            <w:noProof/>
            <w:webHidden/>
          </w:rPr>
          <w:fldChar w:fldCharType="separate"/>
        </w:r>
        <w:r>
          <w:rPr>
            <w:noProof/>
            <w:webHidden/>
          </w:rPr>
          <w:t>74</w:t>
        </w:r>
        <w:r w:rsidR="00C22857">
          <w:rPr>
            <w:noProof/>
            <w:webHidden/>
          </w:rPr>
          <w:fldChar w:fldCharType="end"/>
        </w:r>
      </w:hyperlink>
    </w:p>
    <w:p w14:paraId="3A08D702"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8" w:history="1">
        <w:r w:rsidR="00C22857" w:rsidRPr="00637D61">
          <w:rPr>
            <w:rStyle w:val="Hyperlink"/>
            <w:noProof/>
          </w:rPr>
          <w:t>Table 17: The percentage contribution to the overall cost-benefit analysis, that labelling makes. The scenario is for Option 4 EC MEPS from 2019.</w:t>
        </w:r>
        <w:r w:rsidR="00C22857">
          <w:rPr>
            <w:noProof/>
            <w:webHidden/>
          </w:rPr>
          <w:tab/>
        </w:r>
        <w:r w:rsidR="00C22857">
          <w:rPr>
            <w:noProof/>
            <w:webHidden/>
          </w:rPr>
          <w:fldChar w:fldCharType="begin"/>
        </w:r>
        <w:r w:rsidR="00C22857">
          <w:rPr>
            <w:noProof/>
            <w:webHidden/>
          </w:rPr>
          <w:instrText xml:space="preserve"> PAGEREF _Toc500159668 \h </w:instrText>
        </w:r>
        <w:r w:rsidR="00C22857">
          <w:rPr>
            <w:noProof/>
            <w:webHidden/>
          </w:rPr>
        </w:r>
        <w:r w:rsidR="00C22857">
          <w:rPr>
            <w:noProof/>
            <w:webHidden/>
          </w:rPr>
          <w:fldChar w:fldCharType="separate"/>
        </w:r>
        <w:r>
          <w:rPr>
            <w:noProof/>
            <w:webHidden/>
          </w:rPr>
          <w:t>75</w:t>
        </w:r>
        <w:r w:rsidR="00C22857">
          <w:rPr>
            <w:noProof/>
            <w:webHidden/>
          </w:rPr>
          <w:fldChar w:fldCharType="end"/>
        </w:r>
      </w:hyperlink>
    </w:p>
    <w:p w14:paraId="002D4A30"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9" w:history="1">
        <w:r w:rsidR="00C22857" w:rsidRPr="00637D61">
          <w:rPr>
            <w:rStyle w:val="Hyperlink"/>
            <w:noProof/>
          </w:rPr>
          <w:t>Table 18: Summary of cost-benefit analysis of regulatory options for Australia and New Zealand (from 2019 to 2035).</w:t>
        </w:r>
        <w:r w:rsidR="00C22857">
          <w:rPr>
            <w:noProof/>
            <w:webHidden/>
          </w:rPr>
          <w:tab/>
        </w:r>
        <w:r w:rsidR="00C22857">
          <w:rPr>
            <w:noProof/>
            <w:webHidden/>
          </w:rPr>
          <w:fldChar w:fldCharType="begin"/>
        </w:r>
        <w:r w:rsidR="00C22857">
          <w:rPr>
            <w:noProof/>
            <w:webHidden/>
          </w:rPr>
          <w:instrText xml:space="preserve"> PAGEREF _Toc500159669 \h </w:instrText>
        </w:r>
        <w:r w:rsidR="00C22857">
          <w:rPr>
            <w:noProof/>
            <w:webHidden/>
          </w:rPr>
        </w:r>
        <w:r w:rsidR="00C22857">
          <w:rPr>
            <w:noProof/>
            <w:webHidden/>
          </w:rPr>
          <w:fldChar w:fldCharType="separate"/>
        </w:r>
        <w:r>
          <w:rPr>
            <w:noProof/>
            <w:webHidden/>
          </w:rPr>
          <w:t>79</w:t>
        </w:r>
        <w:r w:rsidR="00C22857">
          <w:rPr>
            <w:noProof/>
            <w:webHidden/>
          </w:rPr>
          <w:fldChar w:fldCharType="end"/>
        </w:r>
      </w:hyperlink>
    </w:p>
    <w:p w14:paraId="6483BA79"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0" w:history="1">
        <w:r w:rsidR="00C22857" w:rsidRPr="00637D61">
          <w:rPr>
            <w:rStyle w:val="Hyperlink"/>
            <w:noProof/>
          </w:rPr>
          <w:t>Table B1: Summary of Australian supermarkets and convenience stores dissected by trading floor.</w:t>
        </w:r>
        <w:r w:rsidR="00C22857">
          <w:rPr>
            <w:noProof/>
            <w:webHidden/>
          </w:rPr>
          <w:tab/>
        </w:r>
        <w:r w:rsidR="00C22857">
          <w:rPr>
            <w:noProof/>
            <w:webHidden/>
          </w:rPr>
          <w:fldChar w:fldCharType="begin"/>
        </w:r>
        <w:r w:rsidR="00C22857">
          <w:rPr>
            <w:noProof/>
            <w:webHidden/>
          </w:rPr>
          <w:instrText xml:space="preserve"> PAGEREF _Toc500159670 \h </w:instrText>
        </w:r>
        <w:r w:rsidR="00C22857">
          <w:rPr>
            <w:noProof/>
            <w:webHidden/>
          </w:rPr>
        </w:r>
        <w:r w:rsidR="00C22857">
          <w:rPr>
            <w:noProof/>
            <w:webHidden/>
          </w:rPr>
          <w:fldChar w:fldCharType="separate"/>
        </w:r>
        <w:r>
          <w:rPr>
            <w:noProof/>
            <w:webHidden/>
          </w:rPr>
          <w:t>95</w:t>
        </w:r>
        <w:r w:rsidR="00C22857">
          <w:rPr>
            <w:noProof/>
            <w:webHidden/>
          </w:rPr>
          <w:fldChar w:fldCharType="end"/>
        </w:r>
      </w:hyperlink>
    </w:p>
    <w:p w14:paraId="2C95A627"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1" w:history="1">
        <w:r w:rsidR="00C22857" w:rsidRPr="00637D61">
          <w:rPr>
            <w:rStyle w:val="Hyperlink"/>
            <w:noProof/>
          </w:rPr>
          <w:t>Table B2: ABS count of small retail food and liquor retailing businesses in Australia.</w:t>
        </w:r>
        <w:r w:rsidR="00C22857">
          <w:rPr>
            <w:noProof/>
            <w:webHidden/>
          </w:rPr>
          <w:tab/>
        </w:r>
        <w:r w:rsidR="00C22857">
          <w:rPr>
            <w:noProof/>
            <w:webHidden/>
          </w:rPr>
          <w:fldChar w:fldCharType="begin"/>
        </w:r>
        <w:r w:rsidR="00C22857">
          <w:rPr>
            <w:noProof/>
            <w:webHidden/>
          </w:rPr>
          <w:instrText xml:space="preserve"> PAGEREF _Toc500159671 \h </w:instrText>
        </w:r>
        <w:r w:rsidR="00C22857">
          <w:rPr>
            <w:noProof/>
            <w:webHidden/>
          </w:rPr>
        </w:r>
        <w:r w:rsidR="00C22857">
          <w:rPr>
            <w:noProof/>
            <w:webHidden/>
          </w:rPr>
          <w:fldChar w:fldCharType="separate"/>
        </w:r>
        <w:r>
          <w:rPr>
            <w:noProof/>
            <w:webHidden/>
          </w:rPr>
          <w:t>96</w:t>
        </w:r>
        <w:r w:rsidR="00C22857">
          <w:rPr>
            <w:noProof/>
            <w:webHidden/>
          </w:rPr>
          <w:fldChar w:fldCharType="end"/>
        </w:r>
      </w:hyperlink>
    </w:p>
    <w:p w14:paraId="0413E124"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2" w:history="1">
        <w:r w:rsidR="00C22857" w:rsidRPr="00637D61">
          <w:rPr>
            <w:rStyle w:val="Hyperlink"/>
            <w:noProof/>
          </w:rPr>
          <w:t>Table B 3: ABS count of catering and hospitality businesses in Australia.</w:t>
        </w:r>
        <w:r w:rsidR="00C22857">
          <w:rPr>
            <w:noProof/>
            <w:webHidden/>
          </w:rPr>
          <w:tab/>
        </w:r>
        <w:r w:rsidR="00C22857">
          <w:rPr>
            <w:noProof/>
            <w:webHidden/>
          </w:rPr>
          <w:fldChar w:fldCharType="begin"/>
        </w:r>
        <w:r w:rsidR="00C22857">
          <w:rPr>
            <w:noProof/>
            <w:webHidden/>
          </w:rPr>
          <w:instrText xml:space="preserve"> PAGEREF _Toc500159672 \h </w:instrText>
        </w:r>
        <w:r w:rsidR="00C22857">
          <w:rPr>
            <w:noProof/>
            <w:webHidden/>
          </w:rPr>
        </w:r>
        <w:r w:rsidR="00C22857">
          <w:rPr>
            <w:noProof/>
            <w:webHidden/>
          </w:rPr>
          <w:fldChar w:fldCharType="separate"/>
        </w:r>
        <w:r>
          <w:rPr>
            <w:noProof/>
            <w:webHidden/>
          </w:rPr>
          <w:t>97</w:t>
        </w:r>
        <w:r w:rsidR="00C22857">
          <w:rPr>
            <w:noProof/>
            <w:webHidden/>
          </w:rPr>
          <w:fldChar w:fldCharType="end"/>
        </w:r>
      </w:hyperlink>
    </w:p>
    <w:p w14:paraId="09B0D3AF"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3" w:history="1">
        <w:r w:rsidR="00C22857" w:rsidRPr="00637D61">
          <w:rPr>
            <w:rStyle w:val="Hyperlink"/>
            <w:noProof/>
          </w:rPr>
          <w:t>Table D 2: Incremental costs of changed regime.</w:t>
        </w:r>
        <w:r w:rsidR="00C22857">
          <w:rPr>
            <w:noProof/>
            <w:webHidden/>
          </w:rPr>
          <w:tab/>
        </w:r>
        <w:r w:rsidR="00C22857">
          <w:rPr>
            <w:noProof/>
            <w:webHidden/>
          </w:rPr>
          <w:fldChar w:fldCharType="begin"/>
        </w:r>
        <w:r w:rsidR="00C22857">
          <w:rPr>
            <w:noProof/>
            <w:webHidden/>
          </w:rPr>
          <w:instrText xml:space="preserve"> PAGEREF _Toc500159673 \h </w:instrText>
        </w:r>
        <w:r w:rsidR="00C22857">
          <w:rPr>
            <w:noProof/>
            <w:webHidden/>
          </w:rPr>
        </w:r>
        <w:r w:rsidR="00C22857">
          <w:rPr>
            <w:noProof/>
            <w:webHidden/>
          </w:rPr>
          <w:fldChar w:fldCharType="separate"/>
        </w:r>
        <w:r>
          <w:rPr>
            <w:noProof/>
            <w:webHidden/>
          </w:rPr>
          <w:t>104</w:t>
        </w:r>
        <w:r w:rsidR="00C22857">
          <w:rPr>
            <w:noProof/>
            <w:webHidden/>
          </w:rPr>
          <w:fldChar w:fldCharType="end"/>
        </w:r>
      </w:hyperlink>
    </w:p>
    <w:p w14:paraId="5FB59D7D"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4" w:history="1">
        <w:r w:rsidR="00C22857" w:rsidRPr="00637D61">
          <w:rPr>
            <w:rStyle w:val="Hyperlink"/>
            <w:noProof/>
            <w:lang w:eastAsia="en-AU"/>
          </w:rPr>
          <w:t>Table</w:t>
        </w:r>
        <w:r w:rsidR="00C22857" w:rsidRPr="00637D61">
          <w:rPr>
            <w:rStyle w:val="Hyperlink"/>
            <w:noProof/>
          </w:rPr>
          <w:t xml:space="preserve"> D3:</w:t>
        </w:r>
        <w:r w:rsidR="00C22857" w:rsidRPr="00637D61">
          <w:rPr>
            <w:rStyle w:val="Hyperlink"/>
            <w:noProof/>
            <w:lang w:eastAsia="en-AU"/>
          </w:rPr>
          <w:t xml:space="preserve"> Estimated regulatory burden cost (excluding cost to register in Australia) – for Australian businesses (in $AUD).</w:t>
        </w:r>
        <w:r w:rsidR="00C22857">
          <w:rPr>
            <w:noProof/>
            <w:webHidden/>
          </w:rPr>
          <w:tab/>
        </w:r>
        <w:r w:rsidR="00C22857">
          <w:rPr>
            <w:noProof/>
            <w:webHidden/>
          </w:rPr>
          <w:fldChar w:fldCharType="begin"/>
        </w:r>
        <w:r w:rsidR="00C22857">
          <w:rPr>
            <w:noProof/>
            <w:webHidden/>
          </w:rPr>
          <w:instrText xml:space="preserve"> PAGEREF _Toc500159674 \h </w:instrText>
        </w:r>
        <w:r w:rsidR="00C22857">
          <w:rPr>
            <w:noProof/>
            <w:webHidden/>
          </w:rPr>
        </w:r>
        <w:r w:rsidR="00C22857">
          <w:rPr>
            <w:noProof/>
            <w:webHidden/>
          </w:rPr>
          <w:fldChar w:fldCharType="separate"/>
        </w:r>
        <w:r>
          <w:rPr>
            <w:noProof/>
            <w:webHidden/>
          </w:rPr>
          <w:t>105</w:t>
        </w:r>
        <w:r w:rsidR="00C22857">
          <w:rPr>
            <w:noProof/>
            <w:webHidden/>
          </w:rPr>
          <w:fldChar w:fldCharType="end"/>
        </w:r>
      </w:hyperlink>
    </w:p>
    <w:p w14:paraId="5567B819"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5" w:history="1">
        <w:r w:rsidR="00C22857" w:rsidRPr="00637D61">
          <w:rPr>
            <w:rStyle w:val="Hyperlink"/>
            <w:noProof/>
          </w:rPr>
          <w:t>Table D 3: Estimated average prices by grouped cabinet type.</w:t>
        </w:r>
        <w:r w:rsidR="00C22857">
          <w:rPr>
            <w:noProof/>
            <w:webHidden/>
          </w:rPr>
          <w:tab/>
        </w:r>
        <w:r w:rsidR="00C22857">
          <w:rPr>
            <w:noProof/>
            <w:webHidden/>
          </w:rPr>
          <w:fldChar w:fldCharType="begin"/>
        </w:r>
        <w:r w:rsidR="00C22857">
          <w:rPr>
            <w:noProof/>
            <w:webHidden/>
          </w:rPr>
          <w:instrText xml:space="preserve"> PAGEREF _Toc500159675 \h </w:instrText>
        </w:r>
        <w:r w:rsidR="00C22857">
          <w:rPr>
            <w:noProof/>
            <w:webHidden/>
          </w:rPr>
        </w:r>
        <w:r w:rsidR="00C22857">
          <w:rPr>
            <w:noProof/>
            <w:webHidden/>
          </w:rPr>
          <w:fldChar w:fldCharType="separate"/>
        </w:r>
        <w:r>
          <w:rPr>
            <w:noProof/>
            <w:webHidden/>
          </w:rPr>
          <w:t>106</w:t>
        </w:r>
        <w:r w:rsidR="00C22857">
          <w:rPr>
            <w:noProof/>
            <w:webHidden/>
          </w:rPr>
          <w:fldChar w:fldCharType="end"/>
        </w:r>
      </w:hyperlink>
    </w:p>
    <w:p w14:paraId="070E824F"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6" w:history="1">
        <w:r w:rsidR="00C22857" w:rsidRPr="00637D61">
          <w:rPr>
            <w:rStyle w:val="Hyperlink"/>
            <w:noProof/>
          </w:rPr>
          <w:t>Table D 4: Combination of energy efficiency improvement measures by cabinet application.</w:t>
        </w:r>
        <w:r w:rsidR="00C22857">
          <w:rPr>
            <w:noProof/>
            <w:webHidden/>
          </w:rPr>
          <w:tab/>
        </w:r>
        <w:r w:rsidR="00C22857">
          <w:rPr>
            <w:noProof/>
            <w:webHidden/>
          </w:rPr>
          <w:fldChar w:fldCharType="begin"/>
        </w:r>
        <w:r w:rsidR="00C22857">
          <w:rPr>
            <w:noProof/>
            <w:webHidden/>
          </w:rPr>
          <w:instrText xml:space="preserve"> PAGEREF _Toc500159676 \h </w:instrText>
        </w:r>
        <w:r w:rsidR="00C22857">
          <w:rPr>
            <w:noProof/>
            <w:webHidden/>
          </w:rPr>
        </w:r>
        <w:r w:rsidR="00C22857">
          <w:rPr>
            <w:noProof/>
            <w:webHidden/>
          </w:rPr>
          <w:fldChar w:fldCharType="separate"/>
        </w:r>
        <w:r>
          <w:rPr>
            <w:noProof/>
            <w:webHidden/>
          </w:rPr>
          <w:t>107</w:t>
        </w:r>
        <w:r w:rsidR="00C22857">
          <w:rPr>
            <w:noProof/>
            <w:webHidden/>
          </w:rPr>
          <w:fldChar w:fldCharType="end"/>
        </w:r>
      </w:hyperlink>
    </w:p>
    <w:p w14:paraId="52A9C167"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7" w:history="1">
        <w:r w:rsidR="00C22857" w:rsidRPr="00637D61">
          <w:rPr>
            <w:rStyle w:val="Hyperlink"/>
            <w:noProof/>
          </w:rPr>
          <w:t>Table D 5: Percentage improvement and incremental cost for energy efficiency groupings by cabinet type</w:t>
        </w:r>
        <w:r w:rsidR="00C22857">
          <w:rPr>
            <w:noProof/>
            <w:webHidden/>
          </w:rPr>
          <w:tab/>
        </w:r>
        <w:r w:rsidR="00C22857">
          <w:rPr>
            <w:noProof/>
            <w:webHidden/>
          </w:rPr>
          <w:fldChar w:fldCharType="begin"/>
        </w:r>
        <w:r w:rsidR="00C22857">
          <w:rPr>
            <w:noProof/>
            <w:webHidden/>
          </w:rPr>
          <w:instrText xml:space="preserve"> PAGEREF _Toc500159677 \h </w:instrText>
        </w:r>
        <w:r w:rsidR="00C22857">
          <w:rPr>
            <w:noProof/>
            <w:webHidden/>
          </w:rPr>
        </w:r>
        <w:r w:rsidR="00C22857">
          <w:rPr>
            <w:noProof/>
            <w:webHidden/>
          </w:rPr>
          <w:fldChar w:fldCharType="separate"/>
        </w:r>
        <w:r>
          <w:rPr>
            <w:noProof/>
            <w:webHidden/>
          </w:rPr>
          <w:t>108</w:t>
        </w:r>
        <w:r w:rsidR="00C22857">
          <w:rPr>
            <w:noProof/>
            <w:webHidden/>
          </w:rPr>
          <w:fldChar w:fldCharType="end"/>
        </w:r>
      </w:hyperlink>
    </w:p>
    <w:p w14:paraId="556D68CE"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8" w:history="1">
        <w:r w:rsidR="00C22857" w:rsidRPr="00637D61">
          <w:rPr>
            <w:rStyle w:val="Hyperlink"/>
            <w:noProof/>
          </w:rPr>
          <w:t>Table D 6: Energy efficiency and technology upgrade potential of fan motors and cabinet lighting</w:t>
        </w:r>
        <w:r w:rsidR="00C22857">
          <w:rPr>
            <w:noProof/>
            <w:webHidden/>
          </w:rPr>
          <w:tab/>
        </w:r>
        <w:r w:rsidR="00C22857">
          <w:rPr>
            <w:noProof/>
            <w:webHidden/>
          </w:rPr>
          <w:fldChar w:fldCharType="begin"/>
        </w:r>
        <w:r w:rsidR="00C22857">
          <w:rPr>
            <w:noProof/>
            <w:webHidden/>
          </w:rPr>
          <w:instrText xml:space="preserve"> PAGEREF _Toc500159678 \h </w:instrText>
        </w:r>
        <w:r w:rsidR="00C22857">
          <w:rPr>
            <w:noProof/>
            <w:webHidden/>
          </w:rPr>
        </w:r>
        <w:r w:rsidR="00C22857">
          <w:rPr>
            <w:noProof/>
            <w:webHidden/>
          </w:rPr>
          <w:fldChar w:fldCharType="separate"/>
        </w:r>
        <w:r>
          <w:rPr>
            <w:noProof/>
            <w:webHidden/>
          </w:rPr>
          <w:t>110</w:t>
        </w:r>
        <w:r w:rsidR="00C22857">
          <w:rPr>
            <w:noProof/>
            <w:webHidden/>
          </w:rPr>
          <w:fldChar w:fldCharType="end"/>
        </w:r>
      </w:hyperlink>
    </w:p>
    <w:p w14:paraId="615A7F40"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9" w:history="1">
        <w:r w:rsidR="00C22857" w:rsidRPr="00637D61">
          <w:rPr>
            <w:rStyle w:val="Hyperlink"/>
            <w:noProof/>
          </w:rPr>
          <w:t>Table D 7: Business electricity prices (real 20116/17 cents/kWh) for Australia and New Zealand</w:t>
        </w:r>
        <w:r w:rsidR="00C22857">
          <w:rPr>
            <w:noProof/>
            <w:webHidden/>
          </w:rPr>
          <w:tab/>
        </w:r>
        <w:r w:rsidR="00C22857">
          <w:rPr>
            <w:noProof/>
            <w:webHidden/>
          </w:rPr>
          <w:fldChar w:fldCharType="begin"/>
        </w:r>
        <w:r w:rsidR="00C22857">
          <w:rPr>
            <w:noProof/>
            <w:webHidden/>
          </w:rPr>
          <w:instrText xml:space="preserve"> PAGEREF _Toc500159679 \h </w:instrText>
        </w:r>
        <w:r w:rsidR="00C22857">
          <w:rPr>
            <w:noProof/>
            <w:webHidden/>
          </w:rPr>
        </w:r>
        <w:r w:rsidR="00C22857">
          <w:rPr>
            <w:noProof/>
            <w:webHidden/>
          </w:rPr>
          <w:fldChar w:fldCharType="separate"/>
        </w:r>
        <w:r>
          <w:rPr>
            <w:noProof/>
            <w:webHidden/>
          </w:rPr>
          <w:t>115</w:t>
        </w:r>
        <w:r w:rsidR="00C22857">
          <w:rPr>
            <w:noProof/>
            <w:webHidden/>
          </w:rPr>
          <w:fldChar w:fldCharType="end"/>
        </w:r>
      </w:hyperlink>
    </w:p>
    <w:p w14:paraId="67D0A0F9"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0" w:history="1">
        <w:r w:rsidR="00C22857" w:rsidRPr="00637D61">
          <w:rPr>
            <w:rStyle w:val="Hyperlink"/>
            <w:noProof/>
          </w:rPr>
          <w:t>Table D 8 Model parameters and key assumptions.</w:t>
        </w:r>
        <w:r w:rsidR="00C22857">
          <w:rPr>
            <w:noProof/>
            <w:webHidden/>
          </w:rPr>
          <w:tab/>
        </w:r>
        <w:r w:rsidR="00C22857">
          <w:rPr>
            <w:noProof/>
            <w:webHidden/>
          </w:rPr>
          <w:fldChar w:fldCharType="begin"/>
        </w:r>
        <w:r w:rsidR="00C22857">
          <w:rPr>
            <w:noProof/>
            <w:webHidden/>
          </w:rPr>
          <w:instrText xml:space="preserve"> PAGEREF _Toc500159680 \h </w:instrText>
        </w:r>
        <w:r w:rsidR="00C22857">
          <w:rPr>
            <w:noProof/>
            <w:webHidden/>
          </w:rPr>
        </w:r>
        <w:r w:rsidR="00C22857">
          <w:rPr>
            <w:noProof/>
            <w:webHidden/>
          </w:rPr>
          <w:fldChar w:fldCharType="separate"/>
        </w:r>
        <w:r>
          <w:rPr>
            <w:noProof/>
            <w:webHidden/>
          </w:rPr>
          <w:t>116</w:t>
        </w:r>
        <w:r w:rsidR="00C22857">
          <w:rPr>
            <w:noProof/>
            <w:webHidden/>
          </w:rPr>
          <w:fldChar w:fldCharType="end"/>
        </w:r>
      </w:hyperlink>
    </w:p>
    <w:p w14:paraId="49BC71C8"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1" w:history="1">
        <w:r w:rsidR="00C22857" w:rsidRPr="00637D61">
          <w:rPr>
            <w:rStyle w:val="Hyperlink"/>
            <w:noProof/>
          </w:rPr>
          <w:t>Table 9</w:t>
        </w:r>
        <w:r w:rsidR="00C22857" w:rsidRPr="00637D61">
          <w:rPr>
            <w:rStyle w:val="Hyperlink"/>
            <w:noProof/>
            <w:lang w:eastAsia="en-NZ"/>
          </w:rPr>
          <w:t>: European introduction dates and MEPS for storage cabinets, and draft MEPS for display cabinets.</w:t>
        </w:r>
        <w:r w:rsidR="00C22857">
          <w:rPr>
            <w:noProof/>
            <w:webHidden/>
          </w:rPr>
          <w:tab/>
        </w:r>
        <w:r w:rsidR="00C22857">
          <w:rPr>
            <w:noProof/>
            <w:webHidden/>
          </w:rPr>
          <w:fldChar w:fldCharType="begin"/>
        </w:r>
        <w:r w:rsidR="00C22857">
          <w:rPr>
            <w:noProof/>
            <w:webHidden/>
          </w:rPr>
          <w:instrText xml:space="preserve"> PAGEREF _Toc500159681 \h </w:instrText>
        </w:r>
        <w:r w:rsidR="00C22857">
          <w:rPr>
            <w:noProof/>
            <w:webHidden/>
          </w:rPr>
        </w:r>
        <w:r w:rsidR="00C22857">
          <w:rPr>
            <w:noProof/>
            <w:webHidden/>
          </w:rPr>
          <w:fldChar w:fldCharType="separate"/>
        </w:r>
        <w:r>
          <w:rPr>
            <w:noProof/>
            <w:webHidden/>
          </w:rPr>
          <w:t>130</w:t>
        </w:r>
        <w:r w:rsidR="00C22857">
          <w:rPr>
            <w:noProof/>
            <w:webHidden/>
          </w:rPr>
          <w:fldChar w:fldCharType="end"/>
        </w:r>
      </w:hyperlink>
    </w:p>
    <w:p w14:paraId="5D65F320"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2" w:history="1">
        <w:r w:rsidR="00C22857" w:rsidRPr="00637D61">
          <w:rPr>
            <w:rStyle w:val="Hyperlink"/>
            <w:noProof/>
          </w:rPr>
          <w:t>Table F 1: Draft efficiency labelling grades for refrigerated display cabinets.</w:t>
        </w:r>
        <w:r w:rsidR="00C22857">
          <w:rPr>
            <w:noProof/>
            <w:webHidden/>
          </w:rPr>
          <w:tab/>
        </w:r>
        <w:r w:rsidR="00C22857">
          <w:rPr>
            <w:noProof/>
            <w:webHidden/>
          </w:rPr>
          <w:fldChar w:fldCharType="begin"/>
        </w:r>
        <w:r w:rsidR="00C22857">
          <w:rPr>
            <w:noProof/>
            <w:webHidden/>
          </w:rPr>
          <w:instrText xml:space="preserve"> PAGEREF _Toc500159682 \h </w:instrText>
        </w:r>
        <w:r w:rsidR="00C22857">
          <w:rPr>
            <w:noProof/>
            <w:webHidden/>
          </w:rPr>
        </w:r>
        <w:r w:rsidR="00C22857">
          <w:rPr>
            <w:noProof/>
            <w:webHidden/>
          </w:rPr>
          <w:fldChar w:fldCharType="separate"/>
        </w:r>
        <w:r>
          <w:rPr>
            <w:noProof/>
            <w:webHidden/>
          </w:rPr>
          <w:t>130</w:t>
        </w:r>
        <w:r w:rsidR="00C22857">
          <w:rPr>
            <w:noProof/>
            <w:webHidden/>
          </w:rPr>
          <w:fldChar w:fldCharType="end"/>
        </w:r>
      </w:hyperlink>
    </w:p>
    <w:p w14:paraId="2B2CFAED"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3" w:history="1">
        <w:r w:rsidR="00C22857" w:rsidRPr="00637D61">
          <w:rPr>
            <w:rStyle w:val="Hyperlink"/>
            <w:noProof/>
          </w:rPr>
          <w:t>Table F 2</w:t>
        </w:r>
        <w:r w:rsidR="00C22857" w:rsidRPr="00637D61">
          <w:rPr>
            <w:rStyle w:val="Hyperlink"/>
            <w:noProof/>
            <w:lang w:eastAsia="en-NZ"/>
          </w:rPr>
          <w:t>: Draft “MEPS” improvement implementation dates for refrigerated display cabinets.</w:t>
        </w:r>
        <w:r w:rsidR="00C22857">
          <w:rPr>
            <w:noProof/>
            <w:webHidden/>
          </w:rPr>
          <w:tab/>
        </w:r>
        <w:r w:rsidR="00C22857">
          <w:rPr>
            <w:noProof/>
            <w:webHidden/>
          </w:rPr>
          <w:fldChar w:fldCharType="begin"/>
        </w:r>
        <w:r w:rsidR="00C22857">
          <w:rPr>
            <w:noProof/>
            <w:webHidden/>
          </w:rPr>
          <w:instrText xml:space="preserve"> PAGEREF _Toc500159683 \h </w:instrText>
        </w:r>
        <w:r w:rsidR="00C22857">
          <w:rPr>
            <w:noProof/>
            <w:webHidden/>
          </w:rPr>
        </w:r>
        <w:r w:rsidR="00C22857">
          <w:rPr>
            <w:noProof/>
            <w:webHidden/>
          </w:rPr>
          <w:fldChar w:fldCharType="separate"/>
        </w:r>
        <w:r>
          <w:rPr>
            <w:noProof/>
            <w:webHidden/>
          </w:rPr>
          <w:t>131</w:t>
        </w:r>
        <w:r w:rsidR="00C22857">
          <w:rPr>
            <w:noProof/>
            <w:webHidden/>
          </w:rPr>
          <w:fldChar w:fldCharType="end"/>
        </w:r>
      </w:hyperlink>
    </w:p>
    <w:p w14:paraId="77A329F0"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4" w:history="1">
        <w:r w:rsidR="00C22857" w:rsidRPr="00637D61">
          <w:rPr>
            <w:rStyle w:val="Hyperlink"/>
            <w:noProof/>
          </w:rPr>
          <w:t>Table F 3</w:t>
        </w:r>
        <w:r w:rsidR="00C22857" w:rsidRPr="00637D61">
          <w:rPr>
            <w:rStyle w:val="Hyperlink"/>
            <w:noProof/>
            <w:lang w:eastAsia="en-NZ"/>
          </w:rPr>
          <w:t>: Draft M and N coefficients for Refrigerated display cabinets.</w:t>
        </w:r>
        <w:r w:rsidR="00C22857">
          <w:rPr>
            <w:noProof/>
            <w:webHidden/>
          </w:rPr>
          <w:tab/>
        </w:r>
        <w:r w:rsidR="00C22857">
          <w:rPr>
            <w:noProof/>
            <w:webHidden/>
          </w:rPr>
          <w:fldChar w:fldCharType="begin"/>
        </w:r>
        <w:r w:rsidR="00C22857">
          <w:rPr>
            <w:noProof/>
            <w:webHidden/>
          </w:rPr>
          <w:instrText xml:space="preserve"> PAGEREF _Toc500159684 \h </w:instrText>
        </w:r>
        <w:r w:rsidR="00C22857">
          <w:rPr>
            <w:noProof/>
            <w:webHidden/>
          </w:rPr>
        </w:r>
        <w:r w:rsidR="00C22857">
          <w:rPr>
            <w:noProof/>
            <w:webHidden/>
          </w:rPr>
          <w:fldChar w:fldCharType="separate"/>
        </w:r>
        <w:r>
          <w:rPr>
            <w:noProof/>
            <w:webHidden/>
          </w:rPr>
          <w:t>132</w:t>
        </w:r>
        <w:r w:rsidR="00C22857">
          <w:rPr>
            <w:noProof/>
            <w:webHidden/>
          </w:rPr>
          <w:fldChar w:fldCharType="end"/>
        </w:r>
      </w:hyperlink>
    </w:p>
    <w:p w14:paraId="498CE635"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5" w:history="1">
        <w:r w:rsidR="00C22857" w:rsidRPr="00637D61">
          <w:rPr>
            <w:rStyle w:val="Hyperlink"/>
            <w:noProof/>
          </w:rPr>
          <w:t>Table F 4</w:t>
        </w:r>
        <w:r w:rsidR="00C22857" w:rsidRPr="00637D61">
          <w:rPr>
            <w:rStyle w:val="Hyperlink"/>
            <w:noProof/>
            <w:lang w:val="en-NZ"/>
          </w:rPr>
          <w:t>. Coefficient values.</w:t>
        </w:r>
        <w:r w:rsidR="00C22857">
          <w:rPr>
            <w:noProof/>
            <w:webHidden/>
          </w:rPr>
          <w:tab/>
        </w:r>
        <w:r w:rsidR="00C22857">
          <w:rPr>
            <w:noProof/>
            <w:webHidden/>
          </w:rPr>
          <w:fldChar w:fldCharType="begin"/>
        </w:r>
        <w:r w:rsidR="00C22857">
          <w:rPr>
            <w:noProof/>
            <w:webHidden/>
          </w:rPr>
          <w:instrText xml:space="preserve"> PAGEREF _Toc500159685 \h </w:instrText>
        </w:r>
        <w:r w:rsidR="00C22857">
          <w:rPr>
            <w:noProof/>
            <w:webHidden/>
          </w:rPr>
        </w:r>
        <w:r w:rsidR="00C22857">
          <w:rPr>
            <w:noProof/>
            <w:webHidden/>
          </w:rPr>
          <w:fldChar w:fldCharType="separate"/>
        </w:r>
        <w:r>
          <w:rPr>
            <w:noProof/>
            <w:webHidden/>
          </w:rPr>
          <w:t>132</w:t>
        </w:r>
        <w:r w:rsidR="00C22857">
          <w:rPr>
            <w:noProof/>
            <w:webHidden/>
          </w:rPr>
          <w:fldChar w:fldCharType="end"/>
        </w:r>
      </w:hyperlink>
    </w:p>
    <w:p w14:paraId="3D684935"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6" w:history="1">
        <w:r w:rsidR="00C22857" w:rsidRPr="00637D61">
          <w:rPr>
            <w:rStyle w:val="Hyperlink"/>
            <w:noProof/>
          </w:rPr>
          <w:t>Table F 5</w:t>
        </w:r>
        <w:r w:rsidR="00C22857" w:rsidRPr="00637D61">
          <w:rPr>
            <w:rStyle w:val="Hyperlink"/>
            <w:noProof/>
            <w:lang w:eastAsia="en-NZ"/>
          </w:rPr>
          <w:t>: M and N coefficients for refrigerated storage cabinets.</w:t>
        </w:r>
        <w:r w:rsidR="00C22857">
          <w:rPr>
            <w:noProof/>
            <w:webHidden/>
          </w:rPr>
          <w:tab/>
        </w:r>
        <w:r w:rsidR="00C22857">
          <w:rPr>
            <w:noProof/>
            <w:webHidden/>
          </w:rPr>
          <w:fldChar w:fldCharType="begin"/>
        </w:r>
        <w:r w:rsidR="00C22857">
          <w:rPr>
            <w:noProof/>
            <w:webHidden/>
          </w:rPr>
          <w:instrText xml:space="preserve"> PAGEREF _Toc500159686 \h </w:instrText>
        </w:r>
        <w:r w:rsidR="00C22857">
          <w:rPr>
            <w:noProof/>
            <w:webHidden/>
          </w:rPr>
        </w:r>
        <w:r w:rsidR="00C22857">
          <w:rPr>
            <w:noProof/>
            <w:webHidden/>
          </w:rPr>
          <w:fldChar w:fldCharType="separate"/>
        </w:r>
        <w:r>
          <w:rPr>
            <w:noProof/>
            <w:webHidden/>
          </w:rPr>
          <w:t>134</w:t>
        </w:r>
        <w:r w:rsidR="00C22857">
          <w:rPr>
            <w:noProof/>
            <w:webHidden/>
          </w:rPr>
          <w:fldChar w:fldCharType="end"/>
        </w:r>
      </w:hyperlink>
    </w:p>
    <w:p w14:paraId="64CD5ACE"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7" w:history="1">
        <w:r w:rsidR="00C22857" w:rsidRPr="00637D61">
          <w:rPr>
            <w:rStyle w:val="Hyperlink"/>
            <w:noProof/>
          </w:rPr>
          <w:t>Table F 7</w:t>
        </w:r>
        <w:r w:rsidR="00C22857" w:rsidRPr="00637D61">
          <w:rPr>
            <w:rStyle w:val="Hyperlink"/>
            <w:noProof/>
            <w:lang w:eastAsia="en-NZ"/>
          </w:rPr>
          <w:t>: “MEPS” improvement implementation dates for refrigerated storage cabinets.</w:t>
        </w:r>
        <w:r w:rsidR="00C22857">
          <w:rPr>
            <w:noProof/>
            <w:webHidden/>
          </w:rPr>
          <w:tab/>
        </w:r>
        <w:r w:rsidR="00C22857">
          <w:rPr>
            <w:noProof/>
            <w:webHidden/>
          </w:rPr>
          <w:fldChar w:fldCharType="begin"/>
        </w:r>
        <w:r w:rsidR="00C22857">
          <w:rPr>
            <w:noProof/>
            <w:webHidden/>
          </w:rPr>
          <w:instrText xml:space="preserve"> PAGEREF _Toc500159687 \h </w:instrText>
        </w:r>
        <w:r w:rsidR="00C22857">
          <w:rPr>
            <w:noProof/>
            <w:webHidden/>
          </w:rPr>
        </w:r>
        <w:r w:rsidR="00C22857">
          <w:rPr>
            <w:noProof/>
            <w:webHidden/>
          </w:rPr>
          <w:fldChar w:fldCharType="separate"/>
        </w:r>
        <w:r>
          <w:rPr>
            <w:noProof/>
            <w:webHidden/>
          </w:rPr>
          <w:t>135</w:t>
        </w:r>
        <w:r w:rsidR="00C22857">
          <w:rPr>
            <w:noProof/>
            <w:webHidden/>
          </w:rPr>
          <w:fldChar w:fldCharType="end"/>
        </w:r>
      </w:hyperlink>
    </w:p>
    <w:p w14:paraId="352187E6"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8" w:history="1">
        <w:r w:rsidR="00C22857" w:rsidRPr="00637D61">
          <w:rPr>
            <w:rStyle w:val="Hyperlink"/>
            <w:noProof/>
          </w:rPr>
          <w:t>Table 10: Summary structure of EU combined group classifications.</w:t>
        </w:r>
        <w:r w:rsidR="00C22857">
          <w:rPr>
            <w:noProof/>
            <w:webHidden/>
          </w:rPr>
          <w:tab/>
        </w:r>
        <w:r w:rsidR="00C22857">
          <w:rPr>
            <w:noProof/>
            <w:webHidden/>
          </w:rPr>
          <w:fldChar w:fldCharType="begin"/>
        </w:r>
        <w:r w:rsidR="00C22857">
          <w:rPr>
            <w:noProof/>
            <w:webHidden/>
          </w:rPr>
          <w:instrText xml:space="preserve"> PAGEREF _Toc500159688 \h </w:instrText>
        </w:r>
        <w:r w:rsidR="00C22857">
          <w:rPr>
            <w:noProof/>
            <w:webHidden/>
          </w:rPr>
        </w:r>
        <w:r w:rsidR="00C22857">
          <w:rPr>
            <w:noProof/>
            <w:webHidden/>
          </w:rPr>
          <w:fldChar w:fldCharType="separate"/>
        </w:r>
        <w:r>
          <w:rPr>
            <w:noProof/>
            <w:webHidden/>
          </w:rPr>
          <w:t>139</w:t>
        </w:r>
        <w:r w:rsidR="00C22857">
          <w:rPr>
            <w:noProof/>
            <w:webHidden/>
          </w:rPr>
          <w:fldChar w:fldCharType="end"/>
        </w:r>
      </w:hyperlink>
    </w:p>
    <w:p w14:paraId="62674E15" w14:textId="77777777" w:rsidR="00C22857" w:rsidRDefault="00D51B4B">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9" w:history="1">
        <w:r w:rsidR="00C22857" w:rsidRPr="00637D61">
          <w:rPr>
            <w:rStyle w:val="Hyperlink"/>
            <w:noProof/>
          </w:rPr>
          <w:t>Table F 8: PRC Energy efficiency grades of refrigerated display cabinets with remote condensing units.</w:t>
        </w:r>
        <w:r w:rsidR="00C22857">
          <w:rPr>
            <w:noProof/>
            <w:webHidden/>
          </w:rPr>
          <w:tab/>
        </w:r>
        <w:r w:rsidR="00C22857">
          <w:rPr>
            <w:noProof/>
            <w:webHidden/>
          </w:rPr>
          <w:fldChar w:fldCharType="begin"/>
        </w:r>
        <w:r w:rsidR="00C22857">
          <w:rPr>
            <w:noProof/>
            <w:webHidden/>
          </w:rPr>
          <w:instrText xml:space="preserve"> PAGEREF _Toc500159689 \h </w:instrText>
        </w:r>
        <w:r w:rsidR="00C22857">
          <w:rPr>
            <w:noProof/>
            <w:webHidden/>
          </w:rPr>
        </w:r>
        <w:r w:rsidR="00C22857">
          <w:rPr>
            <w:noProof/>
            <w:webHidden/>
          </w:rPr>
          <w:fldChar w:fldCharType="separate"/>
        </w:r>
        <w:r>
          <w:rPr>
            <w:noProof/>
            <w:webHidden/>
          </w:rPr>
          <w:t>142</w:t>
        </w:r>
        <w:r w:rsidR="00C22857">
          <w:rPr>
            <w:noProof/>
            <w:webHidden/>
          </w:rPr>
          <w:fldChar w:fldCharType="end"/>
        </w:r>
      </w:hyperlink>
    </w:p>
    <w:p w14:paraId="2807C977" w14:textId="42987C6B" w:rsidR="00FA7B90" w:rsidRDefault="006D1444" w:rsidP="00A46E34">
      <w:pPr>
        <w:pStyle w:val="E3BodyText"/>
        <w:rPr>
          <w:noProof/>
          <w:szCs w:val="22"/>
        </w:rPr>
      </w:pPr>
      <w:r w:rsidRPr="00F20882">
        <w:rPr>
          <w:noProof/>
          <w:szCs w:val="22"/>
        </w:rPr>
        <w:fldChar w:fldCharType="end"/>
      </w:r>
    </w:p>
    <w:p w14:paraId="61683910" w14:textId="77777777" w:rsidR="00D100F1" w:rsidRDefault="00D100F1" w:rsidP="00A46E34">
      <w:pPr>
        <w:pStyle w:val="E3BodyText"/>
        <w:rPr>
          <w:noProof/>
          <w:szCs w:val="22"/>
        </w:rPr>
      </w:pPr>
    </w:p>
    <w:p w14:paraId="76620296" w14:textId="77777777" w:rsidR="00D100F1" w:rsidRDefault="00D100F1" w:rsidP="00A46E34">
      <w:pPr>
        <w:pStyle w:val="E3BodyText"/>
        <w:rPr>
          <w:noProof/>
          <w:szCs w:val="22"/>
        </w:rPr>
      </w:pPr>
    </w:p>
    <w:p w14:paraId="290A2449" w14:textId="77777777" w:rsidR="00D100F1" w:rsidRDefault="00D100F1" w:rsidP="00A46E34">
      <w:pPr>
        <w:pStyle w:val="E3BodyText"/>
        <w:rPr>
          <w:noProof/>
          <w:szCs w:val="22"/>
        </w:rPr>
      </w:pPr>
    </w:p>
    <w:p w14:paraId="051EDEAA" w14:textId="77777777" w:rsidR="00D100F1" w:rsidRDefault="00D100F1" w:rsidP="00A46E34">
      <w:pPr>
        <w:pStyle w:val="E3BodyText"/>
        <w:rPr>
          <w:noProof/>
          <w:szCs w:val="22"/>
        </w:rPr>
      </w:pPr>
    </w:p>
    <w:p w14:paraId="0C50C094" w14:textId="77777777" w:rsidR="00D100F1" w:rsidRDefault="00D100F1" w:rsidP="00A46E34">
      <w:pPr>
        <w:pStyle w:val="E3BodyText"/>
        <w:rPr>
          <w:noProof/>
          <w:szCs w:val="22"/>
        </w:rPr>
      </w:pPr>
    </w:p>
    <w:p w14:paraId="10F8B6AD" w14:textId="77777777" w:rsidR="00D100F1" w:rsidRDefault="00D100F1" w:rsidP="00A46E34">
      <w:pPr>
        <w:pStyle w:val="E3BodyText"/>
        <w:rPr>
          <w:noProof/>
          <w:szCs w:val="22"/>
        </w:rPr>
      </w:pPr>
    </w:p>
    <w:p w14:paraId="3084B436" w14:textId="77777777" w:rsidR="00D100F1" w:rsidRDefault="00D100F1" w:rsidP="00A46E34">
      <w:pPr>
        <w:pStyle w:val="E3BodyText"/>
        <w:rPr>
          <w:noProof/>
          <w:szCs w:val="22"/>
        </w:rPr>
      </w:pPr>
    </w:p>
    <w:p w14:paraId="5017C4CA" w14:textId="171BB0DD" w:rsidR="00BD0CDF" w:rsidRDefault="00BD0CDF" w:rsidP="00D100F1">
      <w:pPr>
        <w:pStyle w:val="TOC1"/>
      </w:pPr>
      <w:r w:rsidRPr="00D100F1">
        <w:lastRenderedPageBreak/>
        <w:t>List of figures</w:t>
      </w:r>
    </w:p>
    <w:p w14:paraId="65255A3F" w14:textId="77777777" w:rsidR="00D100F1" w:rsidRPr="00D100F1" w:rsidRDefault="00D100F1" w:rsidP="00D100F1">
      <w:pPr>
        <w:pStyle w:val="TableofFigures"/>
        <w:tabs>
          <w:tab w:val="right" w:leader="dot" w:pos="9629"/>
        </w:tabs>
      </w:pPr>
    </w:p>
    <w:p w14:paraId="567C5192" w14:textId="14A537B7" w:rsidR="00A46E34" w:rsidRPr="00F20882" w:rsidRDefault="00A46E34" w:rsidP="00FA7B90">
      <w:pPr>
        <w:pStyle w:val="E3Figuretitles"/>
        <w:spacing w:after="0"/>
        <w:jc w:val="both"/>
        <w:rPr>
          <w:rFonts w:eastAsia="Calibri" w:cs="Georgia"/>
          <w:b w:val="0"/>
          <w:bCs w:val="0"/>
          <w:noProof/>
          <w:color w:val="000000"/>
          <w:sz w:val="24"/>
          <w:szCs w:val="22"/>
        </w:rPr>
      </w:pPr>
      <w:bookmarkStart w:id="3" w:name="_Toc495045821"/>
      <w:r w:rsidRPr="00F20882">
        <w:rPr>
          <w:rFonts w:eastAsia="Calibri" w:cs="Georgia"/>
          <w:b w:val="0"/>
          <w:bCs w:val="0"/>
          <w:noProof/>
          <w:color w:val="000000"/>
          <w:sz w:val="24"/>
          <w:szCs w:val="22"/>
        </w:rPr>
        <w:t xml:space="preserve">Figure </w:t>
      </w:r>
      <w:r w:rsidRPr="00F20882">
        <w:rPr>
          <w:rFonts w:eastAsia="Calibri" w:cs="Georgia"/>
          <w:b w:val="0"/>
          <w:bCs w:val="0"/>
          <w:noProof/>
          <w:color w:val="000000"/>
          <w:sz w:val="24"/>
          <w:szCs w:val="22"/>
        </w:rPr>
        <w:fldChar w:fldCharType="begin"/>
      </w:r>
      <w:r w:rsidRPr="00F20882">
        <w:rPr>
          <w:rFonts w:eastAsia="Calibri" w:cs="Georgia"/>
          <w:b w:val="0"/>
          <w:bCs w:val="0"/>
          <w:noProof/>
          <w:color w:val="000000"/>
          <w:sz w:val="24"/>
          <w:szCs w:val="22"/>
        </w:rPr>
        <w:instrText xml:space="preserve"> SEQ Figure \* ARABIC </w:instrText>
      </w:r>
      <w:r w:rsidRPr="00F20882">
        <w:rPr>
          <w:rFonts w:eastAsia="Calibri" w:cs="Georgia"/>
          <w:b w:val="0"/>
          <w:bCs w:val="0"/>
          <w:noProof/>
          <w:color w:val="000000"/>
          <w:sz w:val="24"/>
          <w:szCs w:val="22"/>
        </w:rPr>
        <w:fldChar w:fldCharType="separate"/>
      </w:r>
      <w:r w:rsidR="00D51B4B">
        <w:rPr>
          <w:rFonts w:eastAsia="Calibri" w:cs="Georgia"/>
          <w:b w:val="0"/>
          <w:bCs w:val="0"/>
          <w:noProof/>
          <w:color w:val="000000"/>
          <w:sz w:val="24"/>
          <w:szCs w:val="22"/>
        </w:rPr>
        <w:t>1</w:t>
      </w:r>
      <w:r w:rsidRPr="00F20882">
        <w:rPr>
          <w:rFonts w:eastAsia="Calibri" w:cs="Georgia"/>
          <w:b w:val="0"/>
          <w:bCs w:val="0"/>
          <w:noProof/>
          <w:color w:val="000000"/>
          <w:sz w:val="24"/>
          <w:szCs w:val="22"/>
        </w:rPr>
        <w:fldChar w:fldCharType="end"/>
      </w:r>
      <w:r w:rsidRPr="00F20882">
        <w:rPr>
          <w:rFonts w:eastAsia="Calibri" w:cs="Georgia"/>
          <w:b w:val="0"/>
          <w:bCs w:val="0"/>
          <w:noProof/>
          <w:color w:val="000000"/>
          <w:sz w:val="24"/>
          <w:szCs w:val="22"/>
        </w:rPr>
        <w:t>: E</w:t>
      </w:r>
      <w:r w:rsidR="00D77C24">
        <w:rPr>
          <w:rFonts w:eastAsia="Calibri" w:cs="Georgia"/>
          <w:b w:val="0"/>
          <w:bCs w:val="0"/>
          <w:noProof/>
          <w:color w:val="000000"/>
          <w:sz w:val="24"/>
          <w:szCs w:val="22"/>
        </w:rPr>
        <w:t xml:space="preserve">xamples of refrigerated display </w:t>
      </w:r>
      <w:r w:rsidRPr="00F20882">
        <w:rPr>
          <w:rFonts w:eastAsia="Calibri" w:cs="Georgia"/>
          <w:b w:val="0"/>
          <w:bCs w:val="0"/>
          <w:noProof/>
          <w:color w:val="000000"/>
          <w:sz w:val="24"/>
          <w:szCs w:val="22"/>
        </w:rPr>
        <w:t>cabinets</w:t>
      </w:r>
      <w:bookmarkEnd w:id="3"/>
      <w:r w:rsidR="00FA7B90">
        <w:rPr>
          <w:rFonts w:eastAsia="Calibri" w:cs="Georgia"/>
          <w:b w:val="0"/>
          <w:bCs w:val="0"/>
          <w:noProof/>
          <w:color w:val="000000"/>
          <w:sz w:val="24"/>
          <w:szCs w:val="22"/>
        </w:rPr>
        <w:t>……………………………………………………..17</w:t>
      </w:r>
    </w:p>
    <w:p w14:paraId="7A5239B5" w14:textId="544C93E8" w:rsidR="00A46E34" w:rsidRPr="00F20882" w:rsidRDefault="00A46E34" w:rsidP="00FA7B90">
      <w:pPr>
        <w:pStyle w:val="E3Figuretitles"/>
        <w:spacing w:after="0"/>
        <w:jc w:val="both"/>
        <w:rPr>
          <w:rFonts w:eastAsia="Calibri" w:cs="Georgia"/>
          <w:b w:val="0"/>
          <w:bCs w:val="0"/>
          <w:noProof/>
          <w:color w:val="000000"/>
          <w:sz w:val="24"/>
          <w:szCs w:val="22"/>
        </w:rPr>
      </w:pPr>
      <w:r w:rsidRPr="00F20882">
        <w:rPr>
          <w:rFonts w:eastAsia="Calibri" w:cs="Georgia"/>
          <w:b w:val="0"/>
          <w:bCs w:val="0"/>
          <w:noProof/>
          <w:color w:val="000000"/>
          <w:sz w:val="24"/>
          <w:szCs w:val="22"/>
        </w:rPr>
        <w:t>Figure 2: Storge cabinets…………………………………………</w:t>
      </w:r>
      <w:r w:rsidR="00FA7B90">
        <w:rPr>
          <w:rFonts w:eastAsia="Calibri" w:cs="Georgia"/>
          <w:b w:val="0"/>
          <w:bCs w:val="0"/>
          <w:noProof/>
          <w:color w:val="000000"/>
          <w:sz w:val="24"/>
          <w:szCs w:val="22"/>
        </w:rPr>
        <w:t>…………………………………………………18</w:t>
      </w:r>
    </w:p>
    <w:p w14:paraId="3F7CD5A2" w14:textId="1BF72431" w:rsidR="00A46E34" w:rsidRPr="00F20882" w:rsidRDefault="00A46E34" w:rsidP="00FA7B90">
      <w:pPr>
        <w:spacing w:after="0"/>
        <w:jc w:val="both"/>
        <w:rPr>
          <w:rFonts w:eastAsia="Calibri" w:cs="Georgia"/>
          <w:noProof/>
          <w:color w:val="000000"/>
          <w:sz w:val="24"/>
          <w:szCs w:val="22"/>
          <w:lang w:val="en-US"/>
        </w:rPr>
      </w:pPr>
      <w:r w:rsidRPr="00F20882">
        <w:rPr>
          <w:rFonts w:eastAsia="Calibri" w:cs="Georgia"/>
          <w:noProof/>
          <w:color w:val="000000"/>
          <w:sz w:val="24"/>
          <w:szCs w:val="22"/>
          <w:lang w:val="en-US"/>
        </w:rPr>
        <w:t>Figure 3: Refrigerated commercial cabinet supply chain</w:t>
      </w:r>
      <w:r w:rsidR="00FA7B90">
        <w:rPr>
          <w:rFonts w:eastAsia="Calibri" w:cs="Georgia"/>
          <w:noProof/>
          <w:color w:val="000000"/>
          <w:sz w:val="24"/>
          <w:szCs w:val="22"/>
          <w:lang w:val="en-US"/>
        </w:rPr>
        <w:t>……………………………………………….20</w:t>
      </w:r>
    </w:p>
    <w:p w14:paraId="331C6B83" w14:textId="771AB3E1" w:rsidR="00A46E34" w:rsidRPr="00F20882" w:rsidRDefault="00A46E34" w:rsidP="00A46E34">
      <w:pPr>
        <w:spacing w:after="0"/>
        <w:rPr>
          <w:rFonts w:eastAsia="Calibri" w:cs="Georgia"/>
          <w:noProof/>
          <w:color w:val="000000"/>
          <w:sz w:val="24"/>
          <w:szCs w:val="22"/>
          <w:lang w:val="en-US"/>
        </w:rPr>
      </w:pPr>
      <w:r w:rsidRPr="00F20882">
        <w:rPr>
          <w:rFonts w:eastAsia="Calibri" w:cs="Georgia"/>
          <w:noProof/>
          <w:color w:val="000000"/>
          <w:sz w:val="24"/>
          <w:szCs w:val="22"/>
          <w:lang w:val="en-US"/>
        </w:rPr>
        <w:t>Figure 4: estimated annual BAU energy consumption of refrigerated display and storage cabinets (by category) in Australia and New Zealand to 2016 and projected to 2035……</w:t>
      </w:r>
      <w:r w:rsidR="00FA7B90">
        <w:rPr>
          <w:rFonts w:eastAsia="Calibri" w:cs="Georgia"/>
          <w:noProof/>
          <w:color w:val="000000"/>
          <w:sz w:val="24"/>
          <w:szCs w:val="22"/>
          <w:lang w:val="en-US"/>
        </w:rPr>
        <w:t>…22</w:t>
      </w:r>
    </w:p>
    <w:p w14:paraId="64555B40" w14:textId="65164D0B" w:rsidR="00A46E34" w:rsidRPr="00F20882" w:rsidRDefault="00A46E34" w:rsidP="00A46E34">
      <w:pPr>
        <w:spacing w:after="0"/>
        <w:rPr>
          <w:rFonts w:eastAsia="Calibri" w:cs="Georgia"/>
          <w:noProof/>
          <w:color w:val="000000"/>
          <w:sz w:val="24"/>
          <w:szCs w:val="22"/>
          <w:lang w:val="en-US"/>
        </w:rPr>
      </w:pPr>
      <w:r w:rsidRPr="00F20882">
        <w:rPr>
          <w:rFonts w:eastAsia="Calibri" w:cs="Georgia"/>
          <w:noProof/>
          <w:color w:val="000000"/>
          <w:sz w:val="24"/>
          <w:szCs w:val="22"/>
          <w:lang w:val="en-US"/>
        </w:rPr>
        <w:t>Figure 5: 2015 Commercial refrigerated cabinet stock in Australia</w:t>
      </w:r>
      <w:r w:rsidR="00FA7B90">
        <w:rPr>
          <w:rFonts w:eastAsia="Calibri" w:cs="Georgia"/>
          <w:noProof/>
          <w:color w:val="000000"/>
          <w:sz w:val="24"/>
          <w:szCs w:val="22"/>
          <w:lang w:val="en-US"/>
        </w:rPr>
        <w:t xml:space="preserve"> (estimate)………………..23</w:t>
      </w:r>
    </w:p>
    <w:p w14:paraId="399A9E36" w14:textId="1EB21092" w:rsidR="00A46E34" w:rsidRPr="00F20882" w:rsidRDefault="00A46E34" w:rsidP="00A46E34">
      <w:pPr>
        <w:spacing w:after="0"/>
        <w:rPr>
          <w:rFonts w:eastAsia="Calibri" w:cs="Georgia"/>
          <w:noProof/>
          <w:color w:val="000000"/>
          <w:sz w:val="24"/>
          <w:szCs w:val="22"/>
          <w:lang w:val="en-US"/>
        </w:rPr>
      </w:pPr>
      <w:r w:rsidRPr="00F20882">
        <w:rPr>
          <w:rFonts w:eastAsia="Calibri" w:cs="Georgia"/>
          <w:noProof/>
          <w:color w:val="000000"/>
          <w:sz w:val="24"/>
          <w:szCs w:val="22"/>
          <w:lang w:val="en-US"/>
        </w:rPr>
        <w:t>Figure 6: Projected stock in Australia from 2000 to 20</w:t>
      </w:r>
      <w:r w:rsidR="00FA7B90">
        <w:rPr>
          <w:rFonts w:eastAsia="Calibri" w:cs="Georgia"/>
          <w:noProof/>
          <w:color w:val="000000"/>
          <w:sz w:val="24"/>
          <w:szCs w:val="22"/>
          <w:lang w:val="en-US"/>
        </w:rPr>
        <w:t>35…………………………………………….24</w:t>
      </w:r>
    </w:p>
    <w:p w14:paraId="7BB45009" w14:textId="4641762E" w:rsidR="00A46E34" w:rsidRPr="00F20882" w:rsidRDefault="00A46E34" w:rsidP="00A46E34">
      <w:pPr>
        <w:spacing w:after="0"/>
        <w:rPr>
          <w:rFonts w:eastAsia="Calibri" w:cs="Georgia"/>
          <w:noProof/>
          <w:color w:val="000000"/>
          <w:sz w:val="24"/>
          <w:szCs w:val="22"/>
          <w:lang w:val="en-US"/>
        </w:rPr>
      </w:pPr>
      <w:r w:rsidRPr="00F20882">
        <w:rPr>
          <w:rFonts w:eastAsia="Calibri" w:cs="Georgia"/>
          <w:noProof/>
          <w:color w:val="000000"/>
          <w:sz w:val="24"/>
          <w:szCs w:val="22"/>
          <w:lang w:val="en-US"/>
        </w:rPr>
        <w:t xml:space="preserve">Figure 7: Projected stock in New Zealand from 2000 to </w:t>
      </w:r>
      <w:r w:rsidR="00FA7B90">
        <w:rPr>
          <w:rFonts w:eastAsia="Calibri" w:cs="Georgia"/>
          <w:noProof/>
          <w:color w:val="000000"/>
          <w:sz w:val="24"/>
          <w:szCs w:val="22"/>
          <w:lang w:val="en-US"/>
        </w:rPr>
        <w:t>2035………………………………………25</w:t>
      </w:r>
    </w:p>
    <w:p w14:paraId="4F6F61FA" w14:textId="5B7E8ACE" w:rsidR="00A46E34" w:rsidRPr="00F20882" w:rsidRDefault="00A46E34" w:rsidP="00A46E34">
      <w:pPr>
        <w:spacing w:after="0"/>
        <w:rPr>
          <w:rFonts w:eastAsia="Calibri" w:cs="Georgia"/>
          <w:noProof/>
          <w:color w:val="000000"/>
          <w:sz w:val="24"/>
          <w:szCs w:val="22"/>
          <w:lang w:val="en-US"/>
        </w:rPr>
      </w:pPr>
      <w:r w:rsidRPr="00F20882">
        <w:rPr>
          <w:rFonts w:eastAsia="Calibri" w:cs="Georgia"/>
          <w:noProof/>
          <w:color w:val="000000"/>
          <w:sz w:val="24"/>
          <w:szCs w:val="22"/>
          <w:lang w:val="en-US"/>
        </w:rPr>
        <w:t>Figure 8: 2015 Commercial refrigerated cabinet stock in New Zeal</w:t>
      </w:r>
      <w:r w:rsidR="00FA7B90">
        <w:rPr>
          <w:rFonts w:eastAsia="Calibri" w:cs="Georgia"/>
          <w:noProof/>
          <w:color w:val="000000"/>
          <w:sz w:val="24"/>
          <w:szCs w:val="22"/>
          <w:lang w:val="en-US"/>
        </w:rPr>
        <w:t>and (estimate)………….26</w:t>
      </w:r>
    </w:p>
    <w:p w14:paraId="7F0EA5A2" w14:textId="05D636BF" w:rsidR="00A46E34" w:rsidRPr="00F20882" w:rsidRDefault="00A46E34" w:rsidP="00A46E34">
      <w:pPr>
        <w:spacing w:after="0"/>
        <w:rPr>
          <w:rFonts w:eastAsia="Calibri" w:cs="Georgia"/>
          <w:noProof/>
          <w:color w:val="000000"/>
          <w:sz w:val="24"/>
          <w:szCs w:val="22"/>
          <w:lang w:val="en-US"/>
        </w:rPr>
      </w:pPr>
      <w:r w:rsidRPr="00F20882">
        <w:rPr>
          <w:rFonts w:eastAsia="Calibri" w:cs="Georgia"/>
          <w:noProof/>
          <w:color w:val="000000"/>
          <w:sz w:val="24"/>
          <w:szCs w:val="22"/>
          <w:lang w:val="en-US"/>
        </w:rPr>
        <w:t>Figure 9:  Process map for the interpretation of AS 1731</w:t>
      </w:r>
      <w:r w:rsidR="00FA7B90">
        <w:rPr>
          <w:rFonts w:eastAsia="Calibri" w:cs="Georgia"/>
          <w:noProof/>
          <w:color w:val="000000"/>
          <w:sz w:val="24"/>
          <w:szCs w:val="22"/>
          <w:lang w:val="en-US"/>
        </w:rPr>
        <w:t>………………………………………………35</w:t>
      </w:r>
    </w:p>
    <w:p w14:paraId="6FF534AE" w14:textId="56E6B56F" w:rsidR="00A46E34" w:rsidRPr="00F20882" w:rsidRDefault="00A46E34" w:rsidP="00A46E34">
      <w:pPr>
        <w:spacing w:after="0"/>
        <w:rPr>
          <w:rFonts w:eastAsia="Calibri" w:cs="Georgia"/>
          <w:noProof/>
          <w:color w:val="000000"/>
          <w:sz w:val="24"/>
          <w:szCs w:val="22"/>
          <w:lang w:val="en-US"/>
        </w:rPr>
      </w:pPr>
      <w:r w:rsidRPr="00F20882">
        <w:rPr>
          <w:rFonts w:eastAsia="Calibri" w:cs="Georgia"/>
          <w:noProof/>
          <w:color w:val="000000"/>
          <w:sz w:val="24"/>
          <w:szCs w:val="22"/>
          <w:lang w:val="en-US"/>
        </w:rPr>
        <w:t>Figure 10: Sales weighted average efficiency (NZ data) for the most pop</w:t>
      </w:r>
      <w:r w:rsidR="00FA7B90">
        <w:rPr>
          <w:rFonts w:eastAsia="Calibri" w:cs="Georgia"/>
          <w:noProof/>
          <w:color w:val="000000"/>
          <w:sz w:val="24"/>
          <w:szCs w:val="22"/>
          <w:lang w:val="en-US"/>
        </w:rPr>
        <w:t>ular cabinet classes………………………………………………………………………………………………………………….</w:t>
      </w:r>
      <w:r w:rsidR="004B5AEC">
        <w:rPr>
          <w:rFonts w:eastAsia="Calibri" w:cs="Georgia"/>
          <w:noProof/>
          <w:color w:val="000000"/>
          <w:sz w:val="24"/>
          <w:szCs w:val="22"/>
          <w:lang w:val="en-US"/>
        </w:rPr>
        <w:t>.</w:t>
      </w:r>
      <w:r w:rsidR="00FA7B90">
        <w:rPr>
          <w:rFonts w:eastAsia="Calibri" w:cs="Georgia"/>
          <w:noProof/>
          <w:color w:val="000000"/>
          <w:sz w:val="24"/>
          <w:szCs w:val="22"/>
          <w:lang w:val="en-US"/>
        </w:rPr>
        <w:t>..37</w:t>
      </w:r>
    </w:p>
    <w:p w14:paraId="2CF2E8BB" w14:textId="4FC24C95" w:rsidR="00A46E34" w:rsidRPr="00F20882" w:rsidRDefault="00A46E34" w:rsidP="00A46E34">
      <w:pPr>
        <w:spacing w:after="0"/>
        <w:rPr>
          <w:rFonts w:eastAsia="Calibri" w:cs="Georgia"/>
          <w:noProof/>
          <w:color w:val="000000"/>
          <w:sz w:val="24"/>
          <w:szCs w:val="22"/>
          <w:lang w:val="en-US"/>
        </w:rPr>
      </w:pPr>
      <w:r w:rsidRPr="00F20882">
        <w:rPr>
          <w:rFonts w:eastAsia="Calibri" w:cs="Georgia"/>
          <w:noProof/>
          <w:color w:val="000000"/>
          <w:sz w:val="24"/>
          <w:szCs w:val="22"/>
          <w:lang w:val="en-US"/>
        </w:rPr>
        <w:t>Figure 11: Analysis of sales, price &amp; efficiency of the most purchased cabinet</w:t>
      </w:r>
      <w:r w:rsidR="004B5AEC">
        <w:rPr>
          <w:rFonts w:eastAsia="Calibri" w:cs="Georgia"/>
          <w:noProof/>
          <w:color w:val="000000"/>
          <w:sz w:val="24"/>
          <w:szCs w:val="22"/>
          <w:lang w:val="en-US"/>
        </w:rPr>
        <w:t xml:space="preserve"> type in New Zealand, 2015…………………………………………………………………………………………………………..39</w:t>
      </w:r>
    </w:p>
    <w:p w14:paraId="7DD70899" w14:textId="132C69C6" w:rsidR="00A46E34" w:rsidRPr="00F20882" w:rsidRDefault="00A46E34" w:rsidP="00A46E34">
      <w:pPr>
        <w:spacing w:after="0"/>
        <w:rPr>
          <w:rFonts w:eastAsia="Calibri" w:cs="Georgia"/>
          <w:noProof/>
          <w:color w:val="000000"/>
          <w:sz w:val="24"/>
          <w:szCs w:val="22"/>
          <w:lang w:val="en-US"/>
        </w:rPr>
      </w:pPr>
      <w:r w:rsidRPr="00F20882">
        <w:rPr>
          <w:rFonts w:eastAsia="Calibri" w:cs="Georgia"/>
          <w:noProof/>
          <w:color w:val="000000"/>
          <w:sz w:val="24"/>
          <w:szCs w:val="22"/>
          <w:lang w:val="en-US"/>
        </w:rPr>
        <w:t>Figure 12: Sales profile for Australia and New Zealand in 2016, based on 15 groups of cabinet types……………………</w:t>
      </w:r>
      <w:r w:rsidR="004B5AEC">
        <w:rPr>
          <w:rFonts w:eastAsia="Calibri" w:cs="Georgia"/>
          <w:noProof/>
          <w:color w:val="000000"/>
          <w:sz w:val="24"/>
          <w:szCs w:val="22"/>
          <w:lang w:val="en-US"/>
        </w:rPr>
        <w:t>………</w:t>
      </w:r>
      <w:r w:rsidR="00BC55CF">
        <w:rPr>
          <w:rFonts w:eastAsia="Calibri" w:cs="Georgia"/>
          <w:noProof/>
          <w:color w:val="000000"/>
          <w:sz w:val="24"/>
          <w:szCs w:val="22"/>
          <w:lang w:val="en-US"/>
        </w:rPr>
        <w:t>………………………………………………………………………………54</w:t>
      </w:r>
    </w:p>
    <w:p w14:paraId="3D71DE67" w14:textId="4790D746" w:rsidR="00A46E34" w:rsidRPr="00F20882" w:rsidRDefault="00A46E34" w:rsidP="00A46E34">
      <w:pPr>
        <w:spacing w:after="0"/>
        <w:rPr>
          <w:rFonts w:eastAsia="Calibri" w:cs="Georgia"/>
          <w:noProof/>
          <w:color w:val="000000"/>
          <w:sz w:val="24"/>
          <w:szCs w:val="22"/>
          <w:lang w:val="en-US"/>
        </w:rPr>
      </w:pPr>
      <w:r w:rsidRPr="00F20882">
        <w:rPr>
          <w:rFonts w:eastAsia="Calibri" w:cs="Georgia"/>
          <w:noProof/>
          <w:color w:val="000000"/>
          <w:sz w:val="24"/>
          <w:szCs w:val="22"/>
          <w:lang w:val="en-US"/>
        </w:rPr>
        <w:t>Figure 13: Generic example of proposed EU label (left) and generic Energy Rating label (right)…………………………</w:t>
      </w:r>
      <w:r w:rsidR="004B5AEC">
        <w:rPr>
          <w:rFonts w:eastAsia="Calibri" w:cs="Georgia"/>
          <w:noProof/>
          <w:color w:val="000000"/>
          <w:sz w:val="24"/>
          <w:szCs w:val="22"/>
          <w:lang w:val="en-US"/>
        </w:rPr>
        <w:t>…………………………………………………………………………………….…….</w:t>
      </w:r>
      <w:r w:rsidR="00BC55CF">
        <w:rPr>
          <w:rFonts w:eastAsia="Calibri" w:cs="Georgia"/>
          <w:noProof/>
          <w:color w:val="000000"/>
          <w:sz w:val="24"/>
          <w:szCs w:val="22"/>
          <w:lang w:val="en-US"/>
        </w:rPr>
        <w:t>58</w:t>
      </w:r>
    </w:p>
    <w:p w14:paraId="546DE2F8" w14:textId="71AA95D7" w:rsidR="00A46E34" w:rsidRPr="00F20882" w:rsidRDefault="00A46E34" w:rsidP="00A46E34">
      <w:pPr>
        <w:spacing w:after="0"/>
        <w:rPr>
          <w:rFonts w:eastAsia="Calibri" w:cs="Georgia"/>
          <w:noProof/>
          <w:color w:val="000000"/>
          <w:sz w:val="24"/>
          <w:szCs w:val="22"/>
          <w:lang w:val="en-US"/>
        </w:rPr>
      </w:pPr>
      <w:r w:rsidRPr="00F20882">
        <w:rPr>
          <w:rFonts w:eastAsia="Calibri" w:cs="Georgia"/>
          <w:noProof/>
          <w:color w:val="000000"/>
          <w:sz w:val="24"/>
          <w:szCs w:val="22"/>
          <w:lang w:val="en-US"/>
        </w:rPr>
        <w:t>Figure 14: Annual energy consumption from Option 2</w:t>
      </w:r>
      <w:r w:rsidR="004B5AEC">
        <w:rPr>
          <w:rFonts w:eastAsia="Calibri" w:cs="Georgia"/>
          <w:noProof/>
          <w:color w:val="000000"/>
          <w:sz w:val="24"/>
          <w:szCs w:val="22"/>
          <w:lang w:val="en-US"/>
        </w:rPr>
        <w:t>…………………………………………………6</w:t>
      </w:r>
      <w:r w:rsidR="00BC55CF">
        <w:rPr>
          <w:rFonts w:eastAsia="Calibri" w:cs="Georgia"/>
          <w:noProof/>
          <w:color w:val="000000"/>
          <w:sz w:val="24"/>
          <w:szCs w:val="22"/>
          <w:lang w:val="en-US"/>
        </w:rPr>
        <w:t>8</w:t>
      </w:r>
    </w:p>
    <w:p w14:paraId="16A91DDC" w14:textId="6F798F04" w:rsidR="00A46E34" w:rsidRPr="00F20882" w:rsidRDefault="00A46E34" w:rsidP="00A46E34">
      <w:pPr>
        <w:spacing w:after="0"/>
        <w:rPr>
          <w:rFonts w:eastAsia="Calibri" w:cs="Georgia"/>
          <w:noProof/>
          <w:color w:val="000000"/>
          <w:sz w:val="24"/>
          <w:szCs w:val="22"/>
          <w:lang w:val="en-US"/>
        </w:rPr>
      </w:pPr>
      <w:r w:rsidRPr="00F20882">
        <w:rPr>
          <w:rFonts w:eastAsia="Calibri" w:cs="Georgia"/>
          <w:noProof/>
          <w:color w:val="000000"/>
          <w:sz w:val="24"/>
          <w:szCs w:val="22"/>
          <w:lang w:val="en-US"/>
        </w:rPr>
        <w:t>Figure 15: Annual energy consumption from Option 3…</w:t>
      </w:r>
      <w:r w:rsidR="00BC55CF">
        <w:rPr>
          <w:rFonts w:eastAsia="Calibri" w:cs="Georgia"/>
          <w:noProof/>
          <w:color w:val="000000"/>
          <w:sz w:val="24"/>
          <w:szCs w:val="22"/>
          <w:lang w:val="en-US"/>
        </w:rPr>
        <w:t>……………………………………………...71</w:t>
      </w:r>
    </w:p>
    <w:p w14:paraId="785BAF13" w14:textId="69F0796E" w:rsidR="00A46E34" w:rsidRPr="00F20882" w:rsidRDefault="00A46E34" w:rsidP="00A46E34">
      <w:pPr>
        <w:spacing w:after="0"/>
        <w:rPr>
          <w:rFonts w:eastAsia="Calibri" w:cs="Georgia"/>
          <w:noProof/>
          <w:color w:val="000000"/>
          <w:sz w:val="24"/>
          <w:szCs w:val="22"/>
          <w:lang w:val="en-US"/>
        </w:rPr>
      </w:pPr>
      <w:r w:rsidRPr="00F20882">
        <w:rPr>
          <w:rFonts w:eastAsia="Calibri" w:cs="Georgia"/>
          <w:noProof/>
          <w:color w:val="000000"/>
          <w:sz w:val="24"/>
          <w:szCs w:val="22"/>
          <w:lang w:val="en-US"/>
        </w:rPr>
        <w:t>Figure 16: Annual energy consumption from Option 4…</w:t>
      </w:r>
      <w:r w:rsidR="00BC55CF">
        <w:rPr>
          <w:rFonts w:eastAsia="Calibri" w:cs="Georgia"/>
          <w:noProof/>
          <w:color w:val="000000"/>
          <w:sz w:val="24"/>
          <w:szCs w:val="22"/>
          <w:lang w:val="en-US"/>
        </w:rPr>
        <w:t>………………………………………………74</w:t>
      </w:r>
    </w:p>
    <w:p w14:paraId="0E11FCB7" w14:textId="23A21719" w:rsidR="00BD0CDF" w:rsidRDefault="00BD0CDF" w:rsidP="00480F88">
      <w:pPr>
        <w:pStyle w:val="E3BodyText"/>
        <w:rPr>
          <w:noProof/>
          <w:szCs w:val="22"/>
        </w:rPr>
      </w:pPr>
    </w:p>
    <w:p w14:paraId="6E023948" w14:textId="77777777" w:rsidR="00D100F1" w:rsidRDefault="00D100F1" w:rsidP="00480F88">
      <w:pPr>
        <w:pStyle w:val="E3BodyText"/>
        <w:rPr>
          <w:noProof/>
          <w:szCs w:val="22"/>
        </w:rPr>
      </w:pPr>
    </w:p>
    <w:p w14:paraId="665C6BCD" w14:textId="77777777" w:rsidR="00D100F1" w:rsidRDefault="00D100F1" w:rsidP="00480F88">
      <w:pPr>
        <w:pStyle w:val="E3BodyText"/>
        <w:rPr>
          <w:noProof/>
          <w:szCs w:val="22"/>
        </w:rPr>
      </w:pPr>
    </w:p>
    <w:p w14:paraId="02A08000" w14:textId="77777777" w:rsidR="00D100F1" w:rsidRPr="00F20882" w:rsidRDefault="00D100F1" w:rsidP="00480F88">
      <w:pPr>
        <w:pStyle w:val="E3BodyText"/>
        <w:rPr>
          <w:noProof/>
          <w:szCs w:val="22"/>
        </w:rPr>
      </w:pPr>
    </w:p>
    <w:p w14:paraId="6318A6EF" w14:textId="77777777" w:rsidR="00A37E0E" w:rsidRPr="00F20882" w:rsidRDefault="00A37E0E" w:rsidP="00480F88">
      <w:pPr>
        <w:pStyle w:val="E3BodyText"/>
        <w:rPr>
          <w:noProof/>
          <w:szCs w:val="22"/>
        </w:rPr>
      </w:pPr>
    </w:p>
    <w:p w14:paraId="24827D0E" w14:textId="77777777" w:rsidR="00A37E0E" w:rsidRDefault="00A37E0E" w:rsidP="00480F88">
      <w:pPr>
        <w:pStyle w:val="E3BodyText"/>
        <w:sectPr w:rsidR="00A37E0E" w:rsidSect="00863204">
          <w:headerReference w:type="first" r:id="rId19"/>
          <w:footerReference w:type="first" r:id="rId20"/>
          <w:pgSz w:w="11907" w:h="16840" w:code="9"/>
          <w:pgMar w:top="1134" w:right="1134" w:bottom="1418" w:left="1134" w:header="709" w:footer="709" w:gutter="0"/>
          <w:cols w:space="720"/>
          <w:titlePg/>
          <w:docGrid w:linePitch="360"/>
        </w:sectPr>
      </w:pPr>
    </w:p>
    <w:p w14:paraId="3D043F74" w14:textId="77777777" w:rsidR="003C469D" w:rsidRDefault="00D04E72" w:rsidP="003C469D">
      <w:pPr>
        <w:pStyle w:val="E3ChapterTitle"/>
      </w:pPr>
      <w:bookmarkStart w:id="4" w:name="_Toc500151773"/>
      <w:r>
        <w:lastRenderedPageBreak/>
        <w:t>Glossary</w:t>
      </w:r>
      <w:bookmarkEnd w:id="4"/>
    </w:p>
    <w:p w14:paraId="79D8714C" w14:textId="77777777" w:rsidR="00D04E72" w:rsidRPr="00D04E72" w:rsidRDefault="00D04E72" w:rsidP="00D04E72">
      <w:pPr>
        <w:pStyle w:val="E3BodyText"/>
        <w:rPr>
          <w:lang w:val="en-AU"/>
        </w:rPr>
        <w:sectPr w:rsidR="00D04E72" w:rsidRPr="00D04E72" w:rsidSect="003C469D">
          <w:headerReference w:type="default" r:id="rId21"/>
          <w:footerReference w:type="first" r:id="rId22"/>
          <w:pgSz w:w="11907" w:h="16840" w:code="9"/>
          <w:pgMar w:top="1134" w:right="1134" w:bottom="1418" w:left="1134" w:header="709" w:footer="709" w:gutter="0"/>
          <w:cols w:space="720"/>
          <w:titlePg/>
          <w:docGrid w:linePitch="360"/>
        </w:sectPr>
      </w:pPr>
    </w:p>
    <w:p w14:paraId="7F7F6ABD" w14:textId="77777777" w:rsidR="000B53C0" w:rsidRDefault="000B53C0" w:rsidP="00480F88">
      <w:pPr>
        <w:pStyle w:val="E3BodyText"/>
      </w:pPr>
    </w:p>
    <w:p w14:paraId="562ED7DC" w14:textId="77777777" w:rsidR="00A37E0E" w:rsidRPr="000B53C0" w:rsidRDefault="000B53C0" w:rsidP="000B53C0">
      <w:pPr>
        <w:rPr>
          <w:lang w:val="en-US"/>
        </w:rPr>
        <w:sectPr w:rsidR="00A37E0E" w:rsidRPr="000B53C0" w:rsidSect="004A314E">
          <w:type w:val="continuous"/>
          <w:pgSz w:w="11907" w:h="16840" w:code="9"/>
          <w:pgMar w:top="1134" w:right="1134" w:bottom="1418" w:left="1134" w:header="709" w:footer="709" w:gutter="0"/>
          <w:cols w:space="720"/>
          <w:titlePg/>
          <w:docGrid w:linePitch="360"/>
        </w:sectPr>
      </w:pPr>
      <w:r>
        <w:rPr>
          <w:noProof/>
          <w:lang w:eastAsia="en-AU"/>
        </w:rPr>
        <w:drawing>
          <wp:inline distT="0" distB="0" distL="0" distR="0" wp14:anchorId="12A93688" wp14:editId="3112B00E">
            <wp:extent cx="6120765" cy="45154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4515485"/>
                    </a:xfrm>
                    <a:prstGeom prst="rect">
                      <a:avLst/>
                    </a:prstGeom>
                  </pic:spPr>
                </pic:pic>
              </a:graphicData>
            </a:graphic>
          </wp:inline>
        </w:drawing>
      </w:r>
    </w:p>
    <w:p w14:paraId="5E1BEEDB" w14:textId="77777777" w:rsidR="003C469D" w:rsidRDefault="003C469D" w:rsidP="003C469D">
      <w:pPr>
        <w:pStyle w:val="E3ChapterTitle"/>
        <w:sectPr w:rsidR="003C469D" w:rsidSect="008747F0">
          <w:footerReference w:type="first" r:id="rId24"/>
          <w:pgSz w:w="11907" w:h="16840" w:code="9"/>
          <w:pgMar w:top="1134" w:right="1134" w:bottom="1418" w:left="1134" w:header="709" w:footer="709" w:gutter="0"/>
          <w:pgNumType w:start="1"/>
          <w:cols w:space="720"/>
          <w:titlePg/>
          <w:docGrid w:linePitch="360"/>
        </w:sectPr>
      </w:pPr>
      <w:bookmarkStart w:id="5" w:name="_Toc496004761"/>
      <w:bookmarkStart w:id="6" w:name="_Toc496010658"/>
      <w:bookmarkStart w:id="7" w:name="_Toc500151774"/>
      <w:r>
        <w:lastRenderedPageBreak/>
        <w:t>E</w:t>
      </w:r>
      <w:r w:rsidR="000B53C0">
        <w:t>xecutive Summary</w:t>
      </w:r>
      <w:bookmarkEnd w:id="5"/>
      <w:bookmarkEnd w:id="6"/>
      <w:bookmarkEnd w:id="7"/>
    </w:p>
    <w:p w14:paraId="70A742E3" w14:textId="77777777" w:rsidR="000B53C0" w:rsidRDefault="000B53C0" w:rsidP="000B53C0">
      <w:pPr>
        <w:pStyle w:val="E3BodyText"/>
        <w:spacing w:line="360" w:lineRule="auto"/>
        <w:rPr>
          <w:b/>
        </w:rPr>
      </w:pPr>
    </w:p>
    <w:p w14:paraId="0A608320" w14:textId="598D9BD1" w:rsidR="00E10F09" w:rsidRPr="00E10F09" w:rsidRDefault="000B53C0" w:rsidP="00E10F09">
      <w:pPr>
        <w:pStyle w:val="E3Heading2"/>
        <w:jc w:val="both"/>
      </w:pPr>
      <w:bookmarkStart w:id="8" w:name="_Toc496004762"/>
      <w:bookmarkStart w:id="9" w:name="_Toc496010659"/>
      <w:bookmarkStart w:id="10" w:name="_Toc500151775"/>
      <w:r w:rsidRPr="000B53C0">
        <w:t>Background</w:t>
      </w:r>
      <w:bookmarkEnd w:id="8"/>
      <w:bookmarkEnd w:id="9"/>
      <w:bookmarkEnd w:id="10"/>
    </w:p>
    <w:p w14:paraId="22C2F92A" w14:textId="196C5244" w:rsidR="000B53C0" w:rsidRPr="009E4772" w:rsidRDefault="000B53C0" w:rsidP="0034488E">
      <w:pPr>
        <w:pStyle w:val="E3BodyText"/>
        <w:jc w:val="both"/>
      </w:pPr>
      <w:r w:rsidRPr="009E4772">
        <w:t>This Regulation Impact Statement (RIS) considers policy proposals to improve the energy efficiency</w:t>
      </w:r>
      <w:r>
        <w:t xml:space="preserve"> </w:t>
      </w:r>
      <w:r w:rsidRPr="009E4772">
        <w:t>of commercial refrigerated cabinets – namely:</w:t>
      </w:r>
    </w:p>
    <w:p w14:paraId="0922879F" w14:textId="60847892" w:rsidR="000B53C0" w:rsidRDefault="000B53C0" w:rsidP="0034488E">
      <w:pPr>
        <w:pStyle w:val="E3Bullets"/>
        <w:jc w:val="both"/>
      </w:pPr>
      <w:r w:rsidRPr="00104ACE">
        <w:t>Refrigerated display cabinets - commercial fridges designed to display food or drink for sale. The</w:t>
      </w:r>
      <w:r w:rsidR="005376DD">
        <w:t>se cabinets</w:t>
      </w:r>
      <w:r w:rsidRPr="00104ACE">
        <w:t xml:space="preserve"> are used by retailers such as supermarkets, corner stores and bakeries to keep food and beverages cool or frozen. Many are open-fronted (to allow customer or staff access), or include transparent doors or lids. They are currently regulated for energy efficiency in Australia and New Zealand.</w:t>
      </w:r>
    </w:p>
    <w:p w14:paraId="1FDBCDEF" w14:textId="77777777" w:rsidR="005376DD" w:rsidRPr="00104ACE" w:rsidRDefault="005376DD" w:rsidP="0034488E">
      <w:pPr>
        <w:pStyle w:val="E3Bullets"/>
        <w:numPr>
          <w:ilvl w:val="0"/>
          <w:numId w:val="0"/>
        </w:numPr>
        <w:ind w:left="227"/>
        <w:jc w:val="both"/>
      </w:pPr>
    </w:p>
    <w:p w14:paraId="0CB99863" w14:textId="77777777" w:rsidR="000B53C0" w:rsidRPr="00104ACE" w:rsidRDefault="000B53C0" w:rsidP="0034488E">
      <w:pPr>
        <w:pStyle w:val="E3Bullets"/>
        <w:jc w:val="both"/>
      </w:pPr>
      <w:r w:rsidRPr="00104ACE">
        <w:t>Refrigerated storage cabinets - (also known as professional or service cabinets) typically have solid doors, are often used behind the scenes in kitchens or by catering companies and are not intended to display food for sale. They have not been regulated for energy efficiency in Australia or New Zealand even though they use very similar components to refrigerated display cabinets.</w:t>
      </w:r>
    </w:p>
    <w:p w14:paraId="4717B53A" w14:textId="77777777" w:rsidR="000B53C0" w:rsidRPr="009E4772" w:rsidRDefault="000B53C0" w:rsidP="0034488E">
      <w:pPr>
        <w:pStyle w:val="E3BodyText"/>
        <w:jc w:val="both"/>
      </w:pPr>
      <w:r w:rsidRPr="009E4772">
        <w:t xml:space="preserve">Both </w:t>
      </w:r>
      <w:r>
        <w:t>r</w:t>
      </w:r>
      <w:r w:rsidRPr="009E4772">
        <w:t>efrigerated display and storage cabinets are important in the food sector. They are widely used by a range of companies, from small owner-operated businesses to large companies such as supermarket chains.</w:t>
      </w:r>
    </w:p>
    <w:p w14:paraId="739052CD" w14:textId="77777777" w:rsidR="000B53C0" w:rsidRDefault="000B53C0" w:rsidP="0034488E">
      <w:pPr>
        <w:pStyle w:val="E3BodyText"/>
        <w:jc w:val="both"/>
      </w:pPr>
      <w:r w:rsidRPr="009E4772">
        <w:t>The nature of commercial refrigeration use means that commercial cabinets are commonly used for 24 hours per day, seven days a week – resulting in significant energy use</w:t>
      </w:r>
      <w:r>
        <w:t xml:space="preserve">, running costs and </w:t>
      </w:r>
      <w:r w:rsidRPr="009E4772">
        <w:t xml:space="preserve">greenhouse gas emissions.  </w:t>
      </w:r>
    </w:p>
    <w:p w14:paraId="7CEF7393" w14:textId="77777777" w:rsidR="0034488E" w:rsidRDefault="0034488E" w:rsidP="0034488E">
      <w:pPr>
        <w:pStyle w:val="E3Heading2"/>
        <w:jc w:val="both"/>
      </w:pPr>
    </w:p>
    <w:p w14:paraId="48448BD7" w14:textId="77777777" w:rsidR="00A97BF6" w:rsidRDefault="00A97BF6" w:rsidP="0034488E">
      <w:pPr>
        <w:pStyle w:val="E3Heading2"/>
        <w:jc w:val="both"/>
      </w:pPr>
    </w:p>
    <w:p w14:paraId="57B931D7" w14:textId="77777777" w:rsidR="00A97BF6" w:rsidRDefault="00A97BF6" w:rsidP="0034488E">
      <w:pPr>
        <w:pStyle w:val="E3Heading2"/>
        <w:jc w:val="both"/>
      </w:pPr>
    </w:p>
    <w:p w14:paraId="41BF6C85" w14:textId="77777777" w:rsidR="00A97BF6" w:rsidRDefault="00A97BF6" w:rsidP="0034488E">
      <w:pPr>
        <w:pStyle w:val="E3Heading2"/>
        <w:jc w:val="both"/>
      </w:pPr>
    </w:p>
    <w:p w14:paraId="4FDB894F" w14:textId="77777777" w:rsidR="00A97BF6" w:rsidRDefault="00A97BF6" w:rsidP="0034488E">
      <w:pPr>
        <w:pStyle w:val="E3Heading2"/>
        <w:jc w:val="both"/>
      </w:pPr>
    </w:p>
    <w:p w14:paraId="15D34077" w14:textId="77777777" w:rsidR="00A97BF6" w:rsidRDefault="00A97BF6" w:rsidP="0034488E">
      <w:pPr>
        <w:pStyle w:val="E3Heading2"/>
        <w:jc w:val="both"/>
      </w:pPr>
    </w:p>
    <w:p w14:paraId="29B2C7FB" w14:textId="77777777" w:rsidR="00A97BF6" w:rsidRDefault="00A97BF6" w:rsidP="0034488E">
      <w:pPr>
        <w:pStyle w:val="E3Heading2"/>
        <w:jc w:val="both"/>
      </w:pPr>
    </w:p>
    <w:p w14:paraId="65F3BB49" w14:textId="77777777" w:rsidR="00A97BF6" w:rsidRDefault="00A97BF6" w:rsidP="0034488E">
      <w:pPr>
        <w:pStyle w:val="E3Heading2"/>
        <w:jc w:val="both"/>
      </w:pPr>
    </w:p>
    <w:p w14:paraId="52563413" w14:textId="77777777" w:rsidR="00A97BF6" w:rsidRDefault="00A97BF6" w:rsidP="0034488E">
      <w:pPr>
        <w:pStyle w:val="E3Heading2"/>
        <w:jc w:val="both"/>
      </w:pPr>
    </w:p>
    <w:p w14:paraId="41F07B1A" w14:textId="77777777" w:rsidR="00A97BF6" w:rsidRDefault="00A97BF6" w:rsidP="0034488E">
      <w:pPr>
        <w:pStyle w:val="E3Heading2"/>
        <w:jc w:val="both"/>
      </w:pPr>
    </w:p>
    <w:p w14:paraId="3836AADC" w14:textId="77777777" w:rsidR="00A97BF6" w:rsidRDefault="00A97BF6" w:rsidP="0034488E">
      <w:pPr>
        <w:pStyle w:val="E3Heading2"/>
        <w:jc w:val="both"/>
      </w:pPr>
    </w:p>
    <w:p w14:paraId="02C56F6C" w14:textId="394C1E64" w:rsidR="000B53C0" w:rsidRPr="002F0385" w:rsidRDefault="000B53C0" w:rsidP="0034488E">
      <w:pPr>
        <w:pStyle w:val="E3Heading2"/>
        <w:jc w:val="both"/>
      </w:pPr>
      <w:bookmarkStart w:id="11" w:name="_Toc500151776"/>
      <w:r w:rsidRPr="00F24376">
        <w:lastRenderedPageBreak/>
        <w:t>P</w:t>
      </w:r>
      <w:r w:rsidRPr="002F0385">
        <w:t>roblem</w:t>
      </w:r>
      <w:bookmarkEnd w:id="11"/>
    </w:p>
    <w:p w14:paraId="6B5039E7" w14:textId="55125832" w:rsidR="000B53C0" w:rsidRPr="00696C15" w:rsidRDefault="000B53C0" w:rsidP="0034488E">
      <w:pPr>
        <w:pStyle w:val="E3BodyText"/>
        <w:jc w:val="both"/>
      </w:pPr>
      <w:r w:rsidRPr="00030397">
        <w:t>Energy use from commercial refrigeration is growing in Australia and New Zealand</w:t>
      </w:r>
      <w:r>
        <w:rPr>
          <w:rStyle w:val="FootnoteReference"/>
        </w:rPr>
        <w:footnoteReference w:id="2"/>
      </w:r>
      <w:r w:rsidRPr="00030397">
        <w:t xml:space="preserve">. </w:t>
      </w:r>
      <w:r>
        <w:t>S</w:t>
      </w:r>
      <w:r w:rsidRPr="00AD114D">
        <w:t xml:space="preserve">ales of commercial refrigerated cabinets are expected to increase by </w:t>
      </w:r>
      <w:r>
        <w:t xml:space="preserve">over 40% by 2035. </w:t>
      </w:r>
      <w:r w:rsidRPr="00030397">
        <w:t xml:space="preserve">Annual energy use from commercial cabinets is estimated </w:t>
      </w:r>
      <w:r>
        <w:t>a</w:t>
      </w:r>
      <w:r w:rsidRPr="00030397">
        <w:t xml:space="preserve">t </w:t>
      </w:r>
      <w:r>
        <w:t>7426</w:t>
      </w:r>
      <w:r w:rsidRPr="00030397">
        <w:t xml:space="preserve">GWh for Australia and New Zealand </w:t>
      </w:r>
      <w:r>
        <w:t xml:space="preserve">in </w:t>
      </w:r>
      <w:r w:rsidRPr="00030397">
        <w:t>2015</w:t>
      </w:r>
      <w:r>
        <w:t xml:space="preserve"> and is forecast to increase to over 9000GWh b</w:t>
      </w:r>
      <w:r w:rsidRPr="0041262C">
        <w:t>y 2035, despite general improvements from existing regulation</w:t>
      </w:r>
      <w:r w:rsidRPr="00696C15">
        <w:t>.</w:t>
      </w:r>
    </w:p>
    <w:p w14:paraId="21DD5BC1" w14:textId="77777777" w:rsidR="000B53C0" w:rsidRDefault="000B53C0" w:rsidP="0034488E">
      <w:pPr>
        <w:pStyle w:val="E3BodyText"/>
        <w:jc w:val="both"/>
      </w:pPr>
      <w:r>
        <w:t>Current regulatory requirements applicable to refrigerated commercial cabinets have contributed to the development and supply of more efficient appliances in Australia and New Zealand than would have been the case under BAU. However, there is scope to make significant changes to the regulations that can address the current regulatory problems, namely:</w:t>
      </w:r>
    </w:p>
    <w:p w14:paraId="4415C524" w14:textId="1BAA4DCE" w:rsidR="000B53C0" w:rsidRDefault="000B53C0" w:rsidP="0034488E">
      <w:pPr>
        <w:pStyle w:val="E3Bullets"/>
        <w:jc w:val="both"/>
      </w:pPr>
      <w:r>
        <w:t>MEPS levels are set too low for the Australian and New Zealand markets and are no longer driving improved efficiency.</w:t>
      </w:r>
      <w:r w:rsidRPr="00195EEE">
        <w:t xml:space="preserve"> </w:t>
      </w:r>
      <w:r>
        <w:t xml:space="preserve">More stringent efficiency levels are required to </w:t>
      </w:r>
      <w:r w:rsidR="005376DD">
        <w:t>improve</w:t>
      </w:r>
      <w:r>
        <w:t xml:space="preserve"> energy </w:t>
      </w:r>
      <w:r w:rsidR="005376DD">
        <w:t>use</w:t>
      </w:r>
      <w:r>
        <w:t xml:space="preserve"> in the commercial refrigerated cabinet sector, reduce consumers’ net costs of commercial refrigeration ownership, and also reduce the negative externality of GHG emissions. </w:t>
      </w:r>
    </w:p>
    <w:p w14:paraId="1238E19A" w14:textId="4867F883" w:rsidR="000B53C0" w:rsidRDefault="000B53C0" w:rsidP="0034488E">
      <w:pPr>
        <w:pStyle w:val="E3Bullets"/>
        <w:jc w:val="both"/>
      </w:pPr>
      <w:r>
        <w:t xml:space="preserve">The scope of the regulations is confusing and complicated and has not kept pace with the market. This means refrigerated storage cabinets that are similar in construction to regulated cabinets, and now account for around 20% of the stock, are not included in the scope of the regulations. </w:t>
      </w:r>
    </w:p>
    <w:p w14:paraId="2B339D86" w14:textId="66114A06" w:rsidR="000B53C0" w:rsidRDefault="000B53C0" w:rsidP="0034488E">
      <w:pPr>
        <w:pStyle w:val="E3Bullets"/>
        <w:jc w:val="both"/>
      </w:pPr>
      <w:r>
        <w:t xml:space="preserve">Requiring suppliers to test their appliances to </w:t>
      </w:r>
      <w:r w:rsidR="005376DD">
        <w:t xml:space="preserve">complicated </w:t>
      </w:r>
      <w:r>
        <w:t>Australian and New Zealand</w:t>
      </w:r>
      <w:r w:rsidR="005376DD">
        <w:t xml:space="preserve"> standards, which apply nowhere else in the world</w:t>
      </w:r>
      <w:r>
        <w:t xml:space="preserve"> make appliance testing more </w:t>
      </w:r>
      <w:r w:rsidR="005376DD">
        <w:t xml:space="preserve">difficult </w:t>
      </w:r>
      <w:r>
        <w:t xml:space="preserve">than necessary, resulting in an unnecessarily high regulatory burden that contributes to non-registration of products, especially at the low volume end of the market. </w:t>
      </w:r>
    </w:p>
    <w:p w14:paraId="1F7BD77C" w14:textId="492C0521" w:rsidR="0034488E" w:rsidRDefault="000B53C0" w:rsidP="0034488E">
      <w:pPr>
        <w:pStyle w:val="E3BodyText"/>
        <w:jc w:val="both"/>
      </w:pPr>
      <w:r>
        <w:t xml:space="preserve">These regulatory problems are compounded by market and information failures. The nature of the supply chain in the refrigerated commercial cabinet market means that some buyers are not the end-users creating split incentives regarding cabinet purchase.  There is also a lack of accessible and comparable information about the energy efficiency of cabinets that prevents energy efficiency comparisons between models. Voluntary high efficiency standards that were introduced alongside MEPS have failed to </w:t>
      </w:r>
      <w:r w:rsidR="005376DD">
        <w:t xml:space="preserve">resolve </w:t>
      </w:r>
      <w:r>
        <w:t xml:space="preserve">this due to their low uptake, and are now out-of-date. In addition, the health and environmental costs of greenhouse gas emissions (and other pollutants) from electricity generation, constitute negative externalities that are not reflected in the electricity price.  </w:t>
      </w:r>
    </w:p>
    <w:p w14:paraId="74B2C469" w14:textId="77777777" w:rsidR="0034488E" w:rsidRDefault="0034488E" w:rsidP="0034488E">
      <w:pPr>
        <w:pStyle w:val="E3BodyText"/>
        <w:jc w:val="both"/>
      </w:pPr>
    </w:p>
    <w:p w14:paraId="49807E35" w14:textId="00173DBE" w:rsidR="005376DD" w:rsidRDefault="000B53C0" w:rsidP="0034488E">
      <w:pPr>
        <w:pStyle w:val="E3BodyText"/>
        <w:jc w:val="both"/>
      </w:pPr>
      <w:r>
        <w:lastRenderedPageBreak/>
        <w:t>Consequently there is scope to improve the regulations</w:t>
      </w:r>
      <w:r w:rsidR="0034488E">
        <w:t xml:space="preserve"> </w:t>
      </w:r>
      <w:r w:rsidR="005376DD">
        <w:t>by:</w:t>
      </w:r>
    </w:p>
    <w:p w14:paraId="0F83E17B" w14:textId="0DEADECE" w:rsidR="005376DD" w:rsidRDefault="000B53C0" w:rsidP="0034488E">
      <w:pPr>
        <w:pStyle w:val="E3Bullets"/>
        <w:jc w:val="both"/>
      </w:pPr>
      <w:r>
        <w:t>increasing MEPS levels across the board or harmonising with MEPS levels adopted by Europe in 2017</w:t>
      </w:r>
      <w:r w:rsidRPr="006E48B1">
        <w:rPr>
          <w:vertAlign w:val="superscript"/>
        </w:rPr>
        <w:footnoteReference w:id="3"/>
      </w:r>
      <w:r>
        <w:t xml:space="preserve">; </w:t>
      </w:r>
    </w:p>
    <w:p w14:paraId="66C7A93A" w14:textId="5D6C718C" w:rsidR="005376DD" w:rsidRDefault="000B53C0" w:rsidP="0034488E">
      <w:pPr>
        <w:pStyle w:val="E3Bullets"/>
        <w:jc w:val="both"/>
      </w:pPr>
      <w:r>
        <w:t>adopting ISO and IEC test standards</w:t>
      </w:r>
      <w:r w:rsidRPr="006E48B1">
        <w:rPr>
          <w:vertAlign w:val="superscript"/>
        </w:rPr>
        <w:footnoteReference w:id="4"/>
      </w:r>
      <w:r>
        <w:t>, rather than</w:t>
      </w:r>
      <w:r w:rsidR="00746EFE">
        <w:t xml:space="preserve"> a</w:t>
      </w:r>
      <w:r>
        <w:t xml:space="preserve"> regionally specific Australian and New Zealand test standard</w:t>
      </w:r>
      <w:r>
        <w:rPr>
          <w:rStyle w:val="FootnoteReference"/>
        </w:rPr>
        <w:footnoteReference w:id="5"/>
      </w:r>
      <w:r>
        <w:t xml:space="preserve">; </w:t>
      </w:r>
    </w:p>
    <w:p w14:paraId="16CD9456" w14:textId="77777777" w:rsidR="005376DD" w:rsidRDefault="000B53C0" w:rsidP="0034488E">
      <w:pPr>
        <w:pStyle w:val="E3Bullets"/>
        <w:jc w:val="both"/>
      </w:pPr>
      <w:r>
        <w:t xml:space="preserve">including refrigerated storage cabinets in the scope of the regulations; </w:t>
      </w:r>
    </w:p>
    <w:p w14:paraId="367D48A1" w14:textId="5ECC18F6" w:rsidR="005376DD" w:rsidRDefault="004B298C" w:rsidP="0034488E">
      <w:pPr>
        <w:pStyle w:val="E3Bullets"/>
        <w:jc w:val="both"/>
      </w:pPr>
      <w:r>
        <w:t>providing</w:t>
      </w:r>
      <w:r w:rsidR="000B53C0">
        <w:t xml:space="preserve"> consumers with accessible and comparable information on refrigerated commercial cabinet energy efficiency and running costs.   </w:t>
      </w:r>
    </w:p>
    <w:p w14:paraId="738425A2" w14:textId="26F300E9" w:rsidR="000B53C0" w:rsidRPr="006B6F44" w:rsidRDefault="000B53C0" w:rsidP="0034488E">
      <w:pPr>
        <w:pStyle w:val="E3Bullets"/>
        <w:numPr>
          <w:ilvl w:val="0"/>
          <w:numId w:val="0"/>
        </w:numPr>
        <w:ind w:left="227"/>
        <w:jc w:val="both"/>
      </w:pPr>
      <w:r>
        <w:t xml:space="preserve"> </w:t>
      </w:r>
    </w:p>
    <w:p w14:paraId="5CE65AAA" w14:textId="0825E9EB" w:rsidR="000B53C0" w:rsidRPr="00F24376" w:rsidRDefault="000B53C0" w:rsidP="0034488E">
      <w:pPr>
        <w:pStyle w:val="E3Heading2"/>
        <w:jc w:val="both"/>
      </w:pPr>
      <w:bookmarkStart w:id="12" w:name="_Toc500151777"/>
      <w:r w:rsidRPr="00F24376">
        <w:t>Objective</w:t>
      </w:r>
      <w:bookmarkEnd w:id="12"/>
    </w:p>
    <w:p w14:paraId="0C3121D9" w14:textId="0F810CAE" w:rsidR="000B53C0" w:rsidRDefault="000B53C0" w:rsidP="0034488E">
      <w:pPr>
        <w:pStyle w:val="E3BodyText"/>
        <w:jc w:val="both"/>
      </w:pPr>
      <w:r w:rsidRPr="00104ACE">
        <w:t>The</w:t>
      </w:r>
      <w:r w:rsidRPr="009E4772">
        <w:t xml:space="preserve"> objective of the proposed government action is to </w:t>
      </w:r>
      <w:r>
        <w:t xml:space="preserve">resolve problems with </w:t>
      </w:r>
      <w:r w:rsidRPr="009E4772">
        <w:t>the existing</w:t>
      </w:r>
      <w:r w:rsidR="00B04903">
        <w:t xml:space="preserve"> </w:t>
      </w:r>
      <w:r>
        <w:t xml:space="preserve">regulations </w:t>
      </w:r>
      <w:r w:rsidR="005376DD">
        <w:t xml:space="preserve">that </w:t>
      </w:r>
      <w:r>
        <w:t xml:space="preserve">impede the supply and purchase of energy efficient cabinets and to </w:t>
      </w:r>
      <w:r w:rsidR="005376DD">
        <w:t xml:space="preserve">remove </w:t>
      </w:r>
      <w:r>
        <w:t xml:space="preserve">market and information failures that persist under the status quo. </w:t>
      </w:r>
    </w:p>
    <w:p w14:paraId="53EC3F7F" w14:textId="1F0094EC" w:rsidR="000B53C0" w:rsidRPr="007602B5" w:rsidRDefault="000B53C0" w:rsidP="0034488E">
      <w:pPr>
        <w:pStyle w:val="E3BodyText"/>
        <w:jc w:val="both"/>
      </w:pPr>
      <w:r w:rsidRPr="00104ACE">
        <w:t>The</w:t>
      </w:r>
      <w:r>
        <w:t xml:space="preserve"> proposed regulatory action will </w:t>
      </w:r>
      <w:r w:rsidR="00B04903">
        <w:t xml:space="preserve">help </w:t>
      </w:r>
      <w:r w:rsidR="005376DD">
        <w:t>Australia and New Zealand</w:t>
      </w:r>
      <w:r>
        <w:t xml:space="preserve"> to meet their climate </w:t>
      </w:r>
      <w:r w:rsidR="005376DD">
        <w:t xml:space="preserve">change </w:t>
      </w:r>
      <w:r>
        <w:t>commitments, by improving energy efficiency and reducing greenhouse gas emissions. It will also ensure that the regulations remain relevant and effective over time.</w:t>
      </w:r>
    </w:p>
    <w:p w14:paraId="294CD7C9" w14:textId="77777777" w:rsidR="000B53C0" w:rsidRPr="00F24376" w:rsidRDefault="000B53C0" w:rsidP="0034488E">
      <w:pPr>
        <w:pStyle w:val="E3Heading2"/>
        <w:jc w:val="both"/>
      </w:pPr>
      <w:bookmarkStart w:id="13" w:name="_Toc500151778"/>
      <w:r w:rsidRPr="00F24376">
        <w:t>Policy options</w:t>
      </w:r>
      <w:bookmarkEnd w:id="13"/>
    </w:p>
    <w:p w14:paraId="03FEFC09" w14:textId="0C8FBB4D" w:rsidR="000B53C0" w:rsidRPr="009E4772" w:rsidRDefault="005376DD" w:rsidP="0034488E">
      <w:pPr>
        <w:pStyle w:val="E3BodyText"/>
        <w:jc w:val="both"/>
      </w:pPr>
      <w:r>
        <w:t>Five</w:t>
      </w:r>
      <w:r w:rsidR="000B53C0" w:rsidRPr="009E4772">
        <w:t xml:space="preserve"> policy options have been identified to </w:t>
      </w:r>
      <w:r>
        <w:t>resolve</w:t>
      </w:r>
      <w:r w:rsidRPr="009E4772">
        <w:t xml:space="preserve"> </w:t>
      </w:r>
      <w:r w:rsidR="000B53C0" w:rsidRPr="009E4772">
        <w:t xml:space="preserve">these problems and improve the energy efficiency of </w:t>
      </w:r>
      <w:r w:rsidR="000B53C0">
        <w:t xml:space="preserve">refrigerated </w:t>
      </w:r>
      <w:r w:rsidR="000B53C0" w:rsidRPr="009E4772">
        <w:t xml:space="preserve">commercial cabinets. </w:t>
      </w:r>
      <w:r w:rsidR="000B53C0">
        <w:t xml:space="preserve">There are three </w:t>
      </w:r>
      <w:r w:rsidR="000B53C0" w:rsidRPr="009E4772">
        <w:t xml:space="preserve">regulatory options </w:t>
      </w:r>
      <w:r w:rsidR="000B53C0">
        <w:t>which all involve including refrigerated storage cabinets in the scope of the regulation, increased MEPS levels, adoption of International and European test Standards, and the introduction of</w:t>
      </w:r>
      <w:r w:rsidR="000B53C0" w:rsidRPr="009E4772">
        <w:t xml:space="preserve"> </w:t>
      </w:r>
      <w:r w:rsidR="000B53C0">
        <w:t xml:space="preserve">voluntary online </w:t>
      </w:r>
      <w:r w:rsidR="000B53C0" w:rsidRPr="009E4772">
        <w:t>labelling</w:t>
      </w:r>
      <w:r w:rsidR="000B53C0">
        <w:t xml:space="preserve"> (which replaces the mandatory labelling previously proposed).</w:t>
      </w:r>
    </w:p>
    <w:p w14:paraId="681799B8" w14:textId="0B532469" w:rsidR="000B53C0" w:rsidRPr="009E4772" w:rsidRDefault="000B53C0" w:rsidP="0034488E">
      <w:pPr>
        <w:pStyle w:val="E3BodyText"/>
        <w:jc w:val="both"/>
      </w:pPr>
      <w:r w:rsidRPr="009E4772">
        <w:t xml:space="preserve">The five options </w:t>
      </w:r>
      <w:r w:rsidR="00E54EA0">
        <w:t>are</w:t>
      </w:r>
      <w:r w:rsidRPr="009E4772">
        <w:t xml:space="preserve">: </w:t>
      </w:r>
    </w:p>
    <w:p w14:paraId="6C710760" w14:textId="0FA87BE8" w:rsidR="000B53C0" w:rsidRDefault="000B53C0" w:rsidP="0034488E">
      <w:pPr>
        <w:pStyle w:val="E3Bullets"/>
        <w:jc w:val="both"/>
      </w:pPr>
      <w:r w:rsidRPr="00F20882">
        <w:rPr>
          <w:b/>
        </w:rPr>
        <w:t>Option 1</w:t>
      </w:r>
      <w:r w:rsidRPr="00F20882">
        <w:t xml:space="preserve">: Business as Usual (BAU) – no change to current MEPS requirements </w:t>
      </w:r>
      <w:r w:rsidR="00E54EA0">
        <w:t xml:space="preserve">which </w:t>
      </w:r>
      <w:r w:rsidRPr="00F20882">
        <w:t>primarily covers refrigerated display cabinets.</w:t>
      </w:r>
    </w:p>
    <w:p w14:paraId="3ECBB823" w14:textId="77777777" w:rsidR="00E54EA0" w:rsidRPr="00F20882" w:rsidRDefault="00E54EA0" w:rsidP="0034488E">
      <w:pPr>
        <w:pStyle w:val="E3Bullets"/>
        <w:numPr>
          <w:ilvl w:val="0"/>
          <w:numId w:val="0"/>
        </w:numPr>
        <w:ind w:left="227"/>
        <w:jc w:val="both"/>
      </w:pPr>
    </w:p>
    <w:p w14:paraId="4734DE6B" w14:textId="0F3C570C" w:rsidR="000B53C0" w:rsidRDefault="000B53C0" w:rsidP="0034488E">
      <w:pPr>
        <w:pStyle w:val="E3Bullets"/>
        <w:jc w:val="both"/>
      </w:pPr>
      <w:r w:rsidRPr="00F20882">
        <w:rPr>
          <w:b/>
        </w:rPr>
        <w:t>Option 2:</w:t>
      </w:r>
      <w:r w:rsidRPr="00F20882">
        <w:t xml:space="preserve"> Adopting ISO (international) test method for refrigerated display cabinets and EN (European) test methods for other refrigerated display cabinet types and storage cabinets. Australasian MEPS increased to affect the least efficient 10% of cabinet models, based on groups of similar cabinet types (European method), with voluntary online labelling added. </w:t>
      </w:r>
    </w:p>
    <w:p w14:paraId="18E41E22" w14:textId="23EAFA0B" w:rsidR="00E54EA0" w:rsidRPr="00F20882" w:rsidRDefault="00E54EA0" w:rsidP="0034488E">
      <w:pPr>
        <w:jc w:val="both"/>
      </w:pPr>
    </w:p>
    <w:p w14:paraId="13CF026E" w14:textId="28415FA8" w:rsidR="00E54EA0" w:rsidRDefault="000B53C0" w:rsidP="0034488E">
      <w:pPr>
        <w:pStyle w:val="E3Bullets"/>
        <w:jc w:val="both"/>
      </w:pPr>
      <w:r w:rsidRPr="00F20882">
        <w:rPr>
          <w:b/>
        </w:rPr>
        <w:t>Option 3:</w:t>
      </w:r>
      <w:r w:rsidRPr="00F20882">
        <w:t xml:space="preserve"> As per Option 2 except Australasian MEPS increased to affect the least efficient 30% of models per group. </w:t>
      </w:r>
    </w:p>
    <w:p w14:paraId="7C98FA80" w14:textId="77777777" w:rsidR="00E54EA0" w:rsidRPr="00F20882" w:rsidRDefault="00E54EA0" w:rsidP="0034488E">
      <w:pPr>
        <w:pStyle w:val="E3Bullets"/>
        <w:numPr>
          <w:ilvl w:val="0"/>
          <w:numId w:val="0"/>
        </w:numPr>
        <w:jc w:val="both"/>
      </w:pPr>
    </w:p>
    <w:p w14:paraId="4F9D8B2B" w14:textId="70C6BCD6" w:rsidR="000B53C0" w:rsidRDefault="000B53C0" w:rsidP="0034488E">
      <w:pPr>
        <w:pStyle w:val="E3Bullets"/>
        <w:jc w:val="both"/>
      </w:pPr>
      <w:r w:rsidRPr="00F20882">
        <w:rPr>
          <w:b/>
        </w:rPr>
        <w:t>Option 4</w:t>
      </w:r>
      <w:r w:rsidRPr="00F20882">
        <w:t xml:space="preserve"> As per Option 3 except Australasian MEPS to align with European Commission MEPS levels. Approximately 25% of the market is affected, with some groups affected more than others.  (</w:t>
      </w:r>
      <w:r w:rsidR="00E54EA0">
        <w:t>S</w:t>
      </w:r>
      <w:r w:rsidRPr="00F20882">
        <w:t xml:space="preserve">ee Table 1 below </w:t>
      </w:r>
      <w:r w:rsidR="00E54EA0">
        <w:t>for</w:t>
      </w:r>
      <w:r w:rsidRPr="00F20882">
        <w:t xml:space="preserve"> the relevant standards and EC MEPS levels).</w:t>
      </w:r>
    </w:p>
    <w:p w14:paraId="4C67849C" w14:textId="305F0C8E" w:rsidR="00E54EA0" w:rsidRPr="00F20882" w:rsidRDefault="00E54EA0" w:rsidP="0034488E">
      <w:pPr>
        <w:pStyle w:val="E3Bullets"/>
        <w:numPr>
          <w:ilvl w:val="0"/>
          <w:numId w:val="0"/>
        </w:numPr>
        <w:jc w:val="both"/>
      </w:pPr>
    </w:p>
    <w:p w14:paraId="69F0DB64" w14:textId="77777777" w:rsidR="000B53C0" w:rsidRDefault="000B53C0" w:rsidP="0034488E">
      <w:pPr>
        <w:pStyle w:val="E3Bullets"/>
        <w:jc w:val="both"/>
      </w:pPr>
      <w:r w:rsidRPr="00F20882">
        <w:rPr>
          <w:b/>
        </w:rPr>
        <w:t>Option 5:</w:t>
      </w:r>
      <w:r w:rsidRPr="00F20882">
        <w:t xml:space="preserve"> Non-regulatory options in addition to BAU and as an alternative to regulatory intervention</w:t>
      </w:r>
      <w:r w:rsidRPr="009E4772">
        <w:t>.</w:t>
      </w:r>
      <w:bookmarkStart w:id="14" w:name="_Toc494142451"/>
    </w:p>
    <w:p w14:paraId="731D3493" w14:textId="3B1C6606" w:rsidR="000B53C0" w:rsidRPr="004C3E41" w:rsidRDefault="000B53C0" w:rsidP="0034488E">
      <w:pPr>
        <w:pStyle w:val="E3TableTitles"/>
        <w:jc w:val="both"/>
      </w:pPr>
      <w:bookmarkStart w:id="15" w:name="_Toc500159651"/>
      <w:r w:rsidRPr="004C3E41">
        <w:t xml:space="preserve">Table </w:t>
      </w:r>
      <w:r w:rsidRPr="004C3E41">
        <w:fldChar w:fldCharType="begin"/>
      </w:r>
      <w:r w:rsidRPr="004C3E41">
        <w:instrText xml:space="preserve"> SEQ Table \* ARABIC </w:instrText>
      </w:r>
      <w:r w:rsidRPr="004C3E41">
        <w:fldChar w:fldCharType="separate"/>
      </w:r>
      <w:r w:rsidR="00D51B4B">
        <w:rPr>
          <w:noProof/>
        </w:rPr>
        <w:t>1</w:t>
      </w:r>
      <w:r w:rsidRPr="004C3E41">
        <w:fldChar w:fldCharType="end"/>
      </w:r>
      <w:r w:rsidRPr="004C3E41">
        <w:t>: Published and draft EN Standards and EC MEPS levels (and the parts which are not currently being considered for adoption in Australia and New Zealand).</w:t>
      </w:r>
      <w:bookmarkEnd w:id="14"/>
      <w:bookmarkEnd w:id="15"/>
    </w:p>
    <w:tbl>
      <w:tblPr>
        <w:tblpPr w:leftFromText="180" w:rightFromText="180" w:vertAnchor="text" w:horzAnchor="margin" w:tblpX="216" w:tblpY="158"/>
        <w:tblOverlap w:val="neve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4"/>
        <w:gridCol w:w="1369"/>
        <w:gridCol w:w="1417"/>
        <w:gridCol w:w="3478"/>
      </w:tblGrid>
      <w:tr w:rsidR="000B53C0" w:rsidRPr="00C30B82" w14:paraId="0E39A1D8" w14:textId="77777777" w:rsidTr="00197B9C">
        <w:trPr>
          <w:trHeight w:val="397"/>
        </w:trPr>
        <w:tc>
          <w:tcPr>
            <w:tcW w:w="2984" w:type="dxa"/>
            <w:shd w:val="clear" w:color="auto" w:fill="000000" w:themeFill="text1"/>
            <w:vAlign w:val="center"/>
            <w:hideMark/>
          </w:tcPr>
          <w:p w14:paraId="4276DCD8" w14:textId="77777777" w:rsidR="000B53C0" w:rsidRPr="00D646FE" w:rsidRDefault="000B53C0" w:rsidP="0034488E">
            <w:pPr>
              <w:spacing w:after="0" w:line="240" w:lineRule="auto"/>
              <w:jc w:val="both"/>
              <w:rPr>
                <w:rFonts w:ascii="Helvetica" w:eastAsia="Times New Roman" w:hAnsi="Helvetica" w:cs="Helvetica"/>
                <w:b/>
                <w:color w:val="FFFFFF" w:themeColor="background1"/>
                <w:sz w:val="15"/>
                <w:szCs w:val="15"/>
                <w:lang w:val="en-NZ" w:eastAsia="en-NZ"/>
              </w:rPr>
            </w:pPr>
          </w:p>
        </w:tc>
        <w:tc>
          <w:tcPr>
            <w:tcW w:w="1369" w:type="dxa"/>
            <w:shd w:val="clear" w:color="auto" w:fill="000000" w:themeFill="text1"/>
            <w:vAlign w:val="center"/>
            <w:hideMark/>
          </w:tcPr>
          <w:p w14:paraId="6503249B" w14:textId="77777777" w:rsidR="000B53C0" w:rsidRPr="00962264" w:rsidRDefault="000B53C0" w:rsidP="0034488E">
            <w:pPr>
              <w:spacing w:after="0" w:line="240" w:lineRule="auto"/>
              <w:jc w:val="both"/>
              <w:rPr>
                <w:rFonts w:ascii="Helvetica" w:eastAsia="Times New Roman" w:hAnsi="Helvetica" w:cs="Helvetica"/>
                <w:b/>
                <w:color w:val="FFFFFF" w:themeColor="background1"/>
                <w:sz w:val="15"/>
                <w:szCs w:val="15"/>
                <w:lang w:val="en-NZ" w:eastAsia="en-NZ"/>
              </w:rPr>
            </w:pPr>
            <w:r w:rsidRPr="00962264">
              <w:rPr>
                <w:rFonts w:ascii="Helvetica" w:eastAsia="Times New Roman" w:hAnsi="Helvetica" w:cs="Helvetica"/>
                <w:b/>
                <w:color w:val="FFFFFF" w:themeColor="background1"/>
                <w:sz w:val="15"/>
                <w:szCs w:val="15"/>
                <w:lang w:val="en-NZ" w:eastAsia="en-NZ"/>
              </w:rPr>
              <w:t>Standards</w:t>
            </w:r>
          </w:p>
          <w:p w14:paraId="44A03BDB" w14:textId="77777777" w:rsidR="000B53C0" w:rsidRPr="00D646FE" w:rsidRDefault="000B53C0" w:rsidP="0034488E">
            <w:pPr>
              <w:spacing w:after="0" w:line="240" w:lineRule="auto"/>
              <w:jc w:val="both"/>
              <w:rPr>
                <w:rFonts w:ascii="Helvetica" w:eastAsia="Times New Roman" w:hAnsi="Helvetica" w:cs="Helvetica"/>
                <w:b/>
                <w:color w:val="FFFFFF" w:themeColor="background1"/>
                <w:sz w:val="15"/>
                <w:szCs w:val="15"/>
                <w:lang w:val="en-NZ" w:eastAsia="en-NZ"/>
              </w:rPr>
            </w:pPr>
            <w:r w:rsidRPr="00A4659E">
              <w:rPr>
                <w:rFonts w:ascii="Helvetica" w:eastAsia="Times New Roman" w:hAnsi="Helvetica" w:cs="Helvetica"/>
                <w:b/>
                <w:color w:val="FFFFFF" w:themeColor="background1"/>
                <w:sz w:val="15"/>
                <w:szCs w:val="15"/>
                <w:lang w:val="en-NZ" w:eastAsia="en-NZ"/>
              </w:rPr>
              <w:t xml:space="preserve">Published </w:t>
            </w:r>
          </w:p>
        </w:tc>
        <w:tc>
          <w:tcPr>
            <w:tcW w:w="1417" w:type="dxa"/>
            <w:shd w:val="clear" w:color="auto" w:fill="000000" w:themeFill="text1"/>
            <w:vAlign w:val="center"/>
          </w:tcPr>
          <w:p w14:paraId="52250977" w14:textId="77777777" w:rsidR="000B53C0" w:rsidRPr="00962264" w:rsidRDefault="000B53C0" w:rsidP="0034488E">
            <w:pPr>
              <w:spacing w:after="0" w:line="240" w:lineRule="auto"/>
              <w:jc w:val="both"/>
              <w:rPr>
                <w:rFonts w:ascii="Helvetica" w:eastAsia="Times New Roman" w:hAnsi="Helvetica" w:cs="Helvetica"/>
                <w:b/>
                <w:color w:val="FFFFFF" w:themeColor="background1"/>
                <w:sz w:val="15"/>
                <w:szCs w:val="15"/>
                <w:lang w:val="en-NZ" w:eastAsia="en-NZ"/>
              </w:rPr>
            </w:pPr>
            <w:r w:rsidRPr="00962264">
              <w:rPr>
                <w:rFonts w:ascii="Helvetica" w:eastAsia="Times New Roman" w:hAnsi="Helvetica" w:cs="Helvetica"/>
                <w:b/>
                <w:color w:val="FFFFFF" w:themeColor="background1"/>
                <w:sz w:val="15"/>
                <w:szCs w:val="15"/>
                <w:lang w:val="en-NZ" w:eastAsia="en-NZ"/>
              </w:rPr>
              <w:t>EC MEPS levels</w:t>
            </w:r>
          </w:p>
          <w:p w14:paraId="71E8E9F4" w14:textId="77777777" w:rsidR="000B53C0" w:rsidRPr="00D646FE" w:rsidRDefault="000B53C0" w:rsidP="0034488E">
            <w:pPr>
              <w:spacing w:after="0" w:line="240" w:lineRule="auto"/>
              <w:jc w:val="both"/>
              <w:rPr>
                <w:rFonts w:ascii="Helvetica" w:eastAsia="Times New Roman" w:hAnsi="Helvetica" w:cs="Helvetica"/>
                <w:b/>
                <w:color w:val="FFFFFF" w:themeColor="background1"/>
                <w:sz w:val="15"/>
                <w:szCs w:val="15"/>
                <w:lang w:val="en-NZ" w:eastAsia="en-NZ"/>
              </w:rPr>
            </w:pPr>
            <w:r w:rsidRPr="00A4659E">
              <w:rPr>
                <w:rFonts w:ascii="Helvetica" w:eastAsia="Times New Roman" w:hAnsi="Helvetica" w:cs="Helvetica"/>
                <w:b/>
                <w:color w:val="FFFFFF" w:themeColor="background1"/>
                <w:sz w:val="15"/>
                <w:szCs w:val="15"/>
                <w:lang w:val="en-NZ" w:eastAsia="en-NZ"/>
              </w:rPr>
              <w:t>Published</w:t>
            </w:r>
          </w:p>
        </w:tc>
        <w:tc>
          <w:tcPr>
            <w:tcW w:w="3478" w:type="dxa"/>
            <w:shd w:val="clear" w:color="auto" w:fill="000000" w:themeFill="text1"/>
            <w:vAlign w:val="center"/>
          </w:tcPr>
          <w:p w14:paraId="0F6419AC" w14:textId="77777777" w:rsidR="000B53C0" w:rsidRPr="00D646FE" w:rsidRDefault="000B53C0" w:rsidP="0034488E">
            <w:pPr>
              <w:spacing w:after="0" w:line="240" w:lineRule="auto"/>
              <w:jc w:val="both"/>
              <w:rPr>
                <w:rFonts w:ascii="Helvetica" w:eastAsia="Times New Roman" w:hAnsi="Helvetica" w:cs="Helvetica"/>
                <w:b/>
                <w:color w:val="FFFFFF" w:themeColor="background1"/>
                <w:sz w:val="15"/>
                <w:szCs w:val="15"/>
                <w:lang w:val="en-NZ" w:eastAsia="en-NZ"/>
              </w:rPr>
            </w:pPr>
            <w:r w:rsidRPr="00962264">
              <w:rPr>
                <w:rFonts w:ascii="Helvetica" w:eastAsia="Times New Roman" w:hAnsi="Helvetica" w:cs="Helvetica"/>
                <w:b/>
                <w:color w:val="FFFFFF" w:themeColor="background1"/>
                <w:sz w:val="15"/>
                <w:szCs w:val="15"/>
                <w:lang w:val="en-NZ" w:eastAsia="en-NZ"/>
              </w:rPr>
              <w:t>Parts of standards or regulations that are not being considered by current proposals</w:t>
            </w:r>
          </w:p>
        </w:tc>
      </w:tr>
      <w:tr w:rsidR="000B53C0" w:rsidRPr="00C30B82" w14:paraId="337FD32C" w14:textId="77777777" w:rsidTr="00197B9C">
        <w:trPr>
          <w:trHeight w:val="397"/>
        </w:trPr>
        <w:tc>
          <w:tcPr>
            <w:tcW w:w="2984" w:type="dxa"/>
            <w:shd w:val="clear" w:color="auto" w:fill="auto"/>
            <w:vAlign w:val="center"/>
            <w:hideMark/>
          </w:tcPr>
          <w:p w14:paraId="5402A473" w14:textId="77777777" w:rsidR="000B53C0" w:rsidRPr="00D646FE" w:rsidRDefault="000B53C0" w:rsidP="0034488E">
            <w:pPr>
              <w:spacing w:after="0" w:line="240" w:lineRule="auto"/>
              <w:jc w:val="both"/>
              <w:rPr>
                <w:rFonts w:ascii="Helvetica" w:eastAsia="Times New Roman" w:hAnsi="Helvetica" w:cs="Helvetica"/>
                <w:b/>
                <w:sz w:val="15"/>
                <w:szCs w:val="15"/>
                <w:lang w:val="en-NZ" w:eastAsia="en-NZ"/>
              </w:rPr>
            </w:pPr>
            <w:r w:rsidRPr="00962264">
              <w:rPr>
                <w:rFonts w:ascii="Helvetica" w:eastAsia="Times New Roman" w:hAnsi="Helvetica" w:cs="Helvetica"/>
                <w:b/>
                <w:sz w:val="15"/>
                <w:szCs w:val="15"/>
                <w:lang w:val="en-NZ" w:eastAsia="en-NZ"/>
              </w:rPr>
              <w:t>ISO 23953 Refrigerat</w:t>
            </w:r>
            <w:r w:rsidRPr="00A4659E">
              <w:rPr>
                <w:rFonts w:ascii="Helvetica" w:eastAsia="Times New Roman" w:hAnsi="Helvetica" w:cs="Helvetica"/>
                <w:b/>
                <w:sz w:val="15"/>
                <w:szCs w:val="15"/>
                <w:lang w:val="en-NZ" w:eastAsia="en-NZ"/>
              </w:rPr>
              <w:t>ed Display Cabinets</w:t>
            </w:r>
          </w:p>
        </w:tc>
        <w:tc>
          <w:tcPr>
            <w:tcW w:w="1369" w:type="dxa"/>
            <w:shd w:val="clear" w:color="auto" w:fill="auto"/>
            <w:vAlign w:val="center"/>
            <w:hideMark/>
          </w:tcPr>
          <w:p w14:paraId="046BA679" w14:textId="77777777" w:rsidR="000B53C0" w:rsidRPr="001A279D" w:rsidRDefault="000B53C0" w:rsidP="0034488E">
            <w:pPr>
              <w:pStyle w:val="E3tabletext1"/>
              <w:jc w:val="both"/>
              <w:rPr>
                <w:rFonts w:ascii="Helvetica" w:hAnsi="Helvetica" w:cs="Helvetica"/>
                <w:sz w:val="15"/>
                <w:szCs w:val="15"/>
                <w:lang w:val="en-NZ"/>
              </w:rPr>
            </w:pPr>
            <w:r w:rsidRPr="00962264">
              <w:rPr>
                <w:rFonts w:ascii="Helvetica" w:hAnsi="Helvetica" w:cs="Helvetica"/>
                <w:sz w:val="15"/>
                <w:szCs w:val="15"/>
                <w:lang w:val="en-NZ"/>
              </w:rPr>
              <w:t>Published</w:t>
            </w:r>
          </w:p>
        </w:tc>
        <w:tc>
          <w:tcPr>
            <w:tcW w:w="1417" w:type="dxa"/>
            <w:shd w:val="clear" w:color="auto" w:fill="auto"/>
            <w:vAlign w:val="center"/>
          </w:tcPr>
          <w:p w14:paraId="30DE2981" w14:textId="77777777" w:rsidR="000B53C0" w:rsidRPr="00D646FE" w:rsidRDefault="000B53C0" w:rsidP="0034488E">
            <w:pPr>
              <w:pStyle w:val="E3tabletext1"/>
              <w:jc w:val="both"/>
              <w:rPr>
                <w:rFonts w:ascii="Helvetica" w:hAnsi="Helvetica" w:cs="Helvetica"/>
                <w:b/>
                <w:color w:val="000000"/>
                <w:sz w:val="15"/>
                <w:szCs w:val="15"/>
                <w:lang w:val="en-NZ" w:eastAsia="en-NZ"/>
              </w:rPr>
            </w:pPr>
            <w:r w:rsidRPr="00962264">
              <w:rPr>
                <w:rFonts w:ascii="Helvetica" w:hAnsi="Helvetica" w:cs="Helvetica"/>
                <w:sz w:val="15"/>
                <w:szCs w:val="15"/>
                <w:lang w:val="en-NZ"/>
              </w:rPr>
              <w:t>Draft</w:t>
            </w:r>
          </w:p>
        </w:tc>
        <w:tc>
          <w:tcPr>
            <w:tcW w:w="3478" w:type="dxa"/>
            <w:shd w:val="clear" w:color="auto" w:fill="auto"/>
            <w:vAlign w:val="center"/>
          </w:tcPr>
          <w:p w14:paraId="55EB0085" w14:textId="77777777" w:rsidR="000B53C0" w:rsidRPr="00D646FE" w:rsidRDefault="000B53C0" w:rsidP="0034488E">
            <w:pPr>
              <w:pStyle w:val="E3tabletext1"/>
              <w:jc w:val="both"/>
              <w:rPr>
                <w:rFonts w:ascii="Helvetica" w:hAnsi="Helvetica" w:cs="Helvetica"/>
                <w:b/>
                <w:color w:val="000000"/>
                <w:sz w:val="15"/>
                <w:szCs w:val="15"/>
                <w:lang w:val="en-NZ" w:eastAsia="en-NZ"/>
              </w:rPr>
            </w:pPr>
            <w:r w:rsidRPr="00962264">
              <w:rPr>
                <w:rFonts w:ascii="Helvetica" w:hAnsi="Helvetica" w:cs="Helvetica"/>
                <w:sz w:val="15"/>
                <w:szCs w:val="15"/>
              </w:rPr>
              <w:t>Beverage Vending machines</w:t>
            </w:r>
          </w:p>
        </w:tc>
      </w:tr>
      <w:tr w:rsidR="000B53C0" w:rsidRPr="00C30B82" w14:paraId="278E0D49" w14:textId="77777777" w:rsidTr="00197B9C">
        <w:trPr>
          <w:trHeight w:val="397"/>
        </w:trPr>
        <w:tc>
          <w:tcPr>
            <w:tcW w:w="2984" w:type="dxa"/>
            <w:shd w:val="clear" w:color="auto" w:fill="auto"/>
            <w:vAlign w:val="center"/>
            <w:hideMark/>
          </w:tcPr>
          <w:p w14:paraId="49D50531" w14:textId="77777777" w:rsidR="000B53C0" w:rsidRPr="00D646FE" w:rsidRDefault="000B53C0" w:rsidP="0034488E">
            <w:pPr>
              <w:spacing w:after="0" w:line="240" w:lineRule="auto"/>
              <w:jc w:val="both"/>
              <w:rPr>
                <w:rFonts w:ascii="Helvetica" w:eastAsia="Times New Roman" w:hAnsi="Helvetica" w:cs="Helvetica"/>
                <w:b/>
                <w:sz w:val="15"/>
                <w:szCs w:val="15"/>
                <w:lang w:val="en-NZ" w:eastAsia="en-NZ"/>
              </w:rPr>
            </w:pPr>
            <w:r w:rsidRPr="00962264">
              <w:rPr>
                <w:rFonts w:ascii="Helvetica" w:eastAsia="Times New Roman" w:hAnsi="Helvetica" w:cs="Helvetica"/>
                <w:b/>
                <w:sz w:val="15"/>
                <w:szCs w:val="15"/>
                <w:lang w:val="en-NZ" w:eastAsia="en-NZ"/>
              </w:rPr>
              <w:t xml:space="preserve">EN 16825 </w:t>
            </w:r>
            <w:r w:rsidRPr="00A4659E">
              <w:rPr>
                <w:rFonts w:ascii="Helvetica" w:hAnsi="Helvetica" w:cs="Helvetica"/>
                <w:b/>
                <w:sz w:val="15"/>
                <w:szCs w:val="15"/>
              </w:rPr>
              <w:t>Refrigerated Storage Cabinets and Counters for Professional Use</w:t>
            </w:r>
          </w:p>
        </w:tc>
        <w:tc>
          <w:tcPr>
            <w:tcW w:w="1369" w:type="dxa"/>
            <w:shd w:val="clear" w:color="auto" w:fill="auto"/>
            <w:vAlign w:val="center"/>
          </w:tcPr>
          <w:p w14:paraId="0C350A36" w14:textId="77777777" w:rsidR="000B53C0" w:rsidRPr="001A279D" w:rsidRDefault="000B53C0" w:rsidP="0034488E">
            <w:pPr>
              <w:pStyle w:val="E3tabletext1"/>
              <w:jc w:val="both"/>
              <w:rPr>
                <w:rFonts w:ascii="Helvetica" w:hAnsi="Helvetica" w:cs="Helvetica"/>
                <w:sz w:val="15"/>
                <w:szCs w:val="15"/>
              </w:rPr>
            </w:pPr>
            <w:r w:rsidRPr="00962264">
              <w:rPr>
                <w:rFonts w:ascii="Helvetica" w:hAnsi="Helvetica" w:cs="Helvetica"/>
                <w:sz w:val="15"/>
                <w:szCs w:val="15"/>
                <w:lang w:val="en-NZ"/>
              </w:rPr>
              <w:t>Published</w:t>
            </w:r>
          </w:p>
        </w:tc>
        <w:tc>
          <w:tcPr>
            <w:tcW w:w="1417" w:type="dxa"/>
            <w:shd w:val="clear" w:color="auto" w:fill="auto"/>
            <w:vAlign w:val="center"/>
          </w:tcPr>
          <w:p w14:paraId="69D57230" w14:textId="77777777" w:rsidR="000B53C0" w:rsidRPr="001A279D" w:rsidRDefault="000B53C0" w:rsidP="0034488E">
            <w:pPr>
              <w:pStyle w:val="E3tabletext1"/>
              <w:jc w:val="both"/>
              <w:rPr>
                <w:rFonts w:ascii="Helvetica" w:hAnsi="Helvetica" w:cs="Helvetica"/>
                <w:sz w:val="15"/>
                <w:szCs w:val="15"/>
              </w:rPr>
            </w:pPr>
            <w:r w:rsidRPr="00962264">
              <w:rPr>
                <w:rFonts w:ascii="Helvetica" w:hAnsi="Helvetica" w:cs="Helvetica"/>
                <w:sz w:val="15"/>
                <w:szCs w:val="15"/>
                <w:lang w:val="en-NZ"/>
              </w:rPr>
              <w:t>Published</w:t>
            </w:r>
          </w:p>
        </w:tc>
        <w:tc>
          <w:tcPr>
            <w:tcW w:w="3478" w:type="dxa"/>
            <w:shd w:val="clear" w:color="auto" w:fill="auto"/>
          </w:tcPr>
          <w:p w14:paraId="3C8A7A99" w14:textId="77777777" w:rsidR="000B53C0" w:rsidRPr="001A279D" w:rsidRDefault="000B53C0" w:rsidP="0034488E">
            <w:pPr>
              <w:pStyle w:val="E3tabletext1"/>
              <w:jc w:val="both"/>
              <w:rPr>
                <w:rFonts w:ascii="Helvetica" w:hAnsi="Helvetica" w:cs="Helvetica"/>
                <w:sz w:val="15"/>
                <w:szCs w:val="15"/>
              </w:rPr>
            </w:pPr>
            <w:r w:rsidRPr="00962264">
              <w:rPr>
                <w:rFonts w:ascii="Helvetica" w:hAnsi="Helvetica" w:cs="Helvetica"/>
                <w:sz w:val="15"/>
                <w:szCs w:val="15"/>
              </w:rPr>
              <w:t>Blast cabinets, condensing units and process chillers</w:t>
            </w:r>
          </w:p>
        </w:tc>
      </w:tr>
      <w:tr w:rsidR="000B53C0" w:rsidRPr="00C30B82" w14:paraId="39467725" w14:textId="77777777" w:rsidTr="00197B9C">
        <w:trPr>
          <w:trHeight w:val="397"/>
        </w:trPr>
        <w:tc>
          <w:tcPr>
            <w:tcW w:w="2984" w:type="dxa"/>
            <w:shd w:val="clear" w:color="auto" w:fill="auto"/>
            <w:vAlign w:val="center"/>
          </w:tcPr>
          <w:p w14:paraId="0FA06ADC" w14:textId="77777777" w:rsidR="000B53C0" w:rsidRPr="00D646FE" w:rsidRDefault="000B53C0" w:rsidP="0034488E">
            <w:pPr>
              <w:spacing w:after="0" w:line="240" w:lineRule="auto"/>
              <w:jc w:val="both"/>
              <w:rPr>
                <w:rFonts w:ascii="Helvetica" w:eastAsia="Times New Roman" w:hAnsi="Helvetica" w:cs="Helvetica"/>
                <w:b/>
                <w:sz w:val="15"/>
                <w:szCs w:val="15"/>
                <w:lang w:val="en-NZ" w:eastAsia="en-NZ"/>
              </w:rPr>
            </w:pPr>
            <w:r w:rsidRPr="00962264">
              <w:rPr>
                <w:rFonts w:ascii="Helvetica" w:eastAsia="Times New Roman" w:hAnsi="Helvetica" w:cs="Helvetica"/>
                <w:b/>
                <w:sz w:val="15"/>
                <w:szCs w:val="15"/>
                <w:lang w:val="en-NZ" w:eastAsia="en-NZ"/>
              </w:rPr>
              <w:t xml:space="preserve">EN 16901 Small </w:t>
            </w:r>
            <w:r w:rsidRPr="00A4659E">
              <w:rPr>
                <w:rFonts w:ascii="Helvetica" w:eastAsia="Times New Roman" w:hAnsi="Helvetica" w:cs="Helvetica"/>
                <w:b/>
                <w:sz w:val="15"/>
                <w:szCs w:val="15"/>
                <w:lang w:val="en-NZ" w:eastAsia="en-NZ"/>
              </w:rPr>
              <w:t>Ice-cream Freezers</w:t>
            </w:r>
          </w:p>
        </w:tc>
        <w:tc>
          <w:tcPr>
            <w:tcW w:w="1369" w:type="dxa"/>
            <w:shd w:val="clear" w:color="auto" w:fill="auto"/>
            <w:vAlign w:val="center"/>
          </w:tcPr>
          <w:p w14:paraId="18303C63" w14:textId="77777777" w:rsidR="000B53C0" w:rsidRPr="001A279D" w:rsidRDefault="000B53C0" w:rsidP="0034488E">
            <w:pPr>
              <w:pStyle w:val="E3tabletext1"/>
              <w:jc w:val="both"/>
              <w:rPr>
                <w:rFonts w:ascii="Helvetica" w:hAnsi="Helvetica" w:cs="Helvetica"/>
                <w:sz w:val="15"/>
                <w:szCs w:val="15"/>
              </w:rPr>
            </w:pPr>
            <w:r w:rsidRPr="00962264">
              <w:rPr>
                <w:rFonts w:ascii="Helvetica" w:hAnsi="Helvetica" w:cs="Helvetica"/>
                <w:sz w:val="15"/>
                <w:szCs w:val="15"/>
              </w:rPr>
              <w:t>Published</w:t>
            </w:r>
          </w:p>
        </w:tc>
        <w:tc>
          <w:tcPr>
            <w:tcW w:w="1417" w:type="dxa"/>
            <w:shd w:val="clear" w:color="auto" w:fill="auto"/>
            <w:vAlign w:val="center"/>
          </w:tcPr>
          <w:p w14:paraId="0D8959DD" w14:textId="77777777" w:rsidR="000B53C0" w:rsidRPr="00D646FE" w:rsidRDefault="000B53C0" w:rsidP="0034488E">
            <w:pPr>
              <w:pStyle w:val="E3tabletext1"/>
              <w:jc w:val="both"/>
              <w:rPr>
                <w:rFonts w:ascii="Helvetica" w:hAnsi="Helvetica" w:cs="Helvetica"/>
                <w:b/>
                <w:color w:val="000000"/>
                <w:sz w:val="15"/>
                <w:szCs w:val="15"/>
                <w:lang w:val="en-NZ" w:eastAsia="en-NZ"/>
              </w:rPr>
            </w:pPr>
            <w:r w:rsidRPr="00962264">
              <w:rPr>
                <w:rFonts w:ascii="Helvetica" w:hAnsi="Helvetica" w:cs="Helvetica"/>
                <w:sz w:val="15"/>
                <w:szCs w:val="15"/>
                <w:lang w:val="en-NZ"/>
              </w:rPr>
              <w:t>D</w:t>
            </w:r>
            <w:r w:rsidRPr="00A4659E">
              <w:rPr>
                <w:rFonts w:ascii="Helvetica" w:hAnsi="Helvetica" w:cs="Helvetica"/>
                <w:sz w:val="15"/>
                <w:szCs w:val="15"/>
                <w:lang w:val="en-NZ"/>
              </w:rPr>
              <w:t>raft</w:t>
            </w:r>
          </w:p>
        </w:tc>
        <w:tc>
          <w:tcPr>
            <w:tcW w:w="3478" w:type="dxa"/>
            <w:shd w:val="clear" w:color="auto" w:fill="auto"/>
          </w:tcPr>
          <w:p w14:paraId="69493A17" w14:textId="77777777" w:rsidR="000B53C0" w:rsidRPr="001A279D" w:rsidRDefault="000B53C0" w:rsidP="0034488E">
            <w:pPr>
              <w:pStyle w:val="E3tabletext1"/>
              <w:jc w:val="both"/>
              <w:rPr>
                <w:rFonts w:ascii="Helvetica" w:hAnsi="Helvetica" w:cs="Helvetica"/>
                <w:sz w:val="15"/>
                <w:szCs w:val="15"/>
              </w:rPr>
            </w:pPr>
          </w:p>
        </w:tc>
      </w:tr>
      <w:tr w:rsidR="000B53C0" w:rsidRPr="00C30B82" w14:paraId="75B1C902" w14:textId="77777777" w:rsidTr="00197B9C">
        <w:trPr>
          <w:trHeight w:val="397"/>
        </w:trPr>
        <w:tc>
          <w:tcPr>
            <w:tcW w:w="2984" w:type="dxa"/>
            <w:shd w:val="clear" w:color="auto" w:fill="auto"/>
            <w:vAlign w:val="center"/>
          </w:tcPr>
          <w:p w14:paraId="5F55AAC5" w14:textId="77777777" w:rsidR="000B53C0" w:rsidRPr="00D646FE" w:rsidRDefault="000B53C0" w:rsidP="0034488E">
            <w:pPr>
              <w:spacing w:after="0" w:line="240" w:lineRule="auto"/>
              <w:jc w:val="both"/>
              <w:rPr>
                <w:rFonts w:ascii="Helvetica" w:eastAsia="Times New Roman" w:hAnsi="Helvetica" w:cs="Helvetica"/>
                <w:b/>
                <w:sz w:val="15"/>
                <w:szCs w:val="15"/>
                <w:lang w:val="en-NZ" w:eastAsia="en-NZ"/>
              </w:rPr>
            </w:pPr>
            <w:r w:rsidRPr="00962264">
              <w:rPr>
                <w:rFonts w:ascii="Helvetica" w:eastAsia="Times New Roman" w:hAnsi="Helvetica" w:cs="Helvetica"/>
                <w:b/>
                <w:sz w:val="15"/>
                <w:szCs w:val="15"/>
                <w:lang w:val="en-NZ" w:eastAsia="en-NZ"/>
              </w:rPr>
              <w:t>EN 16838 Refrigerated Display S</w:t>
            </w:r>
            <w:r w:rsidRPr="00A4659E">
              <w:rPr>
                <w:rFonts w:ascii="Helvetica" w:eastAsia="Times New Roman" w:hAnsi="Helvetica" w:cs="Helvetica"/>
                <w:b/>
                <w:sz w:val="15"/>
                <w:szCs w:val="15"/>
                <w:lang w:val="en-NZ" w:eastAsia="en-NZ"/>
              </w:rPr>
              <w:t xml:space="preserve">cooping Cabinets for Gelato (soft scoop) </w:t>
            </w:r>
          </w:p>
        </w:tc>
        <w:tc>
          <w:tcPr>
            <w:tcW w:w="1369" w:type="dxa"/>
            <w:shd w:val="clear" w:color="auto" w:fill="auto"/>
            <w:vAlign w:val="center"/>
          </w:tcPr>
          <w:p w14:paraId="748529B8" w14:textId="77777777" w:rsidR="000B53C0" w:rsidRPr="001A279D" w:rsidRDefault="000B53C0" w:rsidP="0034488E">
            <w:pPr>
              <w:pStyle w:val="E3tabletext1"/>
              <w:jc w:val="both"/>
              <w:rPr>
                <w:rFonts w:ascii="Helvetica" w:hAnsi="Helvetica" w:cs="Helvetica"/>
                <w:sz w:val="15"/>
                <w:szCs w:val="15"/>
              </w:rPr>
            </w:pPr>
            <w:r w:rsidRPr="00962264">
              <w:rPr>
                <w:rFonts w:ascii="Helvetica" w:hAnsi="Helvetica" w:cs="Helvetica"/>
                <w:sz w:val="15"/>
                <w:szCs w:val="15"/>
                <w:lang w:val="en-NZ"/>
              </w:rPr>
              <w:t>Published</w:t>
            </w:r>
          </w:p>
        </w:tc>
        <w:tc>
          <w:tcPr>
            <w:tcW w:w="1417" w:type="dxa"/>
            <w:shd w:val="clear" w:color="auto" w:fill="auto"/>
            <w:vAlign w:val="center"/>
          </w:tcPr>
          <w:p w14:paraId="339E7619" w14:textId="77777777" w:rsidR="000B53C0" w:rsidRPr="00D646FE" w:rsidRDefault="000B53C0" w:rsidP="0034488E">
            <w:pPr>
              <w:pStyle w:val="E3tabletext1"/>
              <w:jc w:val="both"/>
              <w:rPr>
                <w:rFonts w:ascii="Helvetica" w:hAnsi="Helvetica" w:cs="Helvetica"/>
                <w:b/>
                <w:color w:val="000000"/>
                <w:sz w:val="15"/>
                <w:szCs w:val="15"/>
                <w:lang w:val="en-NZ" w:eastAsia="en-NZ"/>
              </w:rPr>
            </w:pPr>
            <w:r w:rsidRPr="00962264">
              <w:rPr>
                <w:rFonts w:ascii="Helvetica" w:hAnsi="Helvetica" w:cs="Helvetica"/>
                <w:sz w:val="15"/>
                <w:szCs w:val="15"/>
              </w:rPr>
              <w:t xml:space="preserve">Published </w:t>
            </w:r>
          </w:p>
        </w:tc>
        <w:tc>
          <w:tcPr>
            <w:tcW w:w="3478" w:type="dxa"/>
            <w:shd w:val="clear" w:color="auto" w:fill="auto"/>
            <w:vAlign w:val="center"/>
          </w:tcPr>
          <w:p w14:paraId="61257978" w14:textId="77777777" w:rsidR="000B53C0" w:rsidRPr="00D646FE" w:rsidRDefault="000B53C0" w:rsidP="0034488E">
            <w:pPr>
              <w:spacing w:after="0" w:line="240" w:lineRule="auto"/>
              <w:jc w:val="both"/>
              <w:rPr>
                <w:rFonts w:ascii="Helvetica" w:eastAsia="Times New Roman" w:hAnsi="Helvetica" w:cs="Helvetica"/>
                <w:b/>
                <w:color w:val="000000"/>
                <w:sz w:val="15"/>
                <w:szCs w:val="15"/>
                <w:lang w:val="en-NZ" w:eastAsia="en-NZ"/>
              </w:rPr>
            </w:pPr>
          </w:p>
        </w:tc>
      </w:tr>
    </w:tbl>
    <w:p w14:paraId="40793874" w14:textId="77777777" w:rsidR="000B53C0" w:rsidRDefault="000B53C0" w:rsidP="0034488E">
      <w:pPr>
        <w:pStyle w:val="E3BodyText"/>
        <w:spacing w:before="120"/>
        <w:jc w:val="both"/>
      </w:pPr>
    </w:p>
    <w:p w14:paraId="0577952F" w14:textId="77777777" w:rsidR="000B53C0" w:rsidRDefault="000B53C0" w:rsidP="0034488E">
      <w:pPr>
        <w:pStyle w:val="E3BodyText"/>
        <w:spacing w:before="120"/>
        <w:jc w:val="both"/>
      </w:pPr>
      <w:r>
        <w:t>Option 4 has been modified and developed following feedback on the Consultation RIS. The original proposal was to adopt ISO and EN test methods and European Commission MEPS, from 2017 and require a mandatory energy rating label.</w:t>
      </w:r>
    </w:p>
    <w:p w14:paraId="57A2D3C9" w14:textId="06D1A38B" w:rsidR="000B53C0" w:rsidRDefault="000B53C0" w:rsidP="0034488E">
      <w:pPr>
        <w:pStyle w:val="E3BodyText"/>
        <w:jc w:val="both"/>
      </w:pPr>
      <w:r>
        <w:t xml:space="preserve">Option 4 now </w:t>
      </w:r>
      <w:r w:rsidRPr="009E4772" w:rsidDel="00514F0A">
        <w:t>looks at adopting the test met</w:t>
      </w:r>
      <w:r>
        <w:t>hod</w:t>
      </w:r>
      <w:r w:rsidRPr="009E4772" w:rsidDel="00514F0A">
        <w:t xml:space="preserve"> ISO 23953 for </w:t>
      </w:r>
      <w:r>
        <w:t>r</w:t>
      </w:r>
      <w:r w:rsidRPr="009E4772" w:rsidDel="00514F0A">
        <w:t>efrigerated display cabinets</w:t>
      </w:r>
      <w:r>
        <w:t xml:space="preserve"> and beverage cabinets</w:t>
      </w:r>
      <w:r w:rsidRPr="009E4772" w:rsidDel="00514F0A">
        <w:t xml:space="preserve"> and EN 16825 fo</w:t>
      </w:r>
      <w:r>
        <w:t xml:space="preserve">r refrigerated storage cabinets, from 2019, with minor local variations. </w:t>
      </w:r>
      <w:r w:rsidRPr="009E4772" w:rsidDel="00514F0A">
        <w:t>It also involves adopting related display cabinet standards for gelato cabinets and small ice-cream cabinets. In addition, the European Commission’s MEPS levels for these cabinet types are copied (developed by grouping similar cabinet typ</w:t>
      </w:r>
      <w:r>
        <w:t xml:space="preserve">es together and setting a group </w:t>
      </w:r>
      <w:r w:rsidRPr="009E4772" w:rsidDel="00514F0A">
        <w:t xml:space="preserve">MEPS level). </w:t>
      </w:r>
      <w:r w:rsidR="009F3453">
        <w:t>O</w:t>
      </w:r>
      <w:r w:rsidR="00E54EA0">
        <w:t>ption 4</w:t>
      </w:r>
      <w:r w:rsidR="00E54EA0" w:rsidRPr="009E4772" w:rsidDel="00514F0A">
        <w:t xml:space="preserve"> </w:t>
      </w:r>
      <w:r w:rsidRPr="009E4772" w:rsidDel="00514F0A">
        <w:t xml:space="preserve">also introduces </w:t>
      </w:r>
      <w:r>
        <w:t>online energy rating information</w:t>
      </w:r>
      <w:r w:rsidRPr="009E4772" w:rsidDel="00514F0A">
        <w:t xml:space="preserve"> based on the European Commission’s labelling scheme, translated into star-rating labels</w:t>
      </w:r>
      <w:r>
        <w:t xml:space="preserve">.  A further modification is the addition of ‘deemed to comply’ requirements to </w:t>
      </w:r>
      <w:r w:rsidR="00E54EA0">
        <w:t xml:space="preserve">remove </w:t>
      </w:r>
      <w:r>
        <w:t>concerns that testing would place disproportionately high compliance costs on low-volume manufacturers, making it harder for them to compete in the market.</w:t>
      </w:r>
    </w:p>
    <w:p w14:paraId="36EF24B8" w14:textId="77777777" w:rsidR="0034488E" w:rsidRDefault="0034488E" w:rsidP="0034488E">
      <w:pPr>
        <w:pStyle w:val="E3Heading2"/>
        <w:jc w:val="both"/>
      </w:pPr>
    </w:p>
    <w:p w14:paraId="4F04D0DB" w14:textId="77777777" w:rsidR="00243B70" w:rsidRDefault="00243B70" w:rsidP="0034488E">
      <w:pPr>
        <w:pStyle w:val="E3Heading2"/>
        <w:jc w:val="both"/>
      </w:pPr>
    </w:p>
    <w:p w14:paraId="673F1B23" w14:textId="77777777" w:rsidR="00243B70" w:rsidRDefault="00243B70" w:rsidP="0034488E">
      <w:pPr>
        <w:pStyle w:val="E3Heading2"/>
        <w:jc w:val="both"/>
      </w:pPr>
    </w:p>
    <w:p w14:paraId="450D7130" w14:textId="77777777" w:rsidR="00243B70" w:rsidRDefault="00243B70" w:rsidP="0034488E">
      <w:pPr>
        <w:pStyle w:val="E3Heading2"/>
        <w:jc w:val="both"/>
      </w:pPr>
    </w:p>
    <w:p w14:paraId="205F3832" w14:textId="77777777" w:rsidR="00243B70" w:rsidRDefault="00243B70" w:rsidP="0034488E">
      <w:pPr>
        <w:pStyle w:val="E3Heading2"/>
        <w:jc w:val="both"/>
      </w:pPr>
    </w:p>
    <w:p w14:paraId="1CA3AA33" w14:textId="4FA5A2B1" w:rsidR="000B53C0" w:rsidRDefault="000B53C0" w:rsidP="0034488E">
      <w:pPr>
        <w:pStyle w:val="E3Heading2"/>
        <w:jc w:val="both"/>
      </w:pPr>
      <w:bookmarkStart w:id="16" w:name="_Toc500151779"/>
      <w:r>
        <w:lastRenderedPageBreak/>
        <w:t>Costs and Benefits</w:t>
      </w:r>
      <w:bookmarkEnd w:id="16"/>
      <w:r>
        <w:t xml:space="preserve"> </w:t>
      </w:r>
    </w:p>
    <w:p w14:paraId="4DC53ABF" w14:textId="2FC14C74" w:rsidR="000B53C0" w:rsidRDefault="000B53C0" w:rsidP="0034488E">
      <w:pPr>
        <w:pStyle w:val="E3BodyText"/>
        <w:jc w:val="both"/>
      </w:pPr>
      <w:r>
        <w:t xml:space="preserve">The regulatory proposals will involve one-off new regulatory costs for suppliers of currently regulated products, over and above the existing cost of regulations, as we transition to the new regulatory proposal. The implementation plan </w:t>
      </w:r>
      <w:r w:rsidR="00E54EA0">
        <w:t>recognises</w:t>
      </w:r>
      <w:r>
        <w:t xml:space="preserve"> this and looks to reduce this additional cost as much as possible. However, over the longer term, the move to international test standards should reduce regulatory costs for suppliers, as it will simplify testing and improve efficiencies. </w:t>
      </w:r>
    </w:p>
    <w:p w14:paraId="226B9186" w14:textId="30456FF3" w:rsidR="000B53C0" w:rsidRDefault="000B53C0" w:rsidP="0034488E">
      <w:pPr>
        <w:pStyle w:val="E3BodyText"/>
        <w:jc w:val="both"/>
      </w:pPr>
      <w:r>
        <w:t>Any additional regulatory costs are of particular concern to local manufacturers who typically build low volume products to local requirements. They face high testing and other compliance costs and may be unable to compete against importers in the market under a revised regulatory environment, as importers will be able to source international product already tested to the required standard. It is proposed that broader family groups of cabinet models and a ‘deemed to comply’ provision be drafted for inclusion in the regulatory proposals in order to reduce testing and regulatory compliance costs</w:t>
      </w:r>
      <w:r w:rsidR="00E54EA0">
        <w:t>.</w:t>
      </w:r>
    </w:p>
    <w:p w14:paraId="13BA76E2" w14:textId="72E48B80" w:rsidR="000B53C0" w:rsidRPr="006B6F44" w:rsidRDefault="000B53C0" w:rsidP="0034488E">
      <w:pPr>
        <w:pStyle w:val="E3BodyText"/>
        <w:jc w:val="both"/>
      </w:pPr>
      <w:r>
        <w:t>Any regulatory cost need to be weighed against the significant energy savings and greenhouse gas reductions which will result from the proposed regulatory changes.</w:t>
      </w:r>
    </w:p>
    <w:p w14:paraId="736F6E3A" w14:textId="77777777" w:rsidR="000B53C0" w:rsidRDefault="000B53C0" w:rsidP="0034488E">
      <w:pPr>
        <w:pStyle w:val="E3BodyText"/>
        <w:jc w:val="both"/>
      </w:pPr>
      <w:r>
        <w:t>While s</w:t>
      </w:r>
      <w:r w:rsidRPr="009E4772">
        <w:t>ome improvement</w:t>
      </w:r>
      <w:r>
        <w:t>s</w:t>
      </w:r>
      <w:r w:rsidRPr="009E4772">
        <w:t xml:space="preserve"> in </w:t>
      </w:r>
      <w:r>
        <w:t xml:space="preserve">energy </w:t>
      </w:r>
      <w:r w:rsidRPr="009E4772">
        <w:t xml:space="preserve">efficiency </w:t>
      </w:r>
      <w:r>
        <w:t xml:space="preserve">are expected under BAU </w:t>
      </w:r>
      <w:r w:rsidRPr="009E4772">
        <w:t>due to changes in technology and increased user awareness of the cost of energy</w:t>
      </w:r>
      <w:r>
        <w:t>, all r</w:t>
      </w:r>
      <w:r w:rsidRPr="009E4772">
        <w:t xml:space="preserve">egulatory options (options 2 to 4) will result in increased energy savings and greenhouse gas reductions when compared with BAU. These </w:t>
      </w:r>
      <w:r>
        <w:t xml:space="preserve">options </w:t>
      </w:r>
      <w:r w:rsidRPr="009E4772">
        <w:t xml:space="preserve">will save cabinet buyers and users from significant running costs because less electricity </w:t>
      </w:r>
      <w:r>
        <w:t>will be</w:t>
      </w:r>
      <w:r w:rsidRPr="009E4772">
        <w:t xml:space="preserve"> used to deliver their chilled food or drink. </w:t>
      </w:r>
      <w:r>
        <w:t xml:space="preserve">The benefit of reduced running costs outweighs the costs to business from any increased compliance or capital costs. </w:t>
      </w:r>
    </w:p>
    <w:p w14:paraId="531893E6" w14:textId="09DEA5FC" w:rsidR="00500BC9" w:rsidRPr="00C7441A" w:rsidRDefault="000B53C0" w:rsidP="0034488E">
      <w:pPr>
        <w:pStyle w:val="E3BodyText"/>
        <w:jc w:val="both"/>
      </w:pPr>
      <w:r>
        <w:rPr>
          <w:b/>
        </w:rPr>
        <w:t xml:space="preserve">Table 2 </w:t>
      </w:r>
      <w:r w:rsidR="00E54EA0">
        <w:t xml:space="preserve">overleaf shows </w:t>
      </w:r>
      <w:r w:rsidR="00E8047A">
        <w:t xml:space="preserve">the costs and benefits of all regulatory options (options 2-4) relative to BAU.  It shows </w:t>
      </w:r>
      <w:r w:rsidR="00E54EA0">
        <w:t>that option 4 provides the most energy efficiency gains. The estimated Net Present Value (total benefits less the total costs) of option 4 (EC MEPS would be $1,340 million in Australia and $87 million in New Zealand</w:t>
      </w:r>
      <w:r w:rsidR="008D27C0">
        <w:t>)</w:t>
      </w:r>
      <w:r w:rsidR="00E54EA0">
        <w:t>.</w:t>
      </w:r>
      <w:r w:rsidR="00500BC9">
        <w:t xml:space="preserve"> The costs of each option increase incrementally with the benefits to be gained (leading to a similar BCR for option 4). While the BCR for option 4 in both countries is lower than the Consultation RIS analysi</w:t>
      </w:r>
      <w:r w:rsidR="008D27C0">
        <w:t>s</w:t>
      </w:r>
      <w:r w:rsidR="00500BC9">
        <w:t>, the overall benefits from option 4 are greater than the other options.</w:t>
      </w:r>
      <w:r w:rsidR="00120A42">
        <w:rPr>
          <w:rStyle w:val="FootnoteReference"/>
        </w:rPr>
        <w:footnoteReference w:id="6"/>
      </w:r>
      <w:r w:rsidR="00500BC9" w:rsidRPr="00C7441A">
        <w:t xml:space="preserve">  </w:t>
      </w:r>
    </w:p>
    <w:p w14:paraId="01F19181" w14:textId="01C31777" w:rsidR="0034488E" w:rsidRDefault="00E54EA0" w:rsidP="001C2E23">
      <w:pPr>
        <w:pStyle w:val="E3BodyText"/>
      </w:pPr>
      <w:r>
        <w:t xml:space="preserve"> </w:t>
      </w:r>
      <w:bookmarkStart w:id="17" w:name="_Toc494142452"/>
    </w:p>
    <w:p w14:paraId="4FBB4E59" w14:textId="0C1A6BFB" w:rsidR="0034488E" w:rsidRPr="004C3E41" w:rsidRDefault="000B53C0" w:rsidP="004C3E41">
      <w:pPr>
        <w:pStyle w:val="E3TableTitles"/>
      </w:pPr>
      <w:bookmarkStart w:id="18" w:name="_Toc500159652"/>
      <w:r w:rsidRPr="004C3E41">
        <w:lastRenderedPageBreak/>
        <w:t>Table </w:t>
      </w:r>
      <w:r w:rsidRPr="004C3E41">
        <w:fldChar w:fldCharType="begin"/>
      </w:r>
      <w:r w:rsidRPr="004C3E41">
        <w:instrText xml:space="preserve"> SEQ Table \* ARABIC </w:instrText>
      </w:r>
      <w:r w:rsidRPr="004C3E41">
        <w:fldChar w:fldCharType="separate"/>
      </w:r>
      <w:r w:rsidR="00D51B4B">
        <w:rPr>
          <w:noProof/>
        </w:rPr>
        <w:t>2</w:t>
      </w:r>
      <w:r w:rsidRPr="004C3E41">
        <w:fldChar w:fldCharType="end"/>
      </w:r>
      <w:r w:rsidRPr="004C3E41">
        <w:t>: A summary of the cost-benefit analysis of regulatory options for Australia and New Zealand, including online energy rating information (from 2017 to 2035).</w:t>
      </w:r>
      <w:bookmarkEnd w:id="17"/>
      <w:bookmarkEnd w:id="18"/>
    </w:p>
    <w:tbl>
      <w:tblPr>
        <w:tblW w:w="10462" w:type="dxa"/>
        <w:tblInd w:w="-289" w:type="dxa"/>
        <w:tblLayout w:type="fixed"/>
        <w:tblLook w:val="04A0" w:firstRow="1" w:lastRow="0" w:firstColumn="1" w:lastColumn="0" w:noHBand="0" w:noVBand="1"/>
      </w:tblPr>
      <w:tblGrid>
        <w:gridCol w:w="1135"/>
        <w:gridCol w:w="567"/>
        <w:gridCol w:w="850"/>
        <w:gridCol w:w="709"/>
        <w:gridCol w:w="709"/>
        <w:gridCol w:w="709"/>
        <w:gridCol w:w="708"/>
        <w:gridCol w:w="1134"/>
        <w:gridCol w:w="680"/>
        <w:gridCol w:w="567"/>
        <w:gridCol w:w="596"/>
        <w:gridCol w:w="680"/>
        <w:gridCol w:w="709"/>
        <w:gridCol w:w="709"/>
      </w:tblGrid>
      <w:tr w:rsidR="000B53C0" w:rsidRPr="00310980" w14:paraId="707EE1EB" w14:textId="77777777" w:rsidTr="00197B9C">
        <w:trPr>
          <w:trHeight w:val="292"/>
        </w:trPr>
        <w:tc>
          <w:tcPr>
            <w:tcW w:w="1135" w:type="dxa"/>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522465D7" w14:textId="77777777" w:rsidR="000B53C0" w:rsidRPr="0041262C" w:rsidRDefault="000B53C0" w:rsidP="00197B9C">
            <w:pPr>
              <w:pStyle w:val="E3TableHeading"/>
              <w:keepNext/>
              <w:keepLines/>
              <w:rPr>
                <w:sz w:val="14"/>
              </w:rPr>
            </w:pPr>
            <w:r w:rsidRPr="0041262C">
              <w:rPr>
                <w:sz w:val="14"/>
              </w:rPr>
              <w:t>AUSTRALIA</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5963CDE2" w14:textId="77777777" w:rsidR="000B53C0" w:rsidRPr="0041262C" w:rsidRDefault="000B53C0" w:rsidP="00197B9C">
            <w:pPr>
              <w:pStyle w:val="E3TableHeading"/>
              <w:keepNext/>
              <w:keepLines/>
              <w:jc w:val="center"/>
              <w:rPr>
                <w:sz w:val="14"/>
              </w:rPr>
            </w:pPr>
            <w:r w:rsidRPr="0041262C">
              <w:rPr>
                <w:sz w:val="14"/>
              </w:rPr>
              <w:t>Option 2</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64DE3CB4" w14:textId="77777777" w:rsidR="000B53C0" w:rsidRPr="0041262C" w:rsidRDefault="000B53C0" w:rsidP="00197B9C">
            <w:pPr>
              <w:pStyle w:val="E3TableHeading"/>
              <w:keepNext/>
              <w:keepLines/>
              <w:jc w:val="center"/>
              <w:rPr>
                <w:sz w:val="14"/>
              </w:rPr>
            </w:pPr>
            <w:r w:rsidRPr="0041262C">
              <w:rPr>
                <w:sz w:val="14"/>
              </w:rPr>
              <w:t>3</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3CCBAAEB" w14:textId="77777777" w:rsidR="000B53C0" w:rsidRPr="0041262C" w:rsidRDefault="000B53C0" w:rsidP="00197B9C">
            <w:pPr>
              <w:pStyle w:val="E3TableHeading"/>
              <w:keepNext/>
              <w:keepLines/>
              <w:jc w:val="center"/>
              <w:rPr>
                <w:sz w:val="14"/>
              </w:rPr>
            </w:pPr>
            <w:r w:rsidRPr="0041262C">
              <w:rPr>
                <w:sz w:val="14"/>
              </w:rPr>
              <w:t>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6C68D7EE" w14:textId="77777777" w:rsidR="000B53C0" w:rsidRPr="0041262C" w:rsidRDefault="000B53C0" w:rsidP="00197B9C">
            <w:pPr>
              <w:pStyle w:val="E3TableHeading"/>
              <w:keepNext/>
              <w:keepLines/>
              <w:rPr>
                <w:sz w:val="14"/>
              </w:rPr>
            </w:pPr>
            <w:r w:rsidRPr="0041262C">
              <w:rPr>
                <w:sz w:val="14"/>
              </w:rPr>
              <w:t>NEW ZEALAND</w:t>
            </w:r>
          </w:p>
        </w:tc>
        <w:tc>
          <w:tcPr>
            <w:tcW w:w="1247"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0D30A825" w14:textId="77777777" w:rsidR="000B53C0" w:rsidRPr="0041262C" w:rsidRDefault="000B53C0" w:rsidP="00197B9C">
            <w:pPr>
              <w:pStyle w:val="E3TableHeading"/>
              <w:keepNext/>
              <w:keepLines/>
              <w:jc w:val="center"/>
              <w:rPr>
                <w:sz w:val="14"/>
              </w:rPr>
            </w:pPr>
            <w:r w:rsidRPr="0041262C">
              <w:rPr>
                <w:sz w:val="14"/>
              </w:rPr>
              <w:t>2</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1EAF4F76" w14:textId="77777777" w:rsidR="000B53C0" w:rsidRPr="0041262C" w:rsidRDefault="000B53C0" w:rsidP="00197B9C">
            <w:pPr>
              <w:pStyle w:val="E3TableHeading"/>
              <w:keepNext/>
              <w:keepLines/>
              <w:jc w:val="center"/>
              <w:rPr>
                <w:sz w:val="14"/>
              </w:rPr>
            </w:pPr>
            <w:r w:rsidRPr="0041262C">
              <w:rPr>
                <w:sz w:val="14"/>
              </w:rPr>
              <w:t>3</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4688284D" w14:textId="77777777" w:rsidR="000B53C0" w:rsidRPr="0041262C" w:rsidRDefault="000B53C0" w:rsidP="00197B9C">
            <w:pPr>
              <w:pStyle w:val="E3TableHeading"/>
              <w:keepNext/>
              <w:keepLines/>
              <w:jc w:val="center"/>
              <w:rPr>
                <w:sz w:val="14"/>
              </w:rPr>
            </w:pPr>
            <w:r w:rsidRPr="0041262C">
              <w:rPr>
                <w:sz w:val="14"/>
              </w:rPr>
              <w:t>4</w:t>
            </w:r>
          </w:p>
        </w:tc>
      </w:tr>
      <w:tr w:rsidR="000B53C0" w:rsidRPr="00310980" w14:paraId="18591B8F" w14:textId="77777777" w:rsidTr="00197B9C">
        <w:trPr>
          <w:trHeight w:val="448"/>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4EADED4E" w14:textId="77777777" w:rsidR="000B53C0" w:rsidRPr="0041262C" w:rsidRDefault="000B53C0" w:rsidP="00197B9C">
            <w:pPr>
              <w:pStyle w:val="E3tabletext1"/>
              <w:keepNext/>
              <w:keepLines/>
              <w:rPr>
                <w:rFonts w:ascii="Helvetica" w:hAnsi="Helvetica" w:cs="Helvetica"/>
                <w:lang w:val="en-NZ"/>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tcPr>
          <w:p w14:paraId="0175A9C6" w14:textId="77777777" w:rsidR="000B53C0" w:rsidRPr="0041262C" w:rsidRDefault="000B53C0" w:rsidP="00197B9C">
            <w:pPr>
              <w:pStyle w:val="E3tabletext1"/>
              <w:keepNext/>
              <w:keepLines/>
              <w:rPr>
                <w:rFonts w:ascii="Helvetica" w:hAnsi="Helvetica" w:cs="Helvetica"/>
                <w:lang w:val="en-NZ"/>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14:paraId="19FEBBA4" w14:textId="77777777" w:rsidR="000B53C0" w:rsidRPr="0041262C" w:rsidRDefault="000B53C0" w:rsidP="00197B9C">
            <w:pPr>
              <w:pStyle w:val="E3tabletext1"/>
              <w:keepNext/>
              <w:keepLines/>
              <w:rPr>
                <w:rFonts w:ascii="Helvetica" w:hAnsi="Helvetica" w:cs="Helvetica"/>
                <w:lang w:val="en-NZ"/>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tcPr>
          <w:p w14:paraId="5C714A95" w14:textId="77777777" w:rsidR="000B53C0" w:rsidRPr="0041262C" w:rsidRDefault="000B53C0" w:rsidP="00197B9C">
            <w:pPr>
              <w:pStyle w:val="E3tabletext1"/>
              <w:keepNext/>
              <w:keepLines/>
              <w:rPr>
                <w:rFonts w:ascii="Helvetica" w:hAnsi="Helvetica" w:cs="Helvetica"/>
                <w:lang w:val="en-NZ"/>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014730D4" w14:textId="77777777" w:rsidR="000B53C0" w:rsidRPr="0041262C" w:rsidRDefault="000B53C0" w:rsidP="00197B9C">
            <w:pPr>
              <w:pStyle w:val="E3tabletext1"/>
              <w:keepNext/>
              <w:keepLines/>
              <w:rPr>
                <w:rFonts w:ascii="Helvetica" w:hAnsi="Helvetica" w:cs="Helvetica"/>
                <w:lang w:val="en-NZ"/>
              </w:rPr>
            </w:pPr>
          </w:p>
        </w:tc>
        <w:tc>
          <w:tcPr>
            <w:tcW w:w="1247" w:type="dxa"/>
            <w:gridSpan w:val="2"/>
            <w:vMerge/>
            <w:tcBorders>
              <w:top w:val="single" w:sz="4" w:space="0" w:color="auto"/>
              <w:left w:val="single" w:sz="4" w:space="0" w:color="auto"/>
              <w:bottom w:val="single" w:sz="4" w:space="0" w:color="auto"/>
              <w:right w:val="single" w:sz="4" w:space="0" w:color="auto"/>
            </w:tcBorders>
            <w:vAlign w:val="center"/>
          </w:tcPr>
          <w:p w14:paraId="2328E605" w14:textId="77777777" w:rsidR="000B53C0" w:rsidRPr="0041262C" w:rsidRDefault="000B53C0" w:rsidP="00197B9C">
            <w:pPr>
              <w:pStyle w:val="E3tabletext1"/>
              <w:keepNext/>
              <w:keepLines/>
              <w:rPr>
                <w:rFonts w:ascii="Helvetica" w:hAnsi="Helvetica" w:cs="Helvetica"/>
                <w:lang w:val="en-NZ"/>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tcPr>
          <w:p w14:paraId="730D1FB6" w14:textId="77777777" w:rsidR="000B53C0" w:rsidRPr="0041262C" w:rsidRDefault="000B53C0" w:rsidP="00197B9C">
            <w:pPr>
              <w:pStyle w:val="E3tabletext1"/>
              <w:keepNext/>
              <w:keepLines/>
              <w:rPr>
                <w:rFonts w:ascii="Helvetica" w:hAnsi="Helvetica" w:cs="Helvetica"/>
                <w:lang w:val="en-NZ"/>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14:paraId="598682E9" w14:textId="77777777" w:rsidR="000B53C0" w:rsidRPr="0041262C" w:rsidRDefault="000B53C0" w:rsidP="00197B9C">
            <w:pPr>
              <w:pStyle w:val="E3tabletext1"/>
              <w:keepNext/>
              <w:keepLines/>
              <w:rPr>
                <w:rFonts w:ascii="Helvetica" w:hAnsi="Helvetica" w:cs="Helvetica"/>
                <w:lang w:val="en-NZ"/>
              </w:rPr>
            </w:pPr>
          </w:p>
        </w:tc>
      </w:tr>
      <w:tr w:rsidR="000B53C0" w:rsidRPr="00310980" w14:paraId="186B6972" w14:textId="77777777" w:rsidTr="00197B9C">
        <w:trPr>
          <w:trHeight w:val="301"/>
        </w:trPr>
        <w:tc>
          <w:tcPr>
            <w:tcW w:w="1135" w:type="dxa"/>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2D82FA8B" w14:textId="77777777" w:rsidR="000B53C0" w:rsidRPr="0041262C" w:rsidRDefault="000B53C0" w:rsidP="00197B9C">
            <w:pPr>
              <w:pStyle w:val="E3TableHeading"/>
              <w:keepNext/>
              <w:keepLines/>
              <w:rPr>
                <w:sz w:val="14"/>
              </w:rPr>
            </w:pP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hideMark/>
          </w:tcPr>
          <w:p w14:paraId="14D265D0" w14:textId="77777777" w:rsidR="000B53C0" w:rsidRPr="0041262C" w:rsidRDefault="000B53C0" w:rsidP="00197B9C">
            <w:pPr>
              <w:pStyle w:val="E3TableHeading"/>
              <w:keepNext/>
              <w:keepLines/>
              <w:rPr>
                <w:sz w:val="14"/>
              </w:rPr>
            </w:pPr>
            <w:r w:rsidRPr="0041262C">
              <w:rPr>
                <w:sz w:val="14"/>
              </w:rPr>
              <w:t>10% + vol labelling from 2019</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hideMark/>
          </w:tcPr>
          <w:p w14:paraId="6698A2B1" w14:textId="77777777" w:rsidR="000B53C0" w:rsidRPr="0041262C" w:rsidRDefault="000B53C0" w:rsidP="00197B9C">
            <w:pPr>
              <w:pStyle w:val="E3TableHeading"/>
              <w:keepNext/>
              <w:keepLines/>
              <w:rPr>
                <w:sz w:val="14"/>
              </w:rPr>
            </w:pPr>
            <w:r w:rsidRPr="0041262C">
              <w:rPr>
                <w:sz w:val="14"/>
              </w:rPr>
              <w:t>Au/NZ MEPS 30% + vol labelling from 2019</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hideMark/>
          </w:tcPr>
          <w:p w14:paraId="08A6611B" w14:textId="77777777" w:rsidR="000B53C0" w:rsidRPr="0041262C" w:rsidRDefault="000B53C0" w:rsidP="00197B9C">
            <w:pPr>
              <w:pStyle w:val="E3TableHeading"/>
              <w:keepNext/>
              <w:keepLines/>
              <w:rPr>
                <w:sz w:val="14"/>
              </w:rPr>
            </w:pPr>
            <w:r w:rsidRPr="0041262C">
              <w:rPr>
                <w:sz w:val="14"/>
              </w:rPr>
              <w:t>EC from 2019+ vol labelling</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71E8057F" w14:textId="77777777" w:rsidR="000B53C0" w:rsidRPr="0041262C" w:rsidRDefault="000B53C0" w:rsidP="00197B9C">
            <w:pPr>
              <w:pStyle w:val="E3TableHeading"/>
              <w:keepNext/>
              <w:keepLines/>
              <w:rPr>
                <w:sz w:val="14"/>
              </w:rPr>
            </w:pPr>
          </w:p>
        </w:tc>
        <w:tc>
          <w:tcPr>
            <w:tcW w:w="1247"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hideMark/>
          </w:tcPr>
          <w:p w14:paraId="6D27DE48" w14:textId="77777777" w:rsidR="000B53C0" w:rsidRPr="0041262C" w:rsidRDefault="000B53C0" w:rsidP="00197B9C">
            <w:pPr>
              <w:pStyle w:val="E3TableHeading"/>
              <w:keepNext/>
              <w:keepLines/>
              <w:rPr>
                <w:sz w:val="14"/>
              </w:rPr>
            </w:pPr>
            <w:r w:rsidRPr="0041262C">
              <w:rPr>
                <w:sz w:val="14"/>
              </w:rPr>
              <w:t>10% + vol labelling from 2019</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hideMark/>
          </w:tcPr>
          <w:p w14:paraId="2D8767D1" w14:textId="77777777" w:rsidR="000B53C0" w:rsidRPr="0041262C" w:rsidRDefault="000B53C0" w:rsidP="00197B9C">
            <w:pPr>
              <w:pStyle w:val="E3TableHeading"/>
              <w:keepNext/>
              <w:keepLines/>
              <w:rPr>
                <w:sz w:val="14"/>
              </w:rPr>
            </w:pPr>
            <w:r w:rsidRPr="0041262C">
              <w:rPr>
                <w:sz w:val="14"/>
              </w:rPr>
              <w:t>Au/NZ MEPS 30% + vol labelling from 2019</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hideMark/>
          </w:tcPr>
          <w:p w14:paraId="3EA699EA" w14:textId="77777777" w:rsidR="000B53C0" w:rsidRPr="0041262C" w:rsidRDefault="000B53C0" w:rsidP="00197B9C">
            <w:pPr>
              <w:pStyle w:val="E3TableHeading"/>
              <w:keepNext/>
              <w:keepLines/>
              <w:rPr>
                <w:sz w:val="14"/>
              </w:rPr>
            </w:pPr>
            <w:r w:rsidRPr="0041262C">
              <w:rPr>
                <w:sz w:val="14"/>
              </w:rPr>
              <w:t>EC from 2019+ vol labelling</w:t>
            </w:r>
          </w:p>
        </w:tc>
      </w:tr>
      <w:tr w:rsidR="000B53C0" w:rsidRPr="00310980" w14:paraId="424B0D9C" w14:textId="77777777" w:rsidTr="00197B9C">
        <w:trPr>
          <w:trHeight w:val="448"/>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6BB9002C" w14:textId="77777777" w:rsidR="000B53C0" w:rsidRPr="0041262C" w:rsidRDefault="000B53C0" w:rsidP="00197B9C">
            <w:pPr>
              <w:pStyle w:val="E3tabletext1"/>
              <w:keepNext/>
              <w:keepLines/>
              <w:rPr>
                <w:rFonts w:ascii="Helvetica" w:hAnsi="Helvetica" w:cs="Helvetica"/>
                <w:lang w:val="en-NZ"/>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334875F2" w14:textId="77777777" w:rsidR="000B53C0" w:rsidRPr="0041262C" w:rsidRDefault="000B53C0" w:rsidP="00197B9C">
            <w:pPr>
              <w:pStyle w:val="E3tabletext1"/>
              <w:keepNext/>
              <w:keepLines/>
              <w:rPr>
                <w:rFonts w:ascii="Helvetica" w:hAnsi="Helvetica" w:cs="Helvetica"/>
                <w:lang w:val="en-NZ"/>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7DE1965C" w14:textId="77777777" w:rsidR="000B53C0" w:rsidRPr="0041262C" w:rsidRDefault="000B53C0" w:rsidP="00197B9C">
            <w:pPr>
              <w:pStyle w:val="E3tabletext1"/>
              <w:keepNext/>
              <w:keepLines/>
              <w:rPr>
                <w:rFonts w:ascii="Helvetica" w:hAnsi="Helvetica" w:cs="Helvetica"/>
                <w:lang w:val="en-NZ"/>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52523245" w14:textId="77777777" w:rsidR="000B53C0" w:rsidRPr="0041262C" w:rsidRDefault="000B53C0" w:rsidP="00197B9C">
            <w:pPr>
              <w:pStyle w:val="E3tabletext1"/>
              <w:keepNext/>
              <w:keepLines/>
              <w:rPr>
                <w:rFonts w:ascii="Helvetica" w:hAnsi="Helvetica" w:cs="Helvetica"/>
                <w:lang w:val="en-N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5F5BCE" w14:textId="77777777" w:rsidR="000B53C0" w:rsidRPr="0041262C" w:rsidRDefault="000B53C0" w:rsidP="00197B9C">
            <w:pPr>
              <w:pStyle w:val="E3tabletext1"/>
              <w:keepNext/>
              <w:keepLines/>
              <w:rPr>
                <w:rFonts w:ascii="Helvetica" w:hAnsi="Helvetica" w:cs="Helvetica"/>
                <w:lang w:val="en-NZ"/>
              </w:rPr>
            </w:pPr>
          </w:p>
        </w:tc>
        <w:tc>
          <w:tcPr>
            <w:tcW w:w="1247" w:type="dxa"/>
            <w:gridSpan w:val="2"/>
            <w:vMerge/>
            <w:tcBorders>
              <w:top w:val="single" w:sz="4" w:space="0" w:color="auto"/>
              <w:left w:val="single" w:sz="4" w:space="0" w:color="auto"/>
              <w:bottom w:val="single" w:sz="4" w:space="0" w:color="auto"/>
              <w:right w:val="single" w:sz="4" w:space="0" w:color="auto"/>
            </w:tcBorders>
            <w:vAlign w:val="center"/>
            <w:hideMark/>
          </w:tcPr>
          <w:p w14:paraId="0351C668" w14:textId="77777777" w:rsidR="000B53C0" w:rsidRPr="0041262C" w:rsidRDefault="000B53C0" w:rsidP="00197B9C">
            <w:pPr>
              <w:pStyle w:val="E3tabletext1"/>
              <w:keepNext/>
              <w:keepLines/>
              <w:rPr>
                <w:rFonts w:ascii="Helvetica" w:hAnsi="Helvetica" w:cs="Helvetica"/>
                <w:lang w:val="en-NZ"/>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73352BB7" w14:textId="77777777" w:rsidR="000B53C0" w:rsidRPr="0041262C" w:rsidRDefault="000B53C0" w:rsidP="00197B9C">
            <w:pPr>
              <w:pStyle w:val="E3tabletext1"/>
              <w:keepNext/>
              <w:keepLines/>
              <w:rPr>
                <w:rFonts w:ascii="Helvetica" w:hAnsi="Helvetica" w:cs="Helvetica"/>
                <w:lang w:val="en-NZ"/>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59DB0491" w14:textId="77777777" w:rsidR="000B53C0" w:rsidRPr="0041262C" w:rsidRDefault="000B53C0" w:rsidP="00197B9C">
            <w:pPr>
              <w:pStyle w:val="E3tabletext1"/>
              <w:keepNext/>
              <w:keepLines/>
              <w:rPr>
                <w:rFonts w:ascii="Helvetica" w:hAnsi="Helvetica" w:cs="Helvetica"/>
                <w:lang w:val="en-NZ"/>
              </w:rPr>
            </w:pPr>
          </w:p>
        </w:tc>
      </w:tr>
      <w:tr w:rsidR="000B53C0" w:rsidRPr="00310980" w14:paraId="3B01C4C9" w14:textId="77777777" w:rsidTr="00197B9C">
        <w:trPr>
          <w:trHeight w:val="376"/>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5455F8D4"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Costs ($M)</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0137D115"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rPr>
              <w:t>$31</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555CD3F7"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$115</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653C938E"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$193</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5FF5984F"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Costs ($M)</w:t>
            </w:r>
          </w:p>
        </w:tc>
        <w:tc>
          <w:tcPr>
            <w:tcW w:w="1247" w:type="dxa"/>
            <w:gridSpan w:val="2"/>
            <w:tcBorders>
              <w:top w:val="single" w:sz="8" w:space="0" w:color="auto"/>
              <w:left w:val="nil"/>
              <w:bottom w:val="single" w:sz="8" w:space="0" w:color="auto"/>
              <w:right w:val="double" w:sz="6" w:space="0" w:color="000000"/>
            </w:tcBorders>
            <w:shd w:val="clear" w:color="auto" w:fill="auto"/>
            <w:vAlign w:val="center"/>
            <w:hideMark/>
          </w:tcPr>
          <w:p w14:paraId="6BE0F3DA"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$4.9</w:t>
            </w:r>
          </w:p>
        </w:tc>
        <w:tc>
          <w:tcPr>
            <w:tcW w:w="1276" w:type="dxa"/>
            <w:gridSpan w:val="2"/>
            <w:tcBorders>
              <w:top w:val="single" w:sz="8" w:space="0" w:color="auto"/>
              <w:left w:val="nil"/>
              <w:bottom w:val="single" w:sz="8" w:space="0" w:color="auto"/>
              <w:right w:val="double" w:sz="6" w:space="0" w:color="000000"/>
            </w:tcBorders>
            <w:shd w:val="clear" w:color="auto" w:fill="auto"/>
            <w:vAlign w:val="center"/>
            <w:hideMark/>
          </w:tcPr>
          <w:p w14:paraId="2FF7D447"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$14.6</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519778CA"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$23.7</w:t>
            </w:r>
          </w:p>
        </w:tc>
      </w:tr>
      <w:tr w:rsidR="000B53C0" w:rsidRPr="00310980" w14:paraId="34E8E936" w14:textId="77777777" w:rsidTr="00197B9C">
        <w:trPr>
          <w:trHeight w:val="376"/>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4DE71FF8"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Benefits ($M)</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36C25BD7"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rPr>
              <w:t>$340</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594A0C6A"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$912</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08CB1906"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$1,532</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728BBED6"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Benefits ($M)</w:t>
            </w:r>
          </w:p>
        </w:tc>
        <w:tc>
          <w:tcPr>
            <w:tcW w:w="1247" w:type="dxa"/>
            <w:gridSpan w:val="2"/>
            <w:tcBorders>
              <w:top w:val="single" w:sz="8" w:space="0" w:color="auto"/>
              <w:left w:val="nil"/>
              <w:bottom w:val="single" w:sz="8" w:space="0" w:color="auto"/>
              <w:right w:val="double" w:sz="6" w:space="0" w:color="000000"/>
            </w:tcBorders>
            <w:shd w:val="clear" w:color="auto" w:fill="auto"/>
            <w:vAlign w:val="center"/>
            <w:hideMark/>
          </w:tcPr>
          <w:p w14:paraId="762518C4"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$24.5</w:t>
            </w:r>
          </w:p>
        </w:tc>
        <w:tc>
          <w:tcPr>
            <w:tcW w:w="1276" w:type="dxa"/>
            <w:gridSpan w:val="2"/>
            <w:tcBorders>
              <w:top w:val="single" w:sz="8" w:space="0" w:color="auto"/>
              <w:left w:val="nil"/>
              <w:bottom w:val="single" w:sz="8" w:space="0" w:color="auto"/>
              <w:right w:val="double" w:sz="6" w:space="0" w:color="000000"/>
            </w:tcBorders>
            <w:shd w:val="clear" w:color="auto" w:fill="auto"/>
            <w:vAlign w:val="center"/>
            <w:hideMark/>
          </w:tcPr>
          <w:p w14:paraId="08340F51"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$65.9</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503C507F"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$111.1</w:t>
            </w:r>
          </w:p>
        </w:tc>
      </w:tr>
      <w:tr w:rsidR="000B53C0" w:rsidRPr="00310980" w14:paraId="6FD6A65F" w14:textId="77777777" w:rsidTr="00197B9C">
        <w:trPr>
          <w:trHeight w:val="317"/>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6647849F"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NPV ($M)</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60B7B6F4"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rPr>
              <w:t>$309</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02F29DC3"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$798</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309B03A1"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$1,339</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45E6FD66"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NPV ($M)</w:t>
            </w:r>
          </w:p>
        </w:tc>
        <w:tc>
          <w:tcPr>
            <w:tcW w:w="1247" w:type="dxa"/>
            <w:gridSpan w:val="2"/>
            <w:tcBorders>
              <w:top w:val="single" w:sz="8" w:space="0" w:color="auto"/>
              <w:left w:val="nil"/>
              <w:bottom w:val="single" w:sz="8" w:space="0" w:color="auto"/>
              <w:right w:val="double" w:sz="6" w:space="0" w:color="000000"/>
            </w:tcBorders>
            <w:shd w:val="clear" w:color="auto" w:fill="auto"/>
            <w:vAlign w:val="center"/>
            <w:hideMark/>
          </w:tcPr>
          <w:p w14:paraId="49940E97"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$19.6</w:t>
            </w:r>
          </w:p>
        </w:tc>
        <w:tc>
          <w:tcPr>
            <w:tcW w:w="1276" w:type="dxa"/>
            <w:gridSpan w:val="2"/>
            <w:tcBorders>
              <w:top w:val="single" w:sz="8" w:space="0" w:color="auto"/>
              <w:left w:val="nil"/>
              <w:bottom w:val="single" w:sz="8" w:space="0" w:color="auto"/>
              <w:right w:val="double" w:sz="6" w:space="0" w:color="000000"/>
            </w:tcBorders>
            <w:shd w:val="clear" w:color="auto" w:fill="auto"/>
            <w:vAlign w:val="center"/>
            <w:hideMark/>
          </w:tcPr>
          <w:p w14:paraId="50009D35"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$51.3</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429BD8BD"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$87.4</w:t>
            </w:r>
          </w:p>
        </w:tc>
      </w:tr>
      <w:tr w:rsidR="000B53C0" w:rsidRPr="00310980" w14:paraId="66E895BE" w14:textId="77777777" w:rsidTr="00197B9C">
        <w:trPr>
          <w:trHeight w:val="317"/>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18B970F1"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BCR</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1D2E8CB8"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rPr>
              <w:t>11.0</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1DD9270B"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8.0</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2EBB8D51"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7.9</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6C29185E"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BCR</w:t>
            </w:r>
          </w:p>
        </w:tc>
        <w:tc>
          <w:tcPr>
            <w:tcW w:w="1247" w:type="dxa"/>
            <w:gridSpan w:val="2"/>
            <w:tcBorders>
              <w:top w:val="single" w:sz="8" w:space="0" w:color="auto"/>
              <w:left w:val="nil"/>
              <w:bottom w:val="single" w:sz="8" w:space="0" w:color="auto"/>
              <w:right w:val="double" w:sz="6" w:space="0" w:color="000000"/>
            </w:tcBorders>
            <w:shd w:val="clear" w:color="auto" w:fill="auto"/>
            <w:vAlign w:val="center"/>
            <w:hideMark/>
          </w:tcPr>
          <w:p w14:paraId="7F98B3F9"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5.0</w:t>
            </w:r>
          </w:p>
        </w:tc>
        <w:tc>
          <w:tcPr>
            <w:tcW w:w="1276" w:type="dxa"/>
            <w:gridSpan w:val="2"/>
            <w:tcBorders>
              <w:top w:val="single" w:sz="8" w:space="0" w:color="auto"/>
              <w:left w:val="nil"/>
              <w:bottom w:val="single" w:sz="8" w:space="0" w:color="auto"/>
              <w:right w:val="double" w:sz="6" w:space="0" w:color="000000"/>
            </w:tcBorders>
            <w:shd w:val="clear" w:color="auto" w:fill="auto"/>
            <w:vAlign w:val="center"/>
            <w:hideMark/>
          </w:tcPr>
          <w:p w14:paraId="203D51F8"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4.5</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6B7E49F8"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4.7</w:t>
            </w:r>
          </w:p>
        </w:tc>
      </w:tr>
      <w:tr w:rsidR="000B53C0" w:rsidRPr="00310980" w14:paraId="70077A43" w14:textId="77777777" w:rsidTr="00197B9C">
        <w:trPr>
          <w:trHeight w:val="317"/>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03C59489" w14:textId="36FE7DC5"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Abatement Cost ($/t CO</w:t>
            </w:r>
            <w:r w:rsidRPr="0041262C">
              <w:rPr>
                <w:rFonts w:ascii="Helvetica" w:hAnsi="Helvetica" w:cs="Helvetica"/>
                <w:color w:val="000000"/>
                <w:vertAlign w:val="subscript"/>
                <w:lang w:val="en-NZ"/>
              </w:rPr>
              <w:t>2</w:t>
            </w:r>
            <w:r w:rsidRPr="0041262C">
              <w:rPr>
                <w:rFonts w:ascii="Helvetica" w:hAnsi="Helvetica" w:cs="Helvetica"/>
                <w:color w:val="000000"/>
                <w:lang w:val="en-NZ"/>
              </w:rPr>
              <w:t>-e )</w:t>
            </w:r>
            <w:r w:rsidR="00D035BE">
              <w:rPr>
                <w:rStyle w:val="FootnoteReference"/>
                <w:rFonts w:ascii="Helvetica" w:hAnsi="Helvetica" w:cs="Helvetica"/>
                <w:color w:val="000000"/>
                <w:lang w:val="en-NZ"/>
              </w:rPr>
              <w:footnoteReference w:id="7"/>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4DDFFE92" w14:textId="77777777" w:rsidR="000B53C0" w:rsidRPr="0041262C" w:rsidRDefault="000B53C0" w:rsidP="00197B9C">
            <w:pPr>
              <w:pStyle w:val="E3tabletext1"/>
              <w:keepNext/>
              <w:keepLines/>
              <w:rPr>
                <w:rFonts w:ascii="Helvetica" w:hAnsi="Helvetica" w:cs="Helvetica"/>
                <w:color w:val="000000"/>
                <w:lang w:val="en-NZ"/>
              </w:rPr>
            </w:pPr>
            <w:r w:rsidRPr="000A5FF6">
              <w:rPr>
                <w:rFonts w:ascii="Helvetica" w:hAnsi="Helvetica" w:cs="Helvetica"/>
                <w:color w:val="FF0000"/>
              </w:rPr>
              <w:t>-$98</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253606B9"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FF0000"/>
              </w:rPr>
              <w:t>-$97</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24ACBF53"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FF0000"/>
              </w:rPr>
              <w:t>-$100</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12349E02"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Abatement Cost ($/t CO</w:t>
            </w:r>
            <w:r w:rsidRPr="0041262C">
              <w:rPr>
                <w:rFonts w:ascii="Helvetica" w:hAnsi="Helvetica" w:cs="Helvetica"/>
                <w:color w:val="000000"/>
                <w:vertAlign w:val="subscript"/>
                <w:lang w:val="en-NZ"/>
              </w:rPr>
              <w:t>2</w:t>
            </w:r>
            <w:r w:rsidRPr="0041262C">
              <w:rPr>
                <w:rFonts w:ascii="Helvetica" w:hAnsi="Helvetica" w:cs="Helvetica"/>
                <w:color w:val="000000"/>
                <w:lang w:val="en-NZ"/>
              </w:rPr>
              <w:t>-e )</w:t>
            </w:r>
          </w:p>
        </w:tc>
        <w:tc>
          <w:tcPr>
            <w:tcW w:w="1247" w:type="dxa"/>
            <w:gridSpan w:val="2"/>
            <w:tcBorders>
              <w:top w:val="single" w:sz="8" w:space="0" w:color="auto"/>
              <w:left w:val="nil"/>
              <w:bottom w:val="single" w:sz="8" w:space="0" w:color="auto"/>
              <w:right w:val="double" w:sz="6" w:space="0" w:color="000000"/>
            </w:tcBorders>
            <w:shd w:val="clear" w:color="auto" w:fill="auto"/>
            <w:vAlign w:val="center"/>
            <w:hideMark/>
          </w:tcPr>
          <w:p w14:paraId="079E77D0"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FF0000"/>
              </w:rPr>
              <w:t>-$235</w:t>
            </w:r>
          </w:p>
        </w:tc>
        <w:tc>
          <w:tcPr>
            <w:tcW w:w="1276" w:type="dxa"/>
            <w:gridSpan w:val="2"/>
            <w:tcBorders>
              <w:top w:val="single" w:sz="8" w:space="0" w:color="auto"/>
              <w:left w:val="nil"/>
              <w:bottom w:val="single" w:sz="8" w:space="0" w:color="auto"/>
              <w:right w:val="double" w:sz="6" w:space="0" w:color="000000"/>
            </w:tcBorders>
            <w:shd w:val="clear" w:color="auto" w:fill="auto"/>
            <w:vAlign w:val="center"/>
            <w:hideMark/>
          </w:tcPr>
          <w:p w14:paraId="65672C2B"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FF0000"/>
              </w:rPr>
              <w:t>-$239</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42166402"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FF0000"/>
              </w:rPr>
              <w:t>-$238</w:t>
            </w:r>
          </w:p>
        </w:tc>
      </w:tr>
      <w:tr w:rsidR="000B53C0" w:rsidRPr="00310980" w14:paraId="226B675D" w14:textId="77777777" w:rsidTr="00197B9C">
        <w:trPr>
          <w:trHeight w:val="557"/>
        </w:trPr>
        <w:tc>
          <w:tcPr>
            <w:tcW w:w="5387" w:type="dxa"/>
            <w:gridSpan w:val="7"/>
            <w:tcBorders>
              <w:top w:val="nil"/>
              <w:left w:val="single" w:sz="8" w:space="0" w:color="auto"/>
              <w:bottom w:val="single" w:sz="8" w:space="0" w:color="auto"/>
              <w:right w:val="double" w:sz="6" w:space="0" w:color="auto"/>
            </w:tcBorders>
            <w:shd w:val="clear" w:color="auto" w:fill="auto"/>
            <w:vAlign w:val="center"/>
            <w:hideMark/>
          </w:tcPr>
          <w:p w14:paraId="69EA5EDD"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Energy savings (GWh)</w:t>
            </w:r>
          </w:p>
        </w:tc>
        <w:tc>
          <w:tcPr>
            <w:tcW w:w="5075" w:type="dxa"/>
            <w:gridSpan w:val="7"/>
            <w:tcBorders>
              <w:top w:val="nil"/>
              <w:left w:val="single" w:sz="8" w:space="0" w:color="auto"/>
              <w:bottom w:val="single" w:sz="8" w:space="0" w:color="auto"/>
              <w:right w:val="double" w:sz="6" w:space="0" w:color="auto"/>
            </w:tcBorders>
            <w:shd w:val="clear" w:color="auto" w:fill="auto"/>
            <w:vAlign w:val="center"/>
            <w:hideMark/>
          </w:tcPr>
          <w:p w14:paraId="5F462E4F"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Energy savings (GWh)</w:t>
            </w:r>
          </w:p>
        </w:tc>
      </w:tr>
      <w:tr w:rsidR="000B53C0" w:rsidRPr="00310980" w14:paraId="2FBEC9E5" w14:textId="77777777" w:rsidTr="00197B9C">
        <w:trPr>
          <w:trHeight w:val="317"/>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0D692C63"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Year</w:t>
            </w:r>
          </w:p>
        </w:tc>
        <w:tc>
          <w:tcPr>
            <w:tcW w:w="567" w:type="dxa"/>
            <w:tcBorders>
              <w:top w:val="nil"/>
              <w:left w:val="nil"/>
              <w:bottom w:val="single" w:sz="8" w:space="0" w:color="auto"/>
              <w:right w:val="single" w:sz="8" w:space="0" w:color="auto"/>
            </w:tcBorders>
            <w:shd w:val="clear" w:color="auto" w:fill="auto"/>
            <w:vAlign w:val="center"/>
            <w:hideMark/>
          </w:tcPr>
          <w:p w14:paraId="16D87E07"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850" w:type="dxa"/>
            <w:tcBorders>
              <w:top w:val="nil"/>
              <w:left w:val="nil"/>
              <w:bottom w:val="single" w:sz="8" w:space="0" w:color="auto"/>
              <w:right w:val="double" w:sz="6" w:space="0" w:color="auto"/>
            </w:tcBorders>
            <w:shd w:val="clear" w:color="auto" w:fill="auto"/>
            <w:vAlign w:val="center"/>
            <w:hideMark/>
          </w:tcPr>
          <w:p w14:paraId="0A677E88"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shd w:val="clear" w:color="auto" w:fill="auto"/>
            <w:vAlign w:val="center"/>
            <w:hideMark/>
          </w:tcPr>
          <w:p w14:paraId="3F6DCC6C"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709" w:type="dxa"/>
            <w:tcBorders>
              <w:top w:val="nil"/>
              <w:left w:val="nil"/>
              <w:bottom w:val="single" w:sz="8" w:space="0" w:color="auto"/>
              <w:right w:val="double" w:sz="6" w:space="0" w:color="auto"/>
            </w:tcBorders>
            <w:shd w:val="clear" w:color="auto" w:fill="auto"/>
            <w:vAlign w:val="center"/>
            <w:hideMark/>
          </w:tcPr>
          <w:p w14:paraId="72481ABB"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shd w:val="clear" w:color="auto" w:fill="auto"/>
            <w:vAlign w:val="center"/>
            <w:hideMark/>
          </w:tcPr>
          <w:p w14:paraId="53366D6C"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708" w:type="dxa"/>
            <w:tcBorders>
              <w:top w:val="nil"/>
              <w:left w:val="nil"/>
              <w:bottom w:val="single" w:sz="8" w:space="0" w:color="auto"/>
              <w:right w:val="double" w:sz="6" w:space="0" w:color="auto"/>
            </w:tcBorders>
            <w:shd w:val="clear" w:color="auto" w:fill="auto"/>
            <w:vAlign w:val="center"/>
            <w:hideMark/>
          </w:tcPr>
          <w:p w14:paraId="6A109AE1"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1A1290FE"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Year</w:t>
            </w:r>
          </w:p>
        </w:tc>
        <w:tc>
          <w:tcPr>
            <w:tcW w:w="680" w:type="dxa"/>
            <w:tcBorders>
              <w:top w:val="nil"/>
              <w:left w:val="nil"/>
              <w:bottom w:val="single" w:sz="8" w:space="0" w:color="auto"/>
              <w:right w:val="single" w:sz="8" w:space="0" w:color="auto"/>
            </w:tcBorders>
            <w:shd w:val="clear" w:color="auto" w:fill="auto"/>
            <w:vAlign w:val="center"/>
            <w:hideMark/>
          </w:tcPr>
          <w:p w14:paraId="55511F4A"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567" w:type="dxa"/>
            <w:tcBorders>
              <w:top w:val="nil"/>
              <w:left w:val="nil"/>
              <w:bottom w:val="single" w:sz="8" w:space="0" w:color="auto"/>
              <w:right w:val="double" w:sz="6" w:space="0" w:color="auto"/>
            </w:tcBorders>
            <w:shd w:val="clear" w:color="auto" w:fill="auto"/>
            <w:vAlign w:val="center"/>
            <w:hideMark/>
          </w:tcPr>
          <w:p w14:paraId="242A2A82"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596" w:type="dxa"/>
            <w:tcBorders>
              <w:top w:val="nil"/>
              <w:left w:val="nil"/>
              <w:bottom w:val="single" w:sz="8" w:space="0" w:color="auto"/>
              <w:right w:val="single" w:sz="8" w:space="0" w:color="auto"/>
            </w:tcBorders>
            <w:shd w:val="clear" w:color="auto" w:fill="auto"/>
            <w:vAlign w:val="center"/>
            <w:hideMark/>
          </w:tcPr>
          <w:p w14:paraId="00AD81CA"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680" w:type="dxa"/>
            <w:tcBorders>
              <w:top w:val="nil"/>
              <w:left w:val="nil"/>
              <w:bottom w:val="single" w:sz="8" w:space="0" w:color="auto"/>
              <w:right w:val="double" w:sz="6" w:space="0" w:color="auto"/>
            </w:tcBorders>
            <w:shd w:val="clear" w:color="auto" w:fill="auto"/>
            <w:vAlign w:val="center"/>
            <w:hideMark/>
          </w:tcPr>
          <w:p w14:paraId="1B58DD94"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shd w:val="clear" w:color="auto" w:fill="auto"/>
            <w:vAlign w:val="center"/>
            <w:hideMark/>
          </w:tcPr>
          <w:p w14:paraId="3B393D46"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709" w:type="dxa"/>
            <w:tcBorders>
              <w:top w:val="nil"/>
              <w:left w:val="nil"/>
              <w:bottom w:val="single" w:sz="8" w:space="0" w:color="auto"/>
              <w:right w:val="double" w:sz="6" w:space="0" w:color="auto"/>
            </w:tcBorders>
            <w:shd w:val="clear" w:color="auto" w:fill="auto"/>
            <w:vAlign w:val="center"/>
            <w:hideMark/>
          </w:tcPr>
          <w:p w14:paraId="1DF088DA"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r>
      <w:tr w:rsidR="000B53C0" w:rsidRPr="00310980" w14:paraId="6F9BFE26" w14:textId="77777777" w:rsidTr="00197B9C">
        <w:trPr>
          <w:trHeight w:val="317"/>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45542098"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Annual</w:t>
            </w:r>
          </w:p>
        </w:tc>
        <w:tc>
          <w:tcPr>
            <w:tcW w:w="567" w:type="dxa"/>
            <w:tcBorders>
              <w:top w:val="nil"/>
              <w:left w:val="nil"/>
              <w:bottom w:val="single" w:sz="8" w:space="0" w:color="auto"/>
              <w:right w:val="single" w:sz="8" w:space="0" w:color="auto"/>
            </w:tcBorders>
            <w:shd w:val="clear" w:color="auto" w:fill="auto"/>
            <w:vAlign w:val="center"/>
            <w:hideMark/>
          </w:tcPr>
          <w:p w14:paraId="47734F38"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86</w:t>
            </w:r>
          </w:p>
        </w:tc>
        <w:tc>
          <w:tcPr>
            <w:tcW w:w="850" w:type="dxa"/>
            <w:tcBorders>
              <w:top w:val="nil"/>
              <w:left w:val="nil"/>
              <w:bottom w:val="single" w:sz="8" w:space="0" w:color="auto"/>
              <w:right w:val="double" w:sz="6" w:space="0" w:color="auto"/>
            </w:tcBorders>
            <w:shd w:val="clear" w:color="auto" w:fill="auto"/>
            <w:vAlign w:val="center"/>
            <w:hideMark/>
          </w:tcPr>
          <w:p w14:paraId="2DB2F5AE"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293</w:t>
            </w:r>
          </w:p>
        </w:tc>
        <w:tc>
          <w:tcPr>
            <w:tcW w:w="709" w:type="dxa"/>
            <w:tcBorders>
              <w:top w:val="nil"/>
              <w:left w:val="nil"/>
              <w:bottom w:val="single" w:sz="8" w:space="0" w:color="auto"/>
              <w:right w:val="single" w:sz="8" w:space="0" w:color="auto"/>
            </w:tcBorders>
            <w:shd w:val="clear" w:color="auto" w:fill="auto"/>
            <w:vAlign w:val="center"/>
            <w:hideMark/>
          </w:tcPr>
          <w:p w14:paraId="4587E1FD"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283</w:t>
            </w:r>
          </w:p>
        </w:tc>
        <w:tc>
          <w:tcPr>
            <w:tcW w:w="709" w:type="dxa"/>
            <w:tcBorders>
              <w:top w:val="nil"/>
              <w:left w:val="nil"/>
              <w:bottom w:val="single" w:sz="8" w:space="0" w:color="auto"/>
              <w:right w:val="double" w:sz="6" w:space="0" w:color="auto"/>
            </w:tcBorders>
            <w:shd w:val="clear" w:color="auto" w:fill="auto"/>
            <w:vAlign w:val="center"/>
            <w:hideMark/>
          </w:tcPr>
          <w:p w14:paraId="08F56F38"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711</w:t>
            </w:r>
          </w:p>
        </w:tc>
        <w:tc>
          <w:tcPr>
            <w:tcW w:w="709" w:type="dxa"/>
            <w:tcBorders>
              <w:top w:val="nil"/>
              <w:left w:val="nil"/>
              <w:bottom w:val="single" w:sz="8" w:space="0" w:color="auto"/>
              <w:right w:val="single" w:sz="8" w:space="0" w:color="auto"/>
            </w:tcBorders>
            <w:shd w:val="clear" w:color="auto" w:fill="auto"/>
            <w:vAlign w:val="center"/>
            <w:hideMark/>
          </w:tcPr>
          <w:p w14:paraId="4AB875AF"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517</w:t>
            </w:r>
          </w:p>
        </w:tc>
        <w:tc>
          <w:tcPr>
            <w:tcW w:w="708" w:type="dxa"/>
            <w:tcBorders>
              <w:top w:val="nil"/>
              <w:left w:val="nil"/>
              <w:bottom w:val="single" w:sz="8" w:space="0" w:color="auto"/>
              <w:right w:val="double" w:sz="6" w:space="0" w:color="auto"/>
            </w:tcBorders>
            <w:shd w:val="clear" w:color="auto" w:fill="auto"/>
            <w:vAlign w:val="center"/>
            <w:hideMark/>
          </w:tcPr>
          <w:p w14:paraId="21879936"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1,156</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6A0D6FE7"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Annual</w:t>
            </w:r>
          </w:p>
        </w:tc>
        <w:tc>
          <w:tcPr>
            <w:tcW w:w="680" w:type="dxa"/>
            <w:tcBorders>
              <w:top w:val="nil"/>
              <w:left w:val="nil"/>
              <w:bottom w:val="single" w:sz="8" w:space="0" w:color="auto"/>
              <w:right w:val="single" w:sz="8" w:space="0" w:color="auto"/>
            </w:tcBorders>
            <w:shd w:val="clear" w:color="auto" w:fill="auto"/>
            <w:vAlign w:val="center"/>
            <w:hideMark/>
          </w:tcPr>
          <w:p w14:paraId="208ACF1B"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15</w:t>
            </w:r>
          </w:p>
        </w:tc>
        <w:tc>
          <w:tcPr>
            <w:tcW w:w="567" w:type="dxa"/>
            <w:tcBorders>
              <w:top w:val="nil"/>
              <w:left w:val="nil"/>
              <w:bottom w:val="single" w:sz="8" w:space="0" w:color="auto"/>
              <w:right w:val="double" w:sz="6" w:space="0" w:color="auto"/>
            </w:tcBorders>
            <w:shd w:val="clear" w:color="auto" w:fill="auto"/>
            <w:vAlign w:val="center"/>
            <w:hideMark/>
          </w:tcPr>
          <w:p w14:paraId="0837FEA7"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52</w:t>
            </w:r>
          </w:p>
        </w:tc>
        <w:tc>
          <w:tcPr>
            <w:tcW w:w="596" w:type="dxa"/>
            <w:tcBorders>
              <w:top w:val="nil"/>
              <w:left w:val="nil"/>
              <w:bottom w:val="single" w:sz="8" w:space="0" w:color="auto"/>
              <w:right w:val="single" w:sz="8" w:space="0" w:color="auto"/>
            </w:tcBorders>
            <w:shd w:val="clear" w:color="auto" w:fill="auto"/>
            <w:vAlign w:val="center"/>
            <w:hideMark/>
          </w:tcPr>
          <w:p w14:paraId="6730F6DA"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51</w:t>
            </w:r>
          </w:p>
        </w:tc>
        <w:tc>
          <w:tcPr>
            <w:tcW w:w="680" w:type="dxa"/>
            <w:tcBorders>
              <w:top w:val="nil"/>
              <w:left w:val="nil"/>
              <w:bottom w:val="single" w:sz="8" w:space="0" w:color="auto"/>
              <w:right w:val="double" w:sz="6" w:space="0" w:color="auto"/>
            </w:tcBorders>
            <w:shd w:val="clear" w:color="auto" w:fill="auto"/>
            <w:vAlign w:val="center"/>
            <w:hideMark/>
          </w:tcPr>
          <w:p w14:paraId="5C7AED26"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126</w:t>
            </w:r>
          </w:p>
        </w:tc>
        <w:tc>
          <w:tcPr>
            <w:tcW w:w="709" w:type="dxa"/>
            <w:tcBorders>
              <w:top w:val="nil"/>
              <w:left w:val="nil"/>
              <w:bottom w:val="single" w:sz="8" w:space="0" w:color="auto"/>
              <w:right w:val="single" w:sz="8" w:space="0" w:color="auto"/>
            </w:tcBorders>
            <w:shd w:val="clear" w:color="auto" w:fill="auto"/>
            <w:vAlign w:val="center"/>
            <w:hideMark/>
          </w:tcPr>
          <w:p w14:paraId="72E8B07B"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93</w:t>
            </w:r>
          </w:p>
        </w:tc>
        <w:tc>
          <w:tcPr>
            <w:tcW w:w="709" w:type="dxa"/>
            <w:tcBorders>
              <w:top w:val="nil"/>
              <w:left w:val="nil"/>
              <w:bottom w:val="single" w:sz="8" w:space="0" w:color="auto"/>
              <w:right w:val="double" w:sz="6" w:space="0" w:color="auto"/>
            </w:tcBorders>
            <w:shd w:val="clear" w:color="auto" w:fill="auto"/>
            <w:vAlign w:val="center"/>
            <w:hideMark/>
          </w:tcPr>
          <w:p w14:paraId="63C74B2E"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205</w:t>
            </w:r>
          </w:p>
        </w:tc>
      </w:tr>
      <w:tr w:rsidR="000B53C0" w:rsidRPr="00310980" w14:paraId="14EDB074" w14:textId="77777777" w:rsidTr="00197B9C">
        <w:trPr>
          <w:trHeight w:val="376"/>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4E71DADC"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Cumulative</w:t>
            </w:r>
          </w:p>
        </w:tc>
        <w:tc>
          <w:tcPr>
            <w:tcW w:w="567" w:type="dxa"/>
            <w:tcBorders>
              <w:top w:val="nil"/>
              <w:left w:val="nil"/>
              <w:bottom w:val="single" w:sz="8" w:space="0" w:color="auto"/>
              <w:right w:val="single" w:sz="8" w:space="0" w:color="auto"/>
            </w:tcBorders>
            <w:shd w:val="clear" w:color="auto" w:fill="auto"/>
            <w:vAlign w:val="center"/>
            <w:hideMark/>
          </w:tcPr>
          <w:p w14:paraId="00E608DC"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270</w:t>
            </w:r>
          </w:p>
        </w:tc>
        <w:tc>
          <w:tcPr>
            <w:tcW w:w="850" w:type="dxa"/>
            <w:tcBorders>
              <w:top w:val="nil"/>
              <w:left w:val="nil"/>
              <w:bottom w:val="single" w:sz="8" w:space="0" w:color="auto"/>
              <w:right w:val="double" w:sz="6" w:space="0" w:color="auto"/>
            </w:tcBorders>
            <w:shd w:val="clear" w:color="auto" w:fill="auto"/>
            <w:vAlign w:val="center"/>
            <w:hideMark/>
          </w:tcPr>
          <w:p w14:paraId="13EE98B8"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2,278</w:t>
            </w:r>
          </w:p>
        </w:tc>
        <w:tc>
          <w:tcPr>
            <w:tcW w:w="709" w:type="dxa"/>
            <w:tcBorders>
              <w:top w:val="nil"/>
              <w:left w:val="nil"/>
              <w:bottom w:val="single" w:sz="8" w:space="0" w:color="auto"/>
              <w:right w:val="single" w:sz="8" w:space="0" w:color="auto"/>
            </w:tcBorders>
            <w:shd w:val="clear" w:color="auto" w:fill="auto"/>
            <w:vAlign w:val="center"/>
            <w:hideMark/>
          </w:tcPr>
          <w:p w14:paraId="4365988C"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957</w:t>
            </w:r>
          </w:p>
        </w:tc>
        <w:tc>
          <w:tcPr>
            <w:tcW w:w="709" w:type="dxa"/>
            <w:tcBorders>
              <w:top w:val="nil"/>
              <w:left w:val="nil"/>
              <w:bottom w:val="single" w:sz="8" w:space="0" w:color="auto"/>
              <w:right w:val="double" w:sz="6" w:space="0" w:color="auto"/>
            </w:tcBorders>
            <w:shd w:val="clear" w:color="auto" w:fill="auto"/>
            <w:vAlign w:val="center"/>
            <w:hideMark/>
          </w:tcPr>
          <w:p w14:paraId="2B99FFB3"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6,406</w:t>
            </w:r>
          </w:p>
        </w:tc>
        <w:tc>
          <w:tcPr>
            <w:tcW w:w="709" w:type="dxa"/>
            <w:tcBorders>
              <w:top w:val="nil"/>
              <w:left w:val="nil"/>
              <w:bottom w:val="single" w:sz="8" w:space="0" w:color="auto"/>
              <w:right w:val="single" w:sz="8" w:space="0" w:color="auto"/>
            </w:tcBorders>
            <w:shd w:val="clear" w:color="auto" w:fill="auto"/>
            <w:vAlign w:val="center"/>
            <w:hideMark/>
          </w:tcPr>
          <w:p w14:paraId="4DF34719"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1,774</w:t>
            </w:r>
          </w:p>
        </w:tc>
        <w:tc>
          <w:tcPr>
            <w:tcW w:w="708" w:type="dxa"/>
            <w:tcBorders>
              <w:top w:val="nil"/>
              <w:left w:val="nil"/>
              <w:bottom w:val="single" w:sz="8" w:space="0" w:color="auto"/>
              <w:right w:val="double" w:sz="6" w:space="0" w:color="auto"/>
            </w:tcBorders>
            <w:shd w:val="clear" w:color="auto" w:fill="auto"/>
            <w:vAlign w:val="center"/>
            <w:hideMark/>
          </w:tcPr>
          <w:p w14:paraId="08FB7875"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11,099</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3248C2F9"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Cumulative</w:t>
            </w:r>
          </w:p>
        </w:tc>
        <w:tc>
          <w:tcPr>
            <w:tcW w:w="680" w:type="dxa"/>
            <w:tcBorders>
              <w:top w:val="nil"/>
              <w:left w:val="nil"/>
              <w:bottom w:val="single" w:sz="8" w:space="0" w:color="auto"/>
              <w:right w:val="single" w:sz="8" w:space="0" w:color="auto"/>
            </w:tcBorders>
            <w:shd w:val="clear" w:color="auto" w:fill="auto"/>
            <w:vAlign w:val="center"/>
            <w:hideMark/>
          </w:tcPr>
          <w:p w14:paraId="2C6C9337"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49</w:t>
            </w:r>
          </w:p>
        </w:tc>
        <w:tc>
          <w:tcPr>
            <w:tcW w:w="567" w:type="dxa"/>
            <w:tcBorders>
              <w:top w:val="nil"/>
              <w:left w:val="nil"/>
              <w:bottom w:val="single" w:sz="8" w:space="0" w:color="auto"/>
              <w:right w:val="double" w:sz="6" w:space="0" w:color="auto"/>
            </w:tcBorders>
            <w:shd w:val="clear" w:color="auto" w:fill="auto"/>
            <w:vAlign w:val="center"/>
            <w:hideMark/>
          </w:tcPr>
          <w:p w14:paraId="5C5866C4"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404</w:t>
            </w:r>
          </w:p>
        </w:tc>
        <w:tc>
          <w:tcPr>
            <w:tcW w:w="596" w:type="dxa"/>
            <w:tcBorders>
              <w:top w:val="nil"/>
              <w:left w:val="nil"/>
              <w:bottom w:val="single" w:sz="8" w:space="0" w:color="auto"/>
              <w:right w:val="single" w:sz="8" w:space="0" w:color="auto"/>
            </w:tcBorders>
            <w:shd w:val="clear" w:color="auto" w:fill="auto"/>
            <w:vAlign w:val="center"/>
            <w:hideMark/>
          </w:tcPr>
          <w:p w14:paraId="466B5979"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173</w:t>
            </w:r>
          </w:p>
        </w:tc>
        <w:tc>
          <w:tcPr>
            <w:tcW w:w="680" w:type="dxa"/>
            <w:tcBorders>
              <w:top w:val="nil"/>
              <w:left w:val="nil"/>
              <w:bottom w:val="single" w:sz="8" w:space="0" w:color="auto"/>
              <w:right w:val="double" w:sz="6" w:space="0" w:color="auto"/>
            </w:tcBorders>
            <w:shd w:val="clear" w:color="auto" w:fill="auto"/>
            <w:vAlign w:val="center"/>
            <w:hideMark/>
          </w:tcPr>
          <w:p w14:paraId="1F5462DB"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1,142</w:t>
            </w:r>
          </w:p>
        </w:tc>
        <w:tc>
          <w:tcPr>
            <w:tcW w:w="709" w:type="dxa"/>
            <w:tcBorders>
              <w:top w:val="nil"/>
              <w:left w:val="nil"/>
              <w:bottom w:val="single" w:sz="8" w:space="0" w:color="auto"/>
              <w:right w:val="single" w:sz="8" w:space="0" w:color="auto"/>
            </w:tcBorders>
            <w:shd w:val="clear" w:color="auto" w:fill="auto"/>
            <w:vAlign w:val="center"/>
            <w:hideMark/>
          </w:tcPr>
          <w:p w14:paraId="0361349E"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322</w:t>
            </w:r>
          </w:p>
        </w:tc>
        <w:tc>
          <w:tcPr>
            <w:tcW w:w="709" w:type="dxa"/>
            <w:tcBorders>
              <w:top w:val="nil"/>
              <w:left w:val="nil"/>
              <w:bottom w:val="single" w:sz="8" w:space="0" w:color="auto"/>
              <w:right w:val="double" w:sz="6" w:space="0" w:color="auto"/>
            </w:tcBorders>
            <w:shd w:val="clear" w:color="auto" w:fill="auto"/>
            <w:vAlign w:val="center"/>
            <w:hideMark/>
          </w:tcPr>
          <w:p w14:paraId="432C48B2"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1,986</w:t>
            </w:r>
          </w:p>
        </w:tc>
      </w:tr>
      <w:tr w:rsidR="000B53C0" w:rsidRPr="00310980" w14:paraId="25399178" w14:textId="77777777" w:rsidTr="00197B9C">
        <w:trPr>
          <w:trHeight w:val="497"/>
        </w:trPr>
        <w:tc>
          <w:tcPr>
            <w:tcW w:w="5387" w:type="dxa"/>
            <w:gridSpan w:val="7"/>
            <w:tcBorders>
              <w:top w:val="nil"/>
              <w:left w:val="single" w:sz="8" w:space="0" w:color="auto"/>
              <w:bottom w:val="single" w:sz="8" w:space="0" w:color="auto"/>
              <w:right w:val="double" w:sz="6" w:space="0" w:color="auto"/>
            </w:tcBorders>
            <w:shd w:val="clear" w:color="auto" w:fill="auto"/>
            <w:vAlign w:val="center"/>
            <w:hideMark/>
          </w:tcPr>
          <w:p w14:paraId="7D97192B"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GHG Emission reduction (kt CO</w:t>
            </w:r>
            <w:r w:rsidRPr="0041262C">
              <w:rPr>
                <w:rFonts w:ascii="Helvetica" w:hAnsi="Helvetica" w:cs="Helvetica"/>
                <w:color w:val="000000"/>
                <w:vertAlign w:val="subscript"/>
                <w:lang w:val="en-NZ"/>
              </w:rPr>
              <w:t>2-e</w:t>
            </w:r>
            <w:r w:rsidRPr="0041262C">
              <w:rPr>
                <w:rFonts w:ascii="Helvetica" w:hAnsi="Helvetica" w:cs="Helvetica"/>
                <w:color w:val="000000"/>
                <w:lang w:val="en-NZ"/>
              </w:rPr>
              <w:t>)</w:t>
            </w:r>
          </w:p>
        </w:tc>
        <w:tc>
          <w:tcPr>
            <w:tcW w:w="5075" w:type="dxa"/>
            <w:gridSpan w:val="7"/>
            <w:tcBorders>
              <w:top w:val="nil"/>
              <w:left w:val="single" w:sz="8" w:space="0" w:color="auto"/>
              <w:bottom w:val="single" w:sz="8" w:space="0" w:color="auto"/>
              <w:right w:val="double" w:sz="6" w:space="0" w:color="auto"/>
            </w:tcBorders>
            <w:shd w:val="clear" w:color="auto" w:fill="auto"/>
            <w:vAlign w:val="center"/>
            <w:hideMark/>
          </w:tcPr>
          <w:p w14:paraId="28AD8E51"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GHG Emission reduction (kt CO</w:t>
            </w:r>
            <w:r w:rsidRPr="0041262C">
              <w:rPr>
                <w:rFonts w:ascii="Helvetica" w:hAnsi="Helvetica" w:cs="Helvetica"/>
                <w:color w:val="000000"/>
                <w:vertAlign w:val="subscript"/>
                <w:lang w:val="en-NZ"/>
              </w:rPr>
              <w:t>2-e</w:t>
            </w:r>
            <w:r w:rsidRPr="0041262C">
              <w:rPr>
                <w:rFonts w:ascii="Helvetica" w:hAnsi="Helvetica" w:cs="Helvetica"/>
                <w:color w:val="000000"/>
                <w:lang w:val="en-NZ"/>
              </w:rPr>
              <w:t>)</w:t>
            </w:r>
          </w:p>
        </w:tc>
      </w:tr>
      <w:tr w:rsidR="000B53C0" w:rsidRPr="00310980" w14:paraId="480CACCA" w14:textId="77777777" w:rsidTr="00197B9C">
        <w:trPr>
          <w:trHeight w:val="317"/>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2C8E6C7B"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Year</w:t>
            </w:r>
          </w:p>
        </w:tc>
        <w:tc>
          <w:tcPr>
            <w:tcW w:w="567" w:type="dxa"/>
            <w:tcBorders>
              <w:top w:val="nil"/>
              <w:left w:val="nil"/>
              <w:bottom w:val="single" w:sz="8" w:space="0" w:color="auto"/>
              <w:right w:val="single" w:sz="8" w:space="0" w:color="auto"/>
            </w:tcBorders>
            <w:shd w:val="clear" w:color="auto" w:fill="auto"/>
            <w:vAlign w:val="center"/>
            <w:hideMark/>
          </w:tcPr>
          <w:p w14:paraId="6EE473E3"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850" w:type="dxa"/>
            <w:tcBorders>
              <w:top w:val="nil"/>
              <w:left w:val="nil"/>
              <w:bottom w:val="single" w:sz="8" w:space="0" w:color="auto"/>
              <w:right w:val="double" w:sz="6" w:space="0" w:color="auto"/>
            </w:tcBorders>
            <w:shd w:val="clear" w:color="auto" w:fill="auto"/>
            <w:vAlign w:val="center"/>
            <w:hideMark/>
          </w:tcPr>
          <w:p w14:paraId="4D3EB710"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shd w:val="clear" w:color="auto" w:fill="auto"/>
            <w:vAlign w:val="center"/>
            <w:hideMark/>
          </w:tcPr>
          <w:p w14:paraId="7A01B45B"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709" w:type="dxa"/>
            <w:tcBorders>
              <w:top w:val="nil"/>
              <w:left w:val="nil"/>
              <w:bottom w:val="single" w:sz="8" w:space="0" w:color="auto"/>
              <w:right w:val="double" w:sz="6" w:space="0" w:color="auto"/>
            </w:tcBorders>
            <w:shd w:val="clear" w:color="auto" w:fill="auto"/>
            <w:vAlign w:val="center"/>
            <w:hideMark/>
          </w:tcPr>
          <w:p w14:paraId="2E70F534"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shd w:val="clear" w:color="auto" w:fill="auto"/>
            <w:vAlign w:val="center"/>
            <w:hideMark/>
          </w:tcPr>
          <w:p w14:paraId="3E7BA654"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708" w:type="dxa"/>
            <w:tcBorders>
              <w:top w:val="nil"/>
              <w:left w:val="nil"/>
              <w:bottom w:val="single" w:sz="8" w:space="0" w:color="auto"/>
              <w:right w:val="double" w:sz="6" w:space="0" w:color="auto"/>
            </w:tcBorders>
            <w:shd w:val="clear" w:color="auto" w:fill="auto"/>
            <w:vAlign w:val="center"/>
            <w:hideMark/>
          </w:tcPr>
          <w:p w14:paraId="28A8C793"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6DFD0AD2"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Year</w:t>
            </w:r>
          </w:p>
        </w:tc>
        <w:tc>
          <w:tcPr>
            <w:tcW w:w="680" w:type="dxa"/>
            <w:tcBorders>
              <w:top w:val="nil"/>
              <w:left w:val="nil"/>
              <w:bottom w:val="single" w:sz="8" w:space="0" w:color="auto"/>
              <w:right w:val="single" w:sz="8" w:space="0" w:color="auto"/>
            </w:tcBorders>
            <w:shd w:val="clear" w:color="auto" w:fill="auto"/>
            <w:vAlign w:val="center"/>
            <w:hideMark/>
          </w:tcPr>
          <w:p w14:paraId="1F9511E0"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567" w:type="dxa"/>
            <w:tcBorders>
              <w:top w:val="nil"/>
              <w:left w:val="nil"/>
              <w:bottom w:val="single" w:sz="8" w:space="0" w:color="auto"/>
              <w:right w:val="double" w:sz="6" w:space="0" w:color="auto"/>
            </w:tcBorders>
            <w:shd w:val="clear" w:color="auto" w:fill="auto"/>
            <w:vAlign w:val="center"/>
            <w:hideMark/>
          </w:tcPr>
          <w:p w14:paraId="34DB9452"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596" w:type="dxa"/>
            <w:tcBorders>
              <w:top w:val="nil"/>
              <w:left w:val="nil"/>
              <w:bottom w:val="single" w:sz="8" w:space="0" w:color="auto"/>
              <w:right w:val="single" w:sz="8" w:space="0" w:color="auto"/>
            </w:tcBorders>
            <w:shd w:val="clear" w:color="auto" w:fill="auto"/>
            <w:vAlign w:val="center"/>
            <w:hideMark/>
          </w:tcPr>
          <w:p w14:paraId="66D5CE60"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680" w:type="dxa"/>
            <w:tcBorders>
              <w:top w:val="nil"/>
              <w:left w:val="nil"/>
              <w:bottom w:val="single" w:sz="8" w:space="0" w:color="auto"/>
              <w:right w:val="double" w:sz="6" w:space="0" w:color="auto"/>
            </w:tcBorders>
            <w:shd w:val="clear" w:color="auto" w:fill="auto"/>
            <w:vAlign w:val="center"/>
            <w:hideMark/>
          </w:tcPr>
          <w:p w14:paraId="335B28BE"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shd w:val="clear" w:color="auto" w:fill="auto"/>
            <w:vAlign w:val="center"/>
            <w:hideMark/>
          </w:tcPr>
          <w:p w14:paraId="4B36E221"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709" w:type="dxa"/>
            <w:tcBorders>
              <w:top w:val="nil"/>
              <w:left w:val="nil"/>
              <w:bottom w:val="single" w:sz="8" w:space="0" w:color="auto"/>
              <w:right w:val="double" w:sz="6" w:space="0" w:color="auto"/>
            </w:tcBorders>
            <w:shd w:val="clear" w:color="auto" w:fill="auto"/>
            <w:vAlign w:val="center"/>
            <w:hideMark/>
          </w:tcPr>
          <w:p w14:paraId="138DF56A"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r>
      <w:tr w:rsidR="000B53C0" w:rsidRPr="00310980" w14:paraId="045AD962" w14:textId="77777777" w:rsidTr="00197B9C">
        <w:trPr>
          <w:trHeight w:val="317"/>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294D8D96"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Annual</w:t>
            </w:r>
          </w:p>
        </w:tc>
        <w:tc>
          <w:tcPr>
            <w:tcW w:w="567" w:type="dxa"/>
            <w:tcBorders>
              <w:top w:val="nil"/>
              <w:left w:val="nil"/>
              <w:bottom w:val="single" w:sz="8" w:space="0" w:color="auto"/>
              <w:right w:val="single" w:sz="8" w:space="0" w:color="auto"/>
            </w:tcBorders>
            <w:shd w:val="clear" w:color="auto" w:fill="auto"/>
            <w:vAlign w:val="center"/>
            <w:hideMark/>
          </w:tcPr>
          <w:p w14:paraId="1F3D82EB"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65</w:t>
            </w:r>
          </w:p>
        </w:tc>
        <w:tc>
          <w:tcPr>
            <w:tcW w:w="850" w:type="dxa"/>
            <w:tcBorders>
              <w:top w:val="nil"/>
              <w:left w:val="nil"/>
              <w:bottom w:val="single" w:sz="8" w:space="0" w:color="auto"/>
              <w:right w:val="double" w:sz="6" w:space="0" w:color="auto"/>
            </w:tcBorders>
            <w:shd w:val="clear" w:color="auto" w:fill="auto"/>
            <w:vAlign w:val="center"/>
            <w:hideMark/>
          </w:tcPr>
          <w:p w14:paraId="15D43988"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216</w:t>
            </w:r>
          </w:p>
        </w:tc>
        <w:tc>
          <w:tcPr>
            <w:tcW w:w="709" w:type="dxa"/>
            <w:tcBorders>
              <w:top w:val="nil"/>
              <w:left w:val="nil"/>
              <w:bottom w:val="single" w:sz="8" w:space="0" w:color="auto"/>
              <w:right w:val="single" w:sz="8" w:space="0" w:color="auto"/>
            </w:tcBorders>
            <w:shd w:val="clear" w:color="auto" w:fill="auto"/>
            <w:vAlign w:val="center"/>
            <w:hideMark/>
          </w:tcPr>
          <w:p w14:paraId="09AFC6D0"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214</w:t>
            </w:r>
          </w:p>
        </w:tc>
        <w:tc>
          <w:tcPr>
            <w:tcW w:w="709" w:type="dxa"/>
            <w:tcBorders>
              <w:top w:val="nil"/>
              <w:left w:val="nil"/>
              <w:bottom w:val="single" w:sz="8" w:space="0" w:color="auto"/>
              <w:right w:val="double" w:sz="6" w:space="0" w:color="auto"/>
            </w:tcBorders>
            <w:shd w:val="clear" w:color="auto" w:fill="auto"/>
            <w:vAlign w:val="center"/>
            <w:hideMark/>
          </w:tcPr>
          <w:p w14:paraId="376ADA14"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524</w:t>
            </w:r>
          </w:p>
        </w:tc>
        <w:tc>
          <w:tcPr>
            <w:tcW w:w="709" w:type="dxa"/>
            <w:tcBorders>
              <w:top w:val="nil"/>
              <w:left w:val="nil"/>
              <w:bottom w:val="single" w:sz="8" w:space="0" w:color="auto"/>
              <w:right w:val="single" w:sz="8" w:space="0" w:color="auto"/>
            </w:tcBorders>
            <w:shd w:val="clear" w:color="auto" w:fill="auto"/>
            <w:vAlign w:val="center"/>
            <w:hideMark/>
          </w:tcPr>
          <w:p w14:paraId="193CF3CE"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391</w:t>
            </w:r>
          </w:p>
        </w:tc>
        <w:tc>
          <w:tcPr>
            <w:tcW w:w="708" w:type="dxa"/>
            <w:tcBorders>
              <w:top w:val="nil"/>
              <w:left w:val="nil"/>
              <w:bottom w:val="single" w:sz="8" w:space="0" w:color="auto"/>
              <w:right w:val="double" w:sz="6" w:space="0" w:color="auto"/>
            </w:tcBorders>
            <w:shd w:val="clear" w:color="auto" w:fill="auto"/>
            <w:vAlign w:val="center"/>
            <w:hideMark/>
          </w:tcPr>
          <w:p w14:paraId="5261E4B3"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853</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108F9014"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Annual</w:t>
            </w:r>
          </w:p>
        </w:tc>
        <w:tc>
          <w:tcPr>
            <w:tcW w:w="680" w:type="dxa"/>
            <w:tcBorders>
              <w:top w:val="nil"/>
              <w:left w:val="nil"/>
              <w:bottom w:val="single" w:sz="8" w:space="0" w:color="auto"/>
              <w:right w:val="single" w:sz="8" w:space="0" w:color="auto"/>
            </w:tcBorders>
            <w:shd w:val="clear" w:color="auto" w:fill="auto"/>
            <w:vAlign w:val="center"/>
            <w:hideMark/>
          </w:tcPr>
          <w:p w14:paraId="6E971C11"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2</w:t>
            </w:r>
          </w:p>
        </w:tc>
        <w:tc>
          <w:tcPr>
            <w:tcW w:w="567" w:type="dxa"/>
            <w:tcBorders>
              <w:top w:val="nil"/>
              <w:left w:val="nil"/>
              <w:bottom w:val="single" w:sz="8" w:space="0" w:color="auto"/>
              <w:right w:val="double" w:sz="6" w:space="0" w:color="auto"/>
            </w:tcBorders>
            <w:shd w:val="clear" w:color="auto" w:fill="auto"/>
            <w:vAlign w:val="center"/>
            <w:hideMark/>
          </w:tcPr>
          <w:p w14:paraId="361C98FC"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7</w:t>
            </w:r>
          </w:p>
        </w:tc>
        <w:tc>
          <w:tcPr>
            <w:tcW w:w="596" w:type="dxa"/>
            <w:tcBorders>
              <w:top w:val="nil"/>
              <w:left w:val="nil"/>
              <w:bottom w:val="single" w:sz="8" w:space="0" w:color="auto"/>
              <w:right w:val="single" w:sz="8" w:space="0" w:color="auto"/>
            </w:tcBorders>
            <w:shd w:val="clear" w:color="auto" w:fill="auto"/>
            <w:vAlign w:val="center"/>
            <w:hideMark/>
          </w:tcPr>
          <w:p w14:paraId="0225C91A"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7</w:t>
            </w:r>
          </w:p>
        </w:tc>
        <w:tc>
          <w:tcPr>
            <w:tcW w:w="680" w:type="dxa"/>
            <w:tcBorders>
              <w:top w:val="nil"/>
              <w:left w:val="nil"/>
              <w:bottom w:val="single" w:sz="8" w:space="0" w:color="auto"/>
              <w:right w:val="double" w:sz="6" w:space="0" w:color="auto"/>
            </w:tcBorders>
            <w:shd w:val="clear" w:color="auto" w:fill="auto"/>
            <w:vAlign w:val="center"/>
            <w:hideMark/>
          </w:tcPr>
          <w:p w14:paraId="7EA09DD8"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16</w:t>
            </w:r>
          </w:p>
        </w:tc>
        <w:tc>
          <w:tcPr>
            <w:tcW w:w="709" w:type="dxa"/>
            <w:tcBorders>
              <w:top w:val="nil"/>
              <w:left w:val="nil"/>
              <w:bottom w:val="single" w:sz="8" w:space="0" w:color="auto"/>
              <w:right w:val="single" w:sz="8" w:space="0" w:color="auto"/>
            </w:tcBorders>
            <w:shd w:val="clear" w:color="auto" w:fill="auto"/>
            <w:vAlign w:val="center"/>
            <w:hideMark/>
          </w:tcPr>
          <w:p w14:paraId="72D45889"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12</w:t>
            </w:r>
          </w:p>
        </w:tc>
        <w:tc>
          <w:tcPr>
            <w:tcW w:w="709" w:type="dxa"/>
            <w:tcBorders>
              <w:top w:val="nil"/>
              <w:left w:val="nil"/>
              <w:bottom w:val="single" w:sz="8" w:space="0" w:color="auto"/>
              <w:right w:val="double" w:sz="6" w:space="0" w:color="auto"/>
            </w:tcBorders>
            <w:shd w:val="clear" w:color="auto" w:fill="auto"/>
            <w:vAlign w:val="center"/>
            <w:hideMark/>
          </w:tcPr>
          <w:p w14:paraId="57557448"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26</w:t>
            </w:r>
          </w:p>
        </w:tc>
      </w:tr>
      <w:tr w:rsidR="000B53C0" w:rsidRPr="004A74A2" w14:paraId="3EE3BB4E" w14:textId="77777777" w:rsidTr="00197B9C">
        <w:trPr>
          <w:trHeight w:val="376"/>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2C52354E"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Cumulative</w:t>
            </w:r>
          </w:p>
        </w:tc>
        <w:tc>
          <w:tcPr>
            <w:tcW w:w="567" w:type="dxa"/>
            <w:tcBorders>
              <w:top w:val="nil"/>
              <w:left w:val="nil"/>
              <w:bottom w:val="single" w:sz="8" w:space="0" w:color="auto"/>
              <w:right w:val="single" w:sz="8" w:space="0" w:color="auto"/>
            </w:tcBorders>
            <w:shd w:val="clear" w:color="auto" w:fill="auto"/>
            <w:vAlign w:val="center"/>
            <w:hideMark/>
          </w:tcPr>
          <w:p w14:paraId="68D3CDB8"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207</w:t>
            </w:r>
          </w:p>
        </w:tc>
        <w:tc>
          <w:tcPr>
            <w:tcW w:w="850" w:type="dxa"/>
            <w:tcBorders>
              <w:top w:val="nil"/>
              <w:left w:val="nil"/>
              <w:bottom w:val="single" w:sz="8" w:space="0" w:color="auto"/>
              <w:right w:val="double" w:sz="6" w:space="0" w:color="auto"/>
            </w:tcBorders>
            <w:shd w:val="clear" w:color="auto" w:fill="auto"/>
            <w:vAlign w:val="center"/>
            <w:hideMark/>
          </w:tcPr>
          <w:p w14:paraId="20880AA0"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1,692</w:t>
            </w:r>
          </w:p>
        </w:tc>
        <w:tc>
          <w:tcPr>
            <w:tcW w:w="709" w:type="dxa"/>
            <w:tcBorders>
              <w:top w:val="nil"/>
              <w:left w:val="nil"/>
              <w:bottom w:val="single" w:sz="8" w:space="0" w:color="auto"/>
              <w:right w:val="single" w:sz="8" w:space="0" w:color="auto"/>
            </w:tcBorders>
            <w:shd w:val="clear" w:color="auto" w:fill="auto"/>
            <w:vAlign w:val="center"/>
            <w:hideMark/>
          </w:tcPr>
          <w:p w14:paraId="1E0C5C7E"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734</w:t>
            </w:r>
          </w:p>
        </w:tc>
        <w:tc>
          <w:tcPr>
            <w:tcW w:w="709" w:type="dxa"/>
            <w:tcBorders>
              <w:top w:val="nil"/>
              <w:left w:val="nil"/>
              <w:bottom w:val="single" w:sz="8" w:space="0" w:color="auto"/>
              <w:right w:val="double" w:sz="6" w:space="0" w:color="auto"/>
            </w:tcBorders>
            <w:shd w:val="clear" w:color="auto" w:fill="auto"/>
            <w:vAlign w:val="center"/>
            <w:hideMark/>
          </w:tcPr>
          <w:p w14:paraId="5B45025F"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4,767</w:t>
            </w:r>
          </w:p>
        </w:tc>
        <w:tc>
          <w:tcPr>
            <w:tcW w:w="709" w:type="dxa"/>
            <w:tcBorders>
              <w:top w:val="nil"/>
              <w:left w:val="nil"/>
              <w:bottom w:val="single" w:sz="8" w:space="0" w:color="auto"/>
              <w:right w:val="single" w:sz="8" w:space="0" w:color="auto"/>
            </w:tcBorders>
            <w:shd w:val="clear" w:color="auto" w:fill="auto"/>
            <w:vAlign w:val="center"/>
            <w:hideMark/>
          </w:tcPr>
          <w:p w14:paraId="0178E3FC"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1,360</w:t>
            </w:r>
          </w:p>
        </w:tc>
        <w:tc>
          <w:tcPr>
            <w:tcW w:w="708" w:type="dxa"/>
            <w:tcBorders>
              <w:top w:val="nil"/>
              <w:left w:val="nil"/>
              <w:bottom w:val="single" w:sz="8" w:space="0" w:color="auto"/>
              <w:right w:val="double" w:sz="6" w:space="0" w:color="auto"/>
            </w:tcBorders>
            <w:shd w:val="clear" w:color="auto" w:fill="auto"/>
            <w:vAlign w:val="center"/>
            <w:hideMark/>
          </w:tcPr>
          <w:p w14:paraId="15CEFC7D"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8,263</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40B8F4E5"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lang w:val="en-NZ"/>
              </w:rPr>
              <w:t>Cumulative</w:t>
            </w:r>
          </w:p>
        </w:tc>
        <w:tc>
          <w:tcPr>
            <w:tcW w:w="680" w:type="dxa"/>
            <w:tcBorders>
              <w:top w:val="nil"/>
              <w:left w:val="nil"/>
              <w:bottom w:val="single" w:sz="8" w:space="0" w:color="auto"/>
              <w:right w:val="single" w:sz="8" w:space="0" w:color="auto"/>
            </w:tcBorders>
            <w:shd w:val="clear" w:color="auto" w:fill="auto"/>
            <w:vAlign w:val="center"/>
            <w:hideMark/>
          </w:tcPr>
          <w:p w14:paraId="1297BDFD"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6</w:t>
            </w:r>
          </w:p>
        </w:tc>
        <w:tc>
          <w:tcPr>
            <w:tcW w:w="567" w:type="dxa"/>
            <w:tcBorders>
              <w:top w:val="nil"/>
              <w:left w:val="nil"/>
              <w:bottom w:val="single" w:sz="8" w:space="0" w:color="auto"/>
              <w:right w:val="double" w:sz="6" w:space="0" w:color="auto"/>
            </w:tcBorders>
            <w:shd w:val="clear" w:color="auto" w:fill="auto"/>
            <w:vAlign w:val="center"/>
            <w:hideMark/>
          </w:tcPr>
          <w:p w14:paraId="626044F6"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52</w:t>
            </w:r>
          </w:p>
        </w:tc>
        <w:tc>
          <w:tcPr>
            <w:tcW w:w="596" w:type="dxa"/>
            <w:tcBorders>
              <w:top w:val="nil"/>
              <w:left w:val="nil"/>
              <w:bottom w:val="single" w:sz="8" w:space="0" w:color="auto"/>
              <w:right w:val="single" w:sz="8" w:space="0" w:color="auto"/>
            </w:tcBorders>
            <w:shd w:val="clear" w:color="auto" w:fill="auto"/>
            <w:vAlign w:val="center"/>
            <w:hideMark/>
          </w:tcPr>
          <w:p w14:paraId="22427819"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22</w:t>
            </w:r>
          </w:p>
        </w:tc>
        <w:tc>
          <w:tcPr>
            <w:tcW w:w="680" w:type="dxa"/>
            <w:tcBorders>
              <w:top w:val="nil"/>
              <w:left w:val="nil"/>
              <w:bottom w:val="single" w:sz="8" w:space="0" w:color="auto"/>
              <w:right w:val="double" w:sz="6" w:space="0" w:color="auto"/>
            </w:tcBorders>
            <w:shd w:val="clear" w:color="auto" w:fill="auto"/>
            <w:vAlign w:val="center"/>
            <w:hideMark/>
          </w:tcPr>
          <w:p w14:paraId="6B060BAE"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147</w:t>
            </w:r>
          </w:p>
        </w:tc>
        <w:tc>
          <w:tcPr>
            <w:tcW w:w="709" w:type="dxa"/>
            <w:tcBorders>
              <w:top w:val="nil"/>
              <w:left w:val="nil"/>
              <w:bottom w:val="single" w:sz="8" w:space="0" w:color="auto"/>
              <w:right w:val="single" w:sz="8" w:space="0" w:color="auto"/>
            </w:tcBorders>
            <w:shd w:val="clear" w:color="auto" w:fill="auto"/>
            <w:vAlign w:val="center"/>
            <w:hideMark/>
          </w:tcPr>
          <w:p w14:paraId="61FAFFAE"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41</w:t>
            </w:r>
          </w:p>
        </w:tc>
        <w:tc>
          <w:tcPr>
            <w:tcW w:w="709" w:type="dxa"/>
            <w:tcBorders>
              <w:top w:val="nil"/>
              <w:left w:val="nil"/>
              <w:bottom w:val="single" w:sz="8" w:space="0" w:color="auto"/>
              <w:right w:val="double" w:sz="6" w:space="0" w:color="auto"/>
            </w:tcBorders>
            <w:shd w:val="clear" w:color="auto" w:fill="auto"/>
            <w:vAlign w:val="center"/>
            <w:hideMark/>
          </w:tcPr>
          <w:p w14:paraId="752F9E95" w14:textId="77777777" w:rsidR="000B53C0" w:rsidRPr="0041262C" w:rsidRDefault="000B53C0" w:rsidP="00197B9C">
            <w:pPr>
              <w:pStyle w:val="E3tabletext1"/>
              <w:keepNext/>
              <w:keepLines/>
              <w:rPr>
                <w:rFonts w:ascii="Helvetica" w:hAnsi="Helvetica" w:cs="Helvetica"/>
                <w:color w:val="000000"/>
                <w:lang w:val="en-NZ"/>
              </w:rPr>
            </w:pPr>
            <w:r w:rsidRPr="0041262C">
              <w:rPr>
                <w:rFonts w:ascii="Helvetica" w:hAnsi="Helvetica" w:cs="Helvetica"/>
                <w:color w:val="000000"/>
              </w:rPr>
              <w:t>256</w:t>
            </w:r>
          </w:p>
        </w:tc>
      </w:tr>
    </w:tbl>
    <w:p w14:paraId="41957EDF" w14:textId="77777777" w:rsidR="000B53C0" w:rsidRDefault="000B53C0" w:rsidP="000B53C0">
      <w:pPr>
        <w:pStyle w:val="E3TableTitles"/>
        <w:rPr>
          <w:sz w:val="16"/>
          <w:szCs w:val="16"/>
        </w:rPr>
      </w:pPr>
    </w:p>
    <w:p w14:paraId="5B8290E3" w14:textId="7EC5748B" w:rsidR="000B53C0" w:rsidRPr="009E4772" w:rsidRDefault="000B53C0" w:rsidP="0034488E">
      <w:pPr>
        <w:pStyle w:val="E3BodyText"/>
        <w:jc w:val="both"/>
      </w:pPr>
      <w:r w:rsidRPr="00C7441A">
        <w:t xml:space="preserve">The </w:t>
      </w:r>
      <w:r w:rsidRPr="003334D1">
        <w:t xml:space="preserve">cost benefit </w:t>
      </w:r>
      <w:r w:rsidRPr="0049266A">
        <w:t xml:space="preserve">analysis incorporated a consideration of the incremental costs of the changed regime </w:t>
      </w:r>
      <w:r>
        <w:t>(including testing costs) and the regulatory cost burden on Australasian companies, with the majority of the costs relating to the requirements to meet the new MEPS.</w:t>
      </w:r>
    </w:p>
    <w:p w14:paraId="3AFD477B" w14:textId="2530D886" w:rsidR="000B53C0" w:rsidRPr="00764D3D" w:rsidRDefault="000B53C0" w:rsidP="0034488E">
      <w:pPr>
        <w:spacing w:after="240"/>
        <w:jc w:val="both"/>
        <w:rPr>
          <w:sz w:val="24"/>
        </w:rPr>
      </w:pPr>
      <w:r w:rsidRPr="0041262C">
        <w:rPr>
          <w:sz w:val="24"/>
        </w:rPr>
        <w:t xml:space="preserve">Sensitivity testing was </w:t>
      </w:r>
      <w:r w:rsidR="00500BC9">
        <w:rPr>
          <w:sz w:val="24"/>
        </w:rPr>
        <w:t>used</w:t>
      </w:r>
      <w:r w:rsidRPr="0041262C">
        <w:rPr>
          <w:sz w:val="24"/>
        </w:rPr>
        <w:t xml:space="preserve"> to assess the </w:t>
      </w:r>
      <w:r w:rsidR="00500BC9">
        <w:rPr>
          <w:sz w:val="24"/>
        </w:rPr>
        <w:t>effect</w:t>
      </w:r>
      <w:r w:rsidR="00500BC9" w:rsidRPr="0041262C">
        <w:rPr>
          <w:sz w:val="24"/>
        </w:rPr>
        <w:t xml:space="preserve"> </w:t>
      </w:r>
      <w:r w:rsidRPr="0041262C">
        <w:rPr>
          <w:sz w:val="24"/>
        </w:rPr>
        <w:t>of changing costs on the modelling outcomes. Full detai</w:t>
      </w:r>
      <w:r w:rsidR="00803448">
        <w:rPr>
          <w:sz w:val="24"/>
        </w:rPr>
        <w:t>ls are contained in Attachment C</w:t>
      </w:r>
      <w:r w:rsidRPr="0041262C">
        <w:rPr>
          <w:sz w:val="24"/>
        </w:rPr>
        <w:t xml:space="preserve">. </w:t>
      </w:r>
    </w:p>
    <w:p w14:paraId="095B18ED" w14:textId="77777777" w:rsidR="00243B70" w:rsidRDefault="00243B70" w:rsidP="0034488E">
      <w:pPr>
        <w:pStyle w:val="E3Heading2"/>
        <w:jc w:val="both"/>
      </w:pPr>
    </w:p>
    <w:p w14:paraId="34871747" w14:textId="77777777" w:rsidR="00243B70" w:rsidRDefault="00243B70" w:rsidP="0034488E">
      <w:pPr>
        <w:pStyle w:val="E3Heading2"/>
        <w:jc w:val="both"/>
      </w:pPr>
    </w:p>
    <w:p w14:paraId="09A4E57C" w14:textId="77777777" w:rsidR="001C2E23" w:rsidRDefault="001C2E23" w:rsidP="0034488E">
      <w:pPr>
        <w:pStyle w:val="E3Heading2"/>
        <w:jc w:val="both"/>
      </w:pPr>
    </w:p>
    <w:p w14:paraId="6CAD4636" w14:textId="77777777" w:rsidR="00C22857" w:rsidRPr="00C22857" w:rsidRDefault="00C22857" w:rsidP="00C22857">
      <w:pPr>
        <w:pStyle w:val="E3BodyText"/>
      </w:pPr>
    </w:p>
    <w:p w14:paraId="21AC0C8E" w14:textId="238BB01B" w:rsidR="000B53C0" w:rsidRDefault="000B53C0" w:rsidP="0034488E">
      <w:pPr>
        <w:pStyle w:val="E3Heading2"/>
        <w:jc w:val="both"/>
      </w:pPr>
      <w:bookmarkStart w:id="19" w:name="_Toc500151780"/>
      <w:r>
        <w:lastRenderedPageBreak/>
        <w:t>Consultation</w:t>
      </w:r>
      <w:bookmarkEnd w:id="19"/>
    </w:p>
    <w:p w14:paraId="606A7961" w14:textId="4ED6DFC0" w:rsidR="000B53C0" w:rsidRDefault="000B53C0" w:rsidP="0034488E">
      <w:pPr>
        <w:spacing w:after="240"/>
        <w:jc w:val="both"/>
        <w:rPr>
          <w:sz w:val="24"/>
        </w:rPr>
      </w:pPr>
      <w:r>
        <w:rPr>
          <w:sz w:val="24"/>
        </w:rPr>
        <w:t xml:space="preserve">The proposals have been finalised following two main rounds of stakeholder consultation, with meetings held in Australia and New Zealand </w:t>
      </w:r>
      <w:r w:rsidR="00500BC9">
        <w:rPr>
          <w:sz w:val="24"/>
        </w:rPr>
        <w:t>on</w:t>
      </w:r>
      <w:r>
        <w:rPr>
          <w:sz w:val="24"/>
        </w:rPr>
        <w:t xml:space="preserve"> the product profile in 2013 and then </w:t>
      </w:r>
      <w:r w:rsidR="00500BC9">
        <w:rPr>
          <w:sz w:val="24"/>
        </w:rPr>
        <w:t>on</w:t>
      </w:r>
      <w:r>
        <w:rPr>
          <w:sz w:val="24"/>
        </w:rPr>
        <w:t xml:space="preserve"> the Consultation RIS in August 2016.</w:t>
      </w:r>
    </w:p>
    <w:p w14:paraId="6FBF5740" w14:textId="1C1232C8" w:rsidR="000B53C0" w:rsidRDefault="000B53C0" w:rsidP="0034488E">
      <w:pPr>
        <w:spacing w:after="240"/>
        <w:jc w:val="both"/>
        <w:rPr>
          <w:sz w:val="24"/>
        </w:rPr>
      </w:pPr>
      <w:r>
        <w:rPr>
          <w:sz w:val="24"/>
        </w:rPr>
        <w:t>There was almost unanimous support from industry, including individual companies, for the proposal to align with ISO 2395</w:t>
      </w:r>
      <w:r w:rsidR="00746EFE">
        <w:rPr>
          <w:sz w:val="24"/>
        </w:rPr>
        <w:t>3</w:t>
      </w:r>
      <w:r>
        <w:rPr>
          <w:sz w:val="24"/>
        </w:rPr>
        <w:t xml:space="preserve"> and EN test methods, with option 4 regarded as the best policy proposal to achieve this. There was consistent support across both consultation processes for an extension of regulatory measures to include storage cabinets.</w:t>
      </w:r>
    </w:p>
    <w:p w14:paraId="1A832A5D" w14:textId="70B86140" w:rsidR="000B53C0" w:rsidRDefault="000B53C0" w:rsidP="000B53C0">
      <w:pPr>
        <w:spacing w:after="240"/>
        <w:jc w:val="both"/>
        <w:rPr>
          <w:sz w:val="24"/>
        </w:rPr>
      </w:pPr>
      <w:r>
        <w:rPr>
          <w:sz w:val="24"/>
        </w:rPr>
        <w:t>It was agreed that MEPS levels needed to be revised, with the majority supporting a move to harmonise with EU efficiency levels</w:t>
      </w:r>
      <w:r w:rsidR="00500BC9">
        <w:rPr>
          <w:sz w:val="24"/>
        </w:rPr>
        <w:t>, provided there would be s</w:t>
      </w:r>
      <w:r>
        <w:rPr>
          <w:sz w:val="24"/>
        </w:rPr>
        <w:t>ufficient lead in time to ensure that industry could adapt to any changes and find compliant models.</w:t>
      </w:r>
    </w:p>
    <w:p w14:paraId="34FCEBDB" w14:textId="77777777" w:rsidR="000B53C0" w:rsidRDefault="000B53C0" w:rsidP="000B53C0">
      <w:pPr>
        <w:spacing w:after="240"/>
        <w:jc w:val="both"/>
        <w:rPr>
          <w:sz w:val="24"/>
        </w:rPr>
      </w:pPr>
      <w:r>
        <w:rPr>
          <w:sz w:val="24"/>
        </w:rPr>
        <w:t>Although industry largely supported aligning with international standards and efficiency levels, local manufacturers expressed concern that low-volume suppliers would continue to incur high compliance costs under international standards, while importers would gain a competitive advantage through being able to source compliant products more easily. There was strong support for a ‘deemed to comply’ provision as a means of reducing costs and demonstrating compliance where testing in a laboratory setting may be too difficult or expensive, for example for bespoke or low volume products.</w:t>
      </w:r>
    </w:p>
    <w:p w14:paraId="65F101A1" w14:textId="7B94C709" w:rsidR="000B53C0" w:rsidRDefault="000B53C0" w:rsidP="000B53C0">
      <w:pPr>
        <w:spacing w:after="240"/>
        <w:jc w:val="both"/>
        <w:rPr>
          <w:sz w:val="24"/>
        </w:rPr>
      </w:pPr>
      <w:r>
        <w:rPr>
          <w:sz w:val="24"/>
        </w:rPr>
        <w:t xml:space="preserve">The only area of disagreement was </w:t>
      </w:r>
      <w:r w:rsidR="00500BC9">
        <w:rPr>
          <w:sz w:val="24"/>
        </w:rPr>
        <w:t>with</w:t>
      </w:r>
      <w:r>
        <w:rPr>
          <w:sz w:val="24"/>
        </w:rPr>
        <w:t xml:space="preserve"> mandatory labelling.  Stakeholders at the product profile consultation were supportive of a mandatory energy rating label of some kind (although their preference was for this to be on-line or in the literature) accompanied by education of buyers. It was considered that labelling alone would not add much cost. While there </w:t>
      </w:r>
      <w:r w:rsidR="00500BC9">
        <w:rPr>
          <w:sz w:val="24"/>
        </w:rPr>
        <w:t xml:space="preserve">were </w:t>
      </w:r>
      <w:r>
        <w:rPr>
          <w:sz w:val="24"/>
        </w:rPr>
        <w:t>mixed feelings about the benefit of high efficiency endorsement labelling, the simplistic labelling methods proposed in Europe (in conjunction with European MEPS levels) were supported.  Europe</w:t>
      </w:r>
      <w:r w:rsidR="00587F2B">
        <w:rPr>
          <w:sz w:val="24"/>
        </w:rPr>
        <w:t>an Commission labelling was seen</w:t>
      </w:r>
      <w:r>
        <w:rPr>
          <w:sz w:val="24"/>
        </w:rPr>
        <w:t xml:space="preserve"> as likely to be useful in distinguishing between better performing and less efficient models.</w:t>
      </w:r>
    </w:p>
    <w:p w14:paraId="69D86BDB" w14:textId="77777777" w:rsidR="000B53C0" w:rsidRDefault="000B53C0" w:rsidP="000B53C0">
      <w:pPr>
        <w:spacing w:after="240"/>
        <w:jc w:val="both"/>
        <w:rPr>
          <w:sz w:val="24"/>
        </w:rPr>
      </w:pPr>
      <w:r>
        <w:rPr>
          <w:sz w:val="24"/>
        </w:rPr>
        <w:t>At the more recent consultation meetings the proposal to add mandatory labelling to the regulatory options was opposed by industry. Concern was expressed at the additional cost of physical labels which were considered to be of minimal benefit given the purchasing decision or product comparison was not made in the showroom. There was support, however, for online energy rating information using the European Commission style of labelling.</w:t>
      </w:r>
    </w:p>
    <w:p w14:paraId="59D1249B" w14:textId="1CF16059" w:rsidR="00416340" w:rsidRDefault="000B53C0" w:rsidP="000B53C0">
      <w:pPr>
        <w:spacing w:after="240"/>
        <w:jc w:val="both"/>
        <w:rPr>
          <w:sz w:val="24"/>
        </w:rPr>
      </w:pPr>
      <w:r>
        <w:rPr>
          <w:sz w:val="24"/>
        </w:rPr>
        <w:t xml:space="preserve">A Technical Working Group (TWG) was convened following feedback on the Consultation RIS.  The TWG was made up of industry representatives, regulators and independent experts </w:t>
      </w:r>
      <w:r w:rsidR="00500BC9">
        <w:rPr>
          <w:sz w:val="24"/>
        </w:rPr>
        <w:t>and considered</w:t>
      </w:r>
      <w:r>
        <w:rPr>
          <w:sz w:val="24"/>
        </w:rPr>
        <w:t xml:space="preserve"> the suitability of the international standards for the local market </w:t>
      </w:r>
      <w:r w:rsidR="00416340">
        <w:rPr>
          <w:sz w:val="24"/>
        </w:rPr>
        <w:t xml:space="preserve">and if </w:t>
      </w:r>
      <w:r>
        <w:rPr>
          <w:sz w:val="24"/>
        </w:rPr>
        <w:t xml:space="preserve">any </w:t>
      </w:r>
      <w:r w:rsidR="00416340">
        <w:rPr>
          <w:sz w:val="24"/>
        </w:rPr>
        <w:t xml:space="preserve">alterations to these standards would be </w:t>
      </w:r>
      <w:r>
        <w:rPr>
          <w:sz w:val="24"/>
        </w:rPr>
        <w:t xml:space="preserve">required. </w:t>
      </w:r>
    </w:p>
    <w:p w14:paraId="76629DBD" w14:textId="43BF1959" w:rsidR="0034488E" w:rsidRPr="005E00E9" w:rsidRDefault="000B53C0" w:rsidP="005E00E9">
      <w:pPr>
        <w:spacing w:after="240"/>
        <w:jc w:val="both"/>
        <w:rPr>
          <w:sz w:val="24"/>
        </w:rPr>
      </w:pPr>
      <w:r>
        <w:rPr>
          <w:sz w:val="24"/>
        </w:rPr>
        <w:t>Industry feedback was sought on the recommendations of the TWG</w:t>
      </w:r>
      <w:r w:rsidR="00416340">
        <w:rPr>
          <w:sz w:val="24"/>
        </w:rPr>
        <w:t xml:space="preserve"> and two</w:t>
      </w:r>
      <w:r>
        <w:rPr>
          <w:sz w:val="24"/>
        </w:rPr>
        <w:t xml:space="preserve"> submissions were received</w:t>
      </w:r>
      <w:r w:rsidR="00416340">
        <w:rPr>
          <w:sz w:val="24"/>
        </w:rPr>
        <w:t>.</w:t>
      </w:r>
      <w:r>
        <w:rPr>
          <w:sz w:val="24"/>
        </w:rPr>
        <w:t xml:space="preserve"> </w:t>
      </w:r>
      <w:r w:rsidR="00416340">
        <w:rPr>
          <w:sz w:val="24"/>
        </w:rPr>
        <w:t>O</w:t>
      </w:r>
      <w:r>
        <w:rPr>
          <w:sz w:val="24"/>
        </w:rPr>
        <w:t>ne proposed increasing the MEPS level recommended under option 4</w:t>
      </w:r>
      <w:r w:rsidR="00416340">
        <w:rPr>
          <w:sz w:val="24"/>
        </w:rPr>
        <w:t>.</w:t>
      </w:r>
      <w:r>
        <w:rPr>
          <w:sz w:val="24"/>
        </w:rPr>
        <w:t xml:space="preserve"> </w:t>
      </w:r>
      <w:r w:rsidR="00416340">
        <w:rPr>
          <w:sz w:val="24"/>
        </w:rPr>
        <w:t>T</w:t>
      </w:r>
      <w:r>
        <w:rPr>
          <w:sz w:val="24"/>
        </w:rPr>
        <w:t xml:space="preserve">he </w:t>
      </w:r>
      <w:r>
        <w:rPr>
          <w:sz w:val="24"/>
        </w:rPr>
        <w:lastRenderedPageBreak/>
        <w:t xml:space="preserve">other (from a small local importer) recommended all regulation be abandoned and the European CE mark to be accepted as compliance. Modelling </w:t>
      </w:r>
      <w:r w:rsidR="00416340">
        <w:rPr>
          <w:sz w:val="24"/>
        </w:rPr>
        <w:t xml:space="preserve">of the costs and benefits </w:t>
      </w:r>
      <w:r>
        <w:rPr>
          <w:sz w:val="24"/>
        </w:rPr>
        <w:t xml:space="preserve">was revised to account for changes </w:t>
      </w:r>
      <w:r w:rsidR="00416340">
        <w:rPr>
          <w:sz w:val="24"/>
        </w:rPr>
        <w:t xml:space="preserve">following </w:t>
      </w:r>
      <w:r>
        <w:rPr>
          <w:sz w:val="24"/>
        </w:rPr>
        <w:t xml:space="preserve">the consultation </w:t>
      </w:r>
      <w:r w:rsidR="00416340">
        <w:rPr>
          <w:sz w:val="24"/>
        </w:rPr>
        <w:t>on the TWG recommendations</w:t>
      </w:r>
      <w:r>
        <w:rPr>
          <w:sz w:val="24"/>
        </w:rPr>
        <w:t>, including the move to voluntary labelling.</w:t>
      </w:r>
    </w:p>
    <w:p w14:paraId="7C3377DE" w14:textId="4E7746FD" w:rsidR="000B53C0" w:rsidRDefault="000B53C0" w:rsidP="000B53C0">
      <w:pPr>
        <w:pStyle w:val="E3Heading2"/>
      </w:pPr>
      <w:bookmarkStart w:id="20" w:name="_Toc500151781"/>
      <w:r>
        <w:t>Conclusion</w:t>
      </w:r>
      <w:bookmarkEnd w:id="20"/>
    </w:p>
    <w:p w14:paraId="5D8A67CC" w14:textId="71D1B1E8" w:rsidR="000B53C0" w:rsidRPr="009E4772" w:rsidDel="00514F0A" w:rsidRDefault="000B53C0" w:rsidP="0034488E">
      <w:pPr>
        <w:pStyle w:val="E3BodyText"/>
        <w:jc w:val="both"/>
      </w:pPr>
      <w:r w:rsidRPr="009E4772" w:rsidDel="00514F0A">
        <w:t xml:space="preserve">Option 4 </w:t>
      </w:r>
      <w:r>
        <w:t xml:space="preserve">provides </w:t>
      </w:r>
      <w:r w:rsidRPr="009E4772" w:rsidDel="00514F0A">
        <w:t xml:space="preserve">the </w:t>
      </w:r>
      <w:r>
        <w:t>greatest Net Present V</w:t>
      </w:r>
      <w:r w:rsidRPr="009E4772" w:rsidDel="00514F0A">
        <w:t>alue</w:t>
      </w:r>
      <w:r>
        <w:t xml:space="preserve"> in both Australia and New Zealand. While the costs of each option increase with the benefits to be gained, the overall benefits of option 4 are greater than the other options. Out of the policy options being considered, option 4 also has the </w:t>
      </w:r>
      <w:r w:rsidR="00416340">
        <w:t xml:space="preserve">highest </w:t>
      </w:r>
      <w:r>
        <w:t>energy savings and greenhouse gas reduction potential and the most support from industry</w:t>
      </w:r>
      <w:r w:rsidRPr="009E4772" w:rsidDel="00514F0A">
        <w:t>.</w:t>
      </w:r>
    </w:p>
    <w:p w14:paraId="21BCE988" w14:textId="37D121DB" w:rsidR="000B53C0" w:rsidRDefault="000B53C0" w:rsidP="0034488E">
      <w:pPr>
        <w:pStyle w:val="E3BodyText"/>
        <w:jc w:val="both"/>
      </w:pPr>
      <w:r w:rsidRPr="009E4772" w:rsidDel="00514F0A">
        <w:t xml:space="preserve">There are considerable benefits </w:t>
      </w:r>
      <w:r>
        <w:t xml:space="preserve">to be gained </w:t>
      </w:r>
      <w:r w:rsidRPr="009E4772" w:rsidDel="00514F0A">
        <w:t xml:space="preserve">from moving away from the complexity of </w:t>
      </w:r>
      <w:r>
        <w:t xml:space="preserve">the current Australian and New Zealand regionally-specific Standard </w:t>
      </w:r>
      <w:r w:rsidRPr="009E4772" w:rsidDel="00514F0A">
        <w:t xml:space="preserve">AS 1731. Adopting the European approach to both test methods and MEPS </w:t>
      </w:r>
      <w:r w:rsidR="00416340" w:rsidRPr="009E4772" w:rsidDel="00514F0A">
        <w:t>w</w:t>
      </w:r>
      <w:r w:rsidR="00416340">
        <w:t xml:space="preserve">ould </w:t>
      </w:r>
      <w:r w:rsidRPr="009E4772" w:rsidDel="00514F0A">
        <w:t xml:space="preserve">provide a simpler regime </w:t>
      </w:r>
      <w:r w:rsidR="00416340">
        <w:t>and harmonization with international standards would facilitate the transition to the new standards.</w:t>
      </w:r>
    </w:p>
    <w:p w14:paraId="6757D9E0" w14:textId="274E6779" w:rsidR="000B53C0" w:rsidRDefault="000B53C0" w:rsidP="0034488E">
      <w:pPr>
        <w:pStyle w:val="E3BodyText"/>
        <w:jc w:val="both"/>
      </w:pPr>
      <w:r>
        <w:t>Adoption of a voluntary online label based on the EU label</w:t>
      </w:r>
      <w:r w:rsidRPr="00AC7259">
        <w:t xml:space="preserve"> </w:t>
      </w:r>
      <w:r w:rsidR="00416340">
        <w:t xml:space="preserve">would </w:t>
      </w:r>
      <w:r w:rsidRPr="00AC7259">
        <w:t xml:space="preserve">resolve many of the issues with the market that </w:t>
      </w:r>
      <w:r>
        <w:t xml:space="preserve">prevent </w:t>
      </w:r>
      <w:r w:rsidRPr="00AC7259">
        <w:t>buyers from making an informed decision about the</w:t>
      </w:r>
      <w:r w:rsidR="00416340">
        <w:t xml:space="preserve"> effects that </w:t>
      </w:r>
      <w:r w:rsidRPr="00AC7259">
        <w:t>energy use</w:t>
      </w:r>
      <w:r w:rsidR="00416340">
        <w:t xml:space="preserve"> and has</w:t>
      </w:r>
      <w:r w:rsidRPr="00AC7259">
        <w:t xml:space="preserve"> on a cabinet’s life-cycle cost</w:t>
      </w:r>
      <w:r w:rsidR="00416340">
        <w:t>.</w:t>
      </w:r>
      <w:r w:rsidRPr="00AC7259">
        <w:t xml:space="preserve"> It </w:t>
      </w:r>
      <w:r w:rsidR="00416340">
        <w:t>would</w:t>
      </w:r>
      <w:r w:rsidR="00ED0C9D">
        <w:t xml:space="preserve"> </w:t>
      </w:r>
      <w:r w:rsidRPr="00AC7259">
        <w:t>also align energy efficiency specificat</w:t>
      </w:r>
      <w:r>
        <w:t>ions with Australia and NZ’s major trading partners.</w:t>
      </w:r>
    </w:p>
    <w:p w14:paraId="304E4D8D" w14:textId="05E45BDC" w:rsidR="000B53C0" w:rsidRPr="009D0021" w:rsidRDefault="000B53C0" w:rsidP="0034488E">
      <w:pPr>
        <w:pStyle w:val="E3BodyText"/>
        <w:jc w:val="both"/>
      </w:pPr>
      <w:r>
        <w:t xml:space="preserve">It is also proposed that broader family groups of cabinet models and a ‘deemed to comply’ provision be drafted for inclusion in the regulatory proposals which </w:t>
      </w:r>
      <w:r w:rsidR="00416340">
        <w:t xml:space="preserve">would </w:t>
      </w:r>
      <w:r>
        <w:t>reduce testing and regulatory compliance costs for low volume manufacturers.</w:t>
      </w:r>
    </w:p>
    <w:p w14:paraId="31AC3399" w14:textId="77777777" w:rsidR="000B53C0" w:rsidRPr="000B53C0" w:rsidRDefault="000B53C0" w:rsidP="0034488E">
      <w:pPr>
        <w:spacing w:before="240" w:after="0"/>
        <w:jc w:val="both"/>
        <w:rPr>
          <w:rFonts w:ascii="Helvetica" w:eastAsia="Calibri" w:hAnsi="Helvetica" w:cs="Arial"/>
          <w:b/>
          <w:color w:val="000000" w:themeColor="text1"/>
          <w:sz w:val="32"/>
          <w:szCs w:val="26"/>
          <w:lang w:val="en-US"/>
        </w:rPr>
      </w:pPr>
      <w:r w:rsidRPr="000B53C0">
        <w:rPr>
          <w:rFonts w:ascii="Helvetica" w:eastAsia="Calibri" w:hAnsi="Helvetica" w:cs="Arial"/>
          <w:b/>
          <w:color w:val="000000" w:themeColor="text1"/>
          <w:sz w:val="32"/>
          <w:szCs w:val="26"/>
          <w:lang w:val="en-US"/>
        </w:rPr>
        <w:t xml:space="preserve">Implementation and Review </w:t>
      </w:r>
    </w:p>
    <w:p w14:paraId="364438C5" w14:textId="77777777" w:rsidR="000B53C0" w:rsidRDefault="000B53C0" w:rsidP="0034488E">
      <w:pPr>
        <w:spacing w:before="240" w:after="240"/>
        <w:jc w:val="both"/>
        <w:rPr>
          <w:sz w:val="24"/>
        </w:rPr>
      </w:pPr>
      <w:r w:rsidRPr="003334D1">
        <w:rPr>
          <w:sz w:val="24"/>
        </w:rPr>
        <w:t xml:space="preserve">The risks of implementing these proposals are considered to be </w:t>
      </w:r>
      <w:r w:rsidRPr="0049266A">
        <w:rPr>
          <w:sz w:val="24"/>
        </w:rPr>
        <w:t xml:space="preserve">low, given </w:t>
      </w:r>
      <w:r w:rsidRPr="00837675">
        <w:rPr>
          <w:sz w:val="24"/>
        </w:rPr>
        <w:t>they involve change</w:t>
      </w:r>
      <w:r>
        <w:rPr>
          <w:sz w:val="24"/>
        </w:rPr>
        <w:t xml:space="preserve">s to local standards to align with internationally accepted test standards and methods. </w:t>
      </w:r>
    </w:p>
    <w:p w14:paraId="72429C47" w14:textId="4C90DFFB" w:rsidR="000B53C0" w:rsidRPr="003334D1" w:rsidRDefault="000B53C0" w:rsidP="0034488E">
      <w:pPr>
        <w:pStyle w:val="E3BodyText"/>
        <w:jc w:val="both"/>
      </w:pPr>
      <w:r>
        <w:t xml:space="preserve">An implementation date of no earlier than 1 December 2019 is proposed to allow industry to adapt to </w:t>
      </w:r>
      <w:r w:rsidR="00416340">
        <w:t>the</w:t>
      </w:r>
      <w:r>
        <w:t xml:space="preserve"> changes. </w:t>
      </w:r>
    </w:p>
    <w:p w14:paraId="6EC145BB" w14:textId="77777777" w:rsidR="00416340" w:rsidRDefault="000B53C0" w:rsidP="0034488E">
      <w:pPr>
        <w:spacing w:after="240"/>
        <w:jc w:val="both"/>
        <w:rPr>
          <w:sz w:val="24"/>
        </w:rPr>
      </w:pPr>
      <w:r w:rsidRPr="003334D1">
        <w:rPr>
          <w:sz w:val="24"/>
        </w:rPr>
        <w:t>The main implementation risk is that t</w:t>
      </w:r>
      <w:r w:rsidRPr="0049266A">
        <w:rPr>
          <w:sz w:val="24"/>
        </w:rPr>
        <w:t>here may be delays with the implemen</w:t>
      </w:r>
      <w:r w:rsidRPr="00837675">
        <w:rPr>
          <w:sz w:val="24"/>
        </w:rPr>
        <w:t>tation of the new MEPS levels in Europe</w:t>
      </w:r>
      <w:r w:rsidRPr="00F94566">
        <w:rPr>
          <w:sz w:val="24"/>
        </w:rPr>
        <w:t xml:space="preserve"> but this has been mitigated by introducing the </w:t>
      </w:r>
      <w:r w:rsidRPr="00A25ABC">
        <w:rPr>
          <w:sz w:val="24"/>
        </w:rPr>
        <w:t xml:space="preserve">EU </w:t>
      </w:r>
      <w:r>
        <w:rPr>
          <w:sz w:val="24"/>
        </w:rPr>
        <w:t xml:space="preserve">January </w:t>
      </w:r>
      <w:r w:rsidRPr="00A25ABC">
        <w:rPr>
          <w:sz w:val="24"/>
        </w:rPr>
        <w:t>201</w:t>
      </w:r>
      <w:r>
        <w:rPr>
          <w:sz w:val="24"/>
        </w:rPr>
        <w:t>8</w:t>
      </w:r>
      <w:r w:rsidRPr="00A25ABC">
        <w:rPr>
          <w:sz w:val="24"/>
        </w:rPr>
        <w:t xml:space="preserve"> </w:t>
      </w:r>
      <w:r w:rsidRPr="003334D1">
        <w:rPr>
          <w:sz w:val="24"/>
        </w:rPr>
        <w:t xml:space="preserve">(announced) MEPS levels in </w:t>
      </w:r>
      <w:r>
        <w:rPr>
          <w:sz w:val="24"/>
        </w:rPr>
        <w:t xml:space="preserve">December </w:t>
      </w:r>
      <w:r w:rsidRPr="003334D1">
        <w:rPr>
          <w:sz w:val="24"/>
        </w:rPr>
        <w:t xml:space="preserve">2019. </w:t>
      </w:r>
    </w:p>
    <w:p w14:paraId="00725146" w14:textId="18CD3B9F" w:rsidR="000B53C0" w:rsidRDefault="000B53C0" w:rsidP="0034488E">
      <w:pPr>
        <w:spacing w:after="240"/>
        <w:jc w:val="both"/>
        <w:rPr>
          <w:sz w:val="24"/>
        </w:rPr>
      </w:pPr>
      <w:r w:rsidRPr="003334D1">
        <w:rPr>
          <w:sz w:val="24"/>
        </w:rPr>
        <w:t>The membership of the TWG that advised on this proposal</w:t>
      </w:r>
      <w:r w:rsidRPr="00A1036A">
        <w:rPr>
          <w:sz w:val="24"/>
        </w:rPr>
        <w:t xml:space="preserve"> represented </w:t>
      </w:r>
      <w:r w:rsidR="00416340">
        <w:rPr>
          <w:sz w:val="24"/>
        </w:rPr>
        <w:t>about</w:t>
      </w:r>
      <w:r w:rsidR="00ED0C9D">
        <w:rPr>
          <w:sz w:val="24"/>
        </w:rPr>
        <w:t xml:space="preserve"> </w:t>
      </w:r>
      <w:r w:rsidRPr="00A1036A">
        <w:rPr>
          <w:sz w:val="24"/>
        </w:rPr>
        <w:t xml:space="preserve">70% of industry by volume and consensus was achieved </w:t>
      </w:r>
      <w:r w:rsidR="00416340">
        <w:rPr>
          <w:sz w:val="24"/>
        </w:rPr>
        <w:t>on</w:t>
      </w:r>
      <w:r w:rsidR="00ED0C9D">
        <w:rPr>
          <w:sz w:val="24"/>
        </w:rPr>
        <w:t xml:space="preserve"> </w:t>
      </w:r>
      <w:r>
        <w:rPr>
          <w:sz w:val="24"/>
        </w:rPr>
        <w:t xml:space="preserve">the proposed implementation timeline. This provides sufficient time for trans-Tasman industry to improve product supply prior to future alignment with EU MEPS when they become available.  </w:t>
      </w:r>
    </w:p>
    <w:p w14:paraId="3CA4991C" w14:textId="6D84D8D5" w:rsidR="000B53C0" w:rsidRDefault="000B53C0" w:rsidP="0034488E">
      <w:pPr>
        <w:spacing w:after="240"/>
        <w:jc w:val="both"/>
        <w:rPr>
          <w:sz w:val="24"/>
        </w:rPr>
      </w:pPr>
      <w:r>
        <w:rPr>
          <w:sz w:val="24"/>
        </w:rPr>
        <w:lastRenderedPageBreak/>
        <w:t xml:space="preserve">If the </w:t>
      </w:r>
      <w:r w:rsidR="00ED0C9D">
        <w:rPr>
          <w:sz w:val="24"/>
        </w:rPr>
        <w:t>Council</w:t>
      </w:r>
      <w:r w:rsidR="00416340">
        <w:rPr>
          <w:sz w:val="24"/>
        </w:rPr>
        <w:t xml:space="preserve"> of Australian Governments’</w:t>
      </w:r>
      <w:r w:rsidR="00ED0C9D">
        <w:rPr>
          <w:sz w:val="24"/>
        </w:rPr>
        <w:t xml:space="preserve"> (</w:t>
      </w:r>
      <w:r>
        <w:rPr>
          <w:sz w:val="24"/>
        </w:rPr>
        <w:t>COAG</w:t>
      </w:r>
      <w:r w:rsidR="00ED0C9D">
        <w:rPr>
          <w:sz w:val="24"/>
        </w:rPr>
        <w:t>)</w:t>
      </w:r>
      <w:r>
        <w:rPr>
          <w:sz w:val="24"/>
        </w:rPr>
        <w:t xml:space="preserve"> Energy Council in Australia approves one of the proposals, the </w:t>
      </w:r>
      <w:r>
        <w:rPr>
          <w:i/>
          <w:sz w:val="24"/>
        </w:rPr>
        <w:t xml:space="preserve">Greenhouse and Energy Minimum Standards (Refrigerated Display Cabinets) Determination 2012 </w:t>
      </w:r>
      <w:r>
        <w:rPr>
          <w:sz w:val="24"/>
        </w:rPr>
        <w:t xml:space="preserve">would be revised for approval by the Commonwealth Minister for the Environment and Energy. In New Zealand, a policy option requires approval by Cabinet before being adopted under the </w:t>
      </w:r>
      <w:r>
        <w:rPr>
          <w:i/>
          <w:sz w:val="24"/>
        </w:rPr>
        <w:t>Energy Efficiency (Energy Using Products) Regulations 2002</w:t>
      </w:r>
      <w:r>
        <w:rPr>
          <w:sz w:val="24"/>
        </w:rPr>
        <w:t>. If approved, the updated regulations would be subject to compliance monitoring and review in both countries.</w:t>
      </w:r>
    </w:p>
    <w:p w14:paraId="1192A73C" w14:textId="77777777" w:rsidR="000B53C0" w:rsidRDefault="000B53C0" w:rsidP="000B53C0">
      <w:pPr>
        <w:spacing w:after="240"/>
        <w:jc w:val="both"/>
        <w:rPr>
          <w:sz w:val="24"/>
        </w:rPr>
      </w:pPr>
      <w:r w:rsidRPr="00266E65">
        <w:rPr>
          <w:sz w:val="24"/>
        </w:rPr>
        <w:t>For Australia, a regulatory offset has not been identified to accompany Option 4. However, the Commonwealth Department of the Environment and Energy is seeking to pursue net reductions in compliance costs and will work with affected stakeholders and across Government to identify regulatory burden reductions where appropriate.</w:t>
      </w:r>
    </w:p>
    <w:p w14:paraId="4226627E" w14:textId="77777777" w:rsidR="000B53C0" w:rsidRDefault="000B53C0" w:rsidP="000B53C0">
      <w:pPr>
        <w:spacing w:after="240"/>
        <w:jc w:val="both"/>
        <w:rPr>
          <w:sz w:val="24"/>
        </w:rPr>
      </w:pPr>
    </w:p>
    <w:p w14:paraId="559D505E" w14:textId="787F0F04" w:rsidR="008D1179" w:rsidRDefault="008D1179" w:rsidP="009C765E">
      <w:pPr>
        <w:pStyle w:val="E3BodyText"/>
      </w:pPr>
    </w:p>
    <w:p w14:paraId="0595BB1B" w14:textId="77777777" w:rsidR="00F214AB" w:rsidRDefault="00F214AB" w:rsidP="009C765E">
      <w:pPr>
        <w:pStyle w:val="E3BodyText"/>
      </w:pPr>
    </w:p>
    <w:p w14:paraId="799EE88E" w14:textId="77777777" w:rsidR="00F214AB" w:rsidRDefault="00F214AB" w:rsidP="009C765E">
      <w:pPr>
        <w:pStyle w:val="E3BodyText"/>
      </w:pPr>
    </w:p>
    <w:p w14:paraId="604C84FF" w14:textId="77777777" w:rsidR="00F214AB" w:rsidRDefault="00F214AB" w:rsidP="009C765E">
      <w:pPr>
        <w:pStyle w:val="E3BodyText"/>
      </w:pPr>
    </w:p>
    <w:p w14:paraId="3D701486" w14:textId="7B847DB5" w:rsidR="0034488E" w:rsidRDefault="0034488E" w:rsidP="009C765E">
      <w:pPr>
        <w:pStyle w:val="E3BodyText"/>
      </w:pPr>
    </w:p>
    <w:p w14:paraId="24D794DF" w14:textId="2209D589" w:rsidR="0034488E" w:rsidRDefault="0034488E" w:rsidP="009C765E">
      <w:pPr>
        <w:pStyle w:val="E3BodyText"/>
      </w:pPr>
    </w:p>
    <w:p w14:paraId="6E51BC76" w14:textId="3B3E4119" w:rsidR="0034488E" w:rsidRDefault="0034488E" w:rsidP="009C765E">
      <w:pPr>
        <w:pStyle w:val="E3BodyText"/>
      </w:pPr>
    </w:p>
    <w:p w14:paraId="5E543CD0" w14:textId="20133BE2" w:rsidR="0034488E" w:rsidRDefault="0034488E" w:rsidP="009C765E">
      <w:pPr>
        <w:pStyle w:val="E3BodyText"/>
      </w:pPr>
    </w:p>
    <w:p w14:paraId="1CED1A81" w14:textId="6D3EB0CD" w:rsidR="0034488E" w:rsidRDefault="0034488E" w:rsidP="009C765E">
      <w:pPr>
        <w:pStyle w:val="E3BodyText"/>
      </w:pPr>
    </w:p>
    <w:p w14:paraId="19119293" w14:textId="2F530FC4" w:rsidR="0034488E" w:rsidRDefault="0034488E" w:rsidP="009C765E">
      <w:pPr>
        <w:pStyle w:val="E3BodyText"/>
      </w:pPr>
    </w:p>
    <w:p w14:paraId="2090A394" w14:textId="06F9C6C4" w:rsidR="0034488E" w:rsidRDefault="0034488E" w:rsidP="009C765E">
      <w:pPr>
        <w:pStyle w:val="E3BodyText"/>
      </w:pPr>
    </w:p>
    <w:p w14:paraId="374AF3DE" w14:textId="6A40AD16" w:rsidR="0034488E" w:rsidRDefault="0034488E" w:rsidP="009C765E">
      <w:pPr>
        <w:pStyle w:val="E3BodyText"/>
      </w:pPr>
    </w:p>
    <w:p w14:paraId="4E3D1ED3" w14:textId="234FE540" w:rsidR="0034488E" w:rsidRDefault="0034488E" w:rsidP="009C765E">
      <w:pPr>
        <w:pStyle w:val="E3BodyText"/>
      </w:pPr>
    </w:p>
    <w:p w14:paraId="4B1A7D00" w14:textId="78F3899B" w:rsidR="0034488E" w:rsidRDefault="0034488E" w:rsidP="009C765E">
      <w:pPr>
        <w:pStyle w:val="E3BodyText"/>
      </w:pPr>
    </w:p>
    <w:p w14:paraId="31F30009" w14:textId="050E385E" w:rsidR="0034488E" w:rsidRDefault="0034488E" w:rsidP="009C765E">
      <w:pPr>
        <w:pStyle w:val="E3BodyText"/>
      </w:pPr>
    </w:p>
    <w:p w14:paraId="0D9532F0" w14:textId="4423F584" w:rsidR="0034488E" w:rsidRDefault="0034488E" w:rsidP="009C765E">
      <w:pPr>
        <w:pStyle w:val="E3BodyText"/>
      </w:pPr>
    </w:p>
    <w:p w14:paraId="328EB48D" w14:textId="229BAFC5" w:rsidR="0034488E" w:rsidRDefault="0034488E" w:rsidP="009C765E">
      <w:pPr>
        <w:pStyle w:val="E3BodyText"/>
      </w:pPr>
    </w:p>
    <w:p w14:paraId="49B2CE2D" w14:textId="0DCD3DC7" w:rsidR="0034488E" w:rsidRDefault="0034488E" w:rsidP="009C765E">
      <w:pPr>
        <w:pStyle w:val="E3BodyText"/>
      </w:pPr>
    </w:p>
    <w:p w14:paraId="15C7BFB5" w14:textId="64C43E0E" w:rsidR="0034488E" w:rsidRDefault="0034488E" w:rsidP="009C765E">
      <w:pPr>
        <w:pStyle w:val="E3BodyText"/>
      </w:pPr>
    </w:p>
    <w:p w14:paraId="578D800B" w14:textId="0C2BC888" w:rsidR="0034488E" w:rsidRDefault="0034488E" w:rsidP="009C765E">
      <w:pPr>
        <w:pStyle w:val="E3BodyText"/>
      </w:pPr>
    </w:p>
    <w:p w14:paraId="06B8B611" w14:textId="76B97004" w:rsidR="0034488E" w:rsidRDefault="0034488E" w:rsidP="009C765E">
      <w:pPr>
        <w:pStyle w:val="E3BodyText"/>
      </w:pPr>
    </w:p>
    <w:p w14:paraId="430B49A8" w14:textId="77B75CE7" w:rsidR="0034488E" w:rsidRDefault="0034488E" w:rsidP="009C765E">
      <w:pPr>
        <w:pStyle w:val="E3BodyText"/>
      </w:pPr>
    </w:p>
    <w:p w14:paraId="12270F88" w14:textId="77777777" w:rsidR="0034488E" w:rsidRDefault="0034488E" w:rsidP="009C765E">
      <w:pPr>
        <w:pStyle w:val="E3BodyText"/>
      </w:pPr>
    </w:p>
    <w:p w14:paraId="7A9F5482" w14:textId="56AE74FD" w:rsidR="000B53C0" w:rsidRDefault="000B53C0" w:rsidP="00FA525C">
      <w:pPr>
        <w:pStyle w:val="E3ChapterTitle"/>
        <w:numPr>
          <w:ilvl w:val="0"/>
          <w:numId w:val="72"/>
        </w:numPr>
      </w:pPr>
      <w:bookmarkStart w:id="21" w:name="_Toc500151782"/>
      <w:r>
        <w:rPr>
          <w:noProof/>
          <w:lang w:eastAsia="en-AU"/>
        </w:rPr>
        <w:drawing>
          <wp:anchor distT="0" distB="0" distL="114300" distR="114300" simplePos="0" relativeHeight="251658241" behindDoc="1" locked="1" layoutInCell="1" allowOverlap="1" wp14:anchorId="39A83A05" wp14:editId="329A5E8B">
            <wp:simplePos x="0" y="0"/>
            <wp:positionH relativeFrom="margin">
              <wp:align>left</wp:align>
            </wp:positionH>
            <wp:positionV relativeFrom="margin">
              <wp:posOffset>-79375</wp:posOffset>
            </wp:positionV>
            <wp:extent cx="6124575" cy="1800225"/>
            <wp:effectExtent l="0" t="0" r="9525" b="9525"/>
            <wp:wrapNone/>
            <wp:docPr id="13"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25"/>
                    <a:stretch>
                      <a:fillRect/>
                    </a:stretch>
                  </pic:blipFill>
                  <pic:spPr>
                    <a:xfrm>
                      <a:off x="0" y="0"/>
                      <a:ext cx="6124575" cy="1800225"/>
                    </a:xfrm>
                    <a:prstGeom prst="rect">
                      <a:avLst/>
                    </a:prstGeom>
                  </pic:spPr>
                </pic:pic>
              </a:graphicData>
            </a:graphic>
          </wp:anchor>
        </w:drawing>
      </w:r>
      <w:r>
        <w:t>Introduction</w:t>
      </w:r>
      <w:bookmarkEnd w:id="21"/>
    </w:p>
    <w:p w14:paraId="4D7A038D" w14:textId="3943D2F9" w:rsidR="006D707F" w:rsidRDefault="006D707F" w:rsidP="0034488E">
      <w:pPr>
        <w:pStyle w:val="E3BodyText"/>
        <w:jc w:val="both"/>
      </w:pPr>
      <w:r w:rsidRPr="009E4772">
        <w:t xml:space="preserve">This Decision RIS </w:t>
      </w:r>
      <w:r>
        <w:t xml:space="preserve">considers </w:t>
      </w:r>
      <w:r w:rsidRPr="009E4772">
        <w:t>several policy proposals to</w:t>
      </w:r>
      <w:r>
        <w:t xml:space="preserve"> raise the energy efficiency of commercial refrigeration products and</w:t>
      </w:r>
      <w:r w:rsidR="006B2B13">
        <w:t xml:space="preserve"> various</w:t>
      </w:r>
      <w:r>
        <w:t xml:space="preserve"> </w:t>
      </w:r>
      <w:r w:rsidRPr="009E4772">
        <w:t xml:space="preserve">issues with the </w:t>
      </w:r>
      <w:r>
        <w:t xml:space="preserve">existing regulation. </w:t>
      </w:r>
      <w:r w:rsidRPr="009E4772">
        <w:t xml:space="preserve">These proposals </w:t>
      </w:r>
      <w:r>
        <w:t>have been</w:t>
      </w:r>
      <w:r w:rsidRPr="009E4772">
        <w:t xml:space="preserve"> developed through the Equipment Energy Efficiency (E3) Program, which aims to increase the energy efficiency of </w:t>
      </w:r>
      <w:r w:rsidR="006B2B13">
        <w:t>appliances and equipment</w:t>
      </w:r>
      <w:r w:rsidR="006B2B13" w:rsidRPr="009E4772">
        <w:t xml:space="preserve"> </w:t>
      </w:r>
      <w:r w:rsidRPr="009E4772">
        <w:t>used in the residential, commercial and manufacturing sectors in Australia and New Zealand.</w:t>
      </w:r>
    </w:p>
    <w:p w14:paraId="5CE709AB" w14:textId="44BE3E8C" w:rsidR="006D707F" w:rsidRDefault="006D707F" w:rsidP="0034488E">
      <w:pPr>
        <w:pStyle w:val="E3BodyText"/>
        <w:jc w:val="both"/>
      </w:pPr>
      <w:r w:rsidRPr="0046124E">
        <w:rPr>
          <w:noProof/>
          <w:lang w:val="en-AU" w:eastAsia="en-AU"/>
        </w:rPr>
        <mc:AlternateContent>
          <mc:Choice Requires="wps">
            <w:drawing>
              <wp:anchor distT="0" distB="0" distL="114300" distR="114300" simplePos="0" relativeHeight="251658242" behindDoc="0" locked="0" layoutInCell="1" allowOverlap="1" wp14:anchorId="2A9B1F8D" wp14:editId="1C163333">
                <wp:simplePos x="0" y="0"/>
                <wp:positionH relativeFrom="page">
                  <wp:posOffset>955675</wp:posOffset>
                </wp:positionH>
                <wp:positionV relativeFrom="page">
                  <wp:posOffset>1007604</wp:posOffset>
                </wp:positionV>
                <wp:extent cx="5420563" cy="797441"/>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5420563" cy="797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99FF34" w14:textId="77777777" w:rsidR="00C22857" w:rsidRPr="009E4772" w:rsidRDefault="00C22857" w:rsidP="006D707F">
                            <w:pPr>
                              <w:pStyle w:val="E3Chapter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9B1F8D" id="Text Box 16" o:spid="_x0000_s1028" type="#_x0000_t202" style="position:absolute;left:0;text-align:left;margin-left:75.25pt;margin-top:79.35pt;width:426.8pt;height:62.8pt;z-index:25165824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" filled="f" stroked="f" strokeweight=".5pt">
                <v:textbox>
                  <w:txbxContent>
                    <w:p w14:paraId="5E99FF34" w14:textId="77777777" w:rsidR="00C22857" w:rsidRPr="009E4772" w:rsidRDefault="00C22857" w:rsidP="006D707F">
                      <w:pPr>
                        <w:pStyle w:val="E3ChapterTitle"/>
                      </w:pPr>
                    </w:p>
                  </w:txbxContent>
                </v:textbox>
                <w10:wrap anchorx="page" anchory="page"/>
              </v:shape>
            </w:pict>
          </mc:Fallback>
        </mc:AlternateContent>
      </w:r>
      <w:r>
        <w:t>Australia and New Zealand first introduced energy efficiency regulation for commercial refrigeration in 2003</w:t>
      </w:r>
      <w:r w:rsidRPr="0046124E">
        <w:t xml:space="preserve">, </w:t>
      </w:r>
      <w:r>
        <w:t xml:space="preserve">using an Australian Standard.  Since then, there has been a considerable growth in </w:t>
      </w:r>
      <w:r w:rsidRPr="0046124E">
        <w:t>energy use</w:t>
      </w:r>
      <w:r>
        <w:t xml:space="preserve"> in the sector </w:t>
      </w:r>
      <w:r w:rsidRPr="0046124E">
        <w:t xml:space="preserve">due to </w:t>
      </w:r>
      <w:r>
        <w:t xml:space="preserve">higher </w:t>
      </w:r>
      <w:r w:rsidRPr="0046124E">
        <w:t>demand for ready-to-eat food</w:t>
      </w:r>
      <w:r>
        <w:t xml:space="preserve"> and</w:t>
      </w:r>
      <w:r w:rsidR="006B2B13">
        <w:t xml:space="preserve"> the general</w:t>
      </w:r>
      <w:r>
        <w:t xml:space="preserve"> increases in population</w:t>
      </w:r>
      <w:r w:rsidRPr="0046124E">
        <w:t xml:space="preserve">.  </w:t>
      </w:r>
      <w:r>
        <w:t>Meanwhile, there are now technologies available that can achieve much higher efficiencies than when MEPS were first introduced. So the existing MEPS levels are no longer achieving the intended market transformation.</w:t>
      </w:r>
    </w:p>
    <w:p w14:paraId="54E0446F" w14:textId="3F19F868" w:rsidR="006D707F" w:rsidRPr="0046124E" w:rsidRDefault="006D707F" w:rsidP="0034488E">
      <w:pPr>
        <w:pStyle w:val="E3BodyText"/>
        <w:jc w:val="both"/>
      </w:pPr>
      <w:r>
        <w:t>I</w:t>
      </w:r>
      <w:r w:rsidRPr="0046124E">
        <w:t xml:space="preserve">nternational standards have </w:t>
      </w:r>
      <w:r>
        <w:t xml:space="preserve">also </w:t>
      </w:r>
      <w:r w:rsidRPr="0046124E">
        <w:t xml:space="preserve">been developed </w:t>
      </w:r>
      <w:r w:rsidR="006B2B13">
        <w:t>that</w:t>
      </w:r>
      <w:r w:rsidR="006B2B13" w:rsidRPr="0046124E">
        <w:t xml:space="preserve"> </w:t>
      </w:r>
      <w:r w:rsidRPr="0046124E">
        <w:t xml:space="preserve">could </w:t>
      </w:r>
      <w:r>
        <w:t>be applied to update and simplify existing requirements and eliminate</w:t>
      </w:r>
      <w:r w:rsidRPr="0046124E">
        <w:t xml:space="preserve"> the need for testing to local standards</w:t>
      </w:r>
      <w:r>
        <w:t>,</w:t>
      </w:r>
      <w:r w:rsidRPr="0046124E">
        <w:t xml:space="preserve"> thereby reduc</w:t>
      </w:r>
      <w:r>
        <w:t>ing</w:t>
      </w:r>
      <w:r w:rsidRPr="0046124E">
        <w:t xml:space="preserve"> the cost to business </w:t>
      </w:r>
      <w:r>
        <w:t>from</w:t>
      </w:r>
      <w:r w:rsidRPr="0046124E">
        <w:t xml:space="preserve"> having to meet local requirements in a global market. </w:t>
      </w:r>
    </w:p>
    <w:p w14:paraId="3AAE284C" w14:textId="77777777" w:rsidR="006D707F" w:rsidRPr="009E4772" w:rsidRDefault="006D707F" w:rsidP="0034488E">
      <w:pPr>
        <w:pStyle w:val="E3BodyText"/>
        <w:jc w:val="both"/>
      </w:pPr>
      <w:r w:rsidRPr="009E4772">
        <w:t xml:space="preserve">While the current regulations have gone some way to achieving their objective by </w:t>
      </w:r>
      <w:r>
        <w:t>raising the baseline efficiency of</w:t>
      </w:r>
      <w:r w:rsidRPr="009E4772">
        <w:t xml:space="preserve"> commercial </w:t>
      </w:r>
      <w:r>
        <w:t xml:space="preserve">refrigeration </w:t>
      </w:r>
      <w:r w:rsidRPr="009E4772">
        <w:t xml:space="preserve">cabinets, there is </w:t>
      </w:r>
      <w:r>
        <w:t xml:space="preserve">now </w:t>
      </w:r>
      <w:r w:rsidRPr="009E4772">
        <w:t>significant scope to r</w:t>
      </w:r>
      <w:r>
        <w:t>evise the existing requirements.</w:t>
      </w:r>
    </w:p>
    <w:p w14:paraId="464CBA82" w14:textId="77777777" w:rsidR="006D707F" w:rsidRPr="0046124E" w:rsidRDefault="006D707F" w:rsidP="0034488E">
      <w:pPr>
        <w:pStyle w:val="E3BodyText"/>
        <w:jc w:val="both"/>
      </w:pPr>
      <w:r w:rsidRPr="0046124E">
        <w:t xml:space="preserve">This section provides background information about </w:t>
      </w:r>
      <w:r>
        <w:t>r</w:t>
      </w:r>
      <w:r w:rsidRPr="0046124E">
        <w:t>efrigerated commercial cabinets, the cabinet market and the policy context behind the proposals referred to in this document.</w:t>
      </w:r>
    </w:p>
    <w:p w14:paraId="089BF156" w14:textId="77777777" w:rsidR="006D707F" w:rsidRPr="006D707F" w:rsidRDefault="006D707F" w:rsidP="0034488E">
      <w:pPr>
        <w:pStyle w:val="E3Heading1"/>
        <w:spacing w:before="240" w:after="240"/>
        <w:jc w:val="both"/>
        <w:rPr>
          <w:rFonts w:eastAsia="Calibri" w:cs="Arial"/>
          <w:color w:val="000000" w:themeColor="text1"/>
          <w:sz w:val="32"/>
          <w:szCs w:val="26"/>
          <w:lang w:val="en-US"/>
        </w:rPr>
      </w:pPr>
      <w:bookmarkStart w:id="22" w:name="_Toc500151783"/>
      <w:r w:rsidRPr="006D707F">
        <w:rPr>
          <w:rFonts w:eastAsia="Calibri" w:cs="Arial"/>
          <w:color w:val="000000" w:themeColor="text1"/>
          <w:sz w:val="32"/>
          <w:szCs w:val="26"/>
          <w:lang w:val="en-US"/>
        </w:rPr>
        <w:t>Refrigerated commercial cabinets</w:t>
      </w:r>
      <w:bookmarkEnd w:id="22"/>
    </w:p>
    <w:p w14:paraId="61861721" w14:textId="625B85AC" w:rsidR="006D707F" w:rsidRDefault="006D707F" w:rsidP="0034488E">
      <w:pPr>
        <w:pStyle w:val="E3BodyText"/>
        <w:jc w:val="both"/>
      </w:pPr>
      <w:r w:rsidRPr="006459A2">
        <w:t>The term “refrigerated commercial cabinet” in this context refers to a range of food display and preparation situations. It covers a variety of display fridges and freezers, including those with transparent doors or lids</w:t>
      </w:r>
      <w:r w:rsidR="006B2B13">
        <w:t>,</w:t>
      </w:r>
      <w:r w:rsidRPr="006459A2">
        <w:t xml:space="preserve"> open-fronted cabinets with shelves, horizontal freezers and drinks chillers – all of which display food for sale. These are often described as </w:t>
      </w:r>
      <w:r w:rsidRPr="00A1036A">
        <w:t xml:space="preserve">refrigerated display cabinets.  </w:t>
      </w:r>
    </w:p>
    <w:p w14:paraId="7032313D" w14:textId="6C23F3CB" w:rsidR="006D707F" w:rsidRDefault="006D707F" w:rsidP="0034488E">
      <w:pPr>
        <w:pStyle w:val="E3BodyText"/>
        <w:jc w:val="both"/>
      </w:pPr>
      <w:r w:rsidRPr="0046124E">
        <w:t xml:space="preserve">It also covers </w:t>
      </w:r>
      <w:r>
        <w:t>r</w:t>
      </w:r>
      <w:r w:rsidRPr="0046124E">
        <w:t xml:space="preserve">efrigerated storage cabinets (also known as professional or service cabinets), </w:t>
      </w:r>
      <w:r w:rsidR="006B2B13">
        <w:t xml:space="preserve">which </w:t>
      </w:r>
      <w:r w:rsidRPr="0046124E">
        <w:t xml:space="preserve">are often used behind the scenes in kitchens or catering, with transparent or opaque (solid) doors or lids.  Both display and storage cabinets are important in the food sector and </w:t>
      </w:r>
      <w:r w:rsidRPr="0046124E">
        <w:lastRenderedPageBreak/>
        <w:t xml:space="preserve">used by a range of company sizes – from small, owner-operated cafes and corner </w:t>
      </w:r>
      <w:r>
        <w:t>shops</w:t>
      </w:r>
      <w:r w:rsidRPr="0046124E">
        <w:t xml:space="preserve"> through to larger companies such as supermarket chains</w:t>
      </w:r>
      <w:r>
        <w:t>.</w:t>
      </w:r>
    </w:p>
    <w:p w14:paraId="21A668CC" w14:textId="3FAC00C9" w:rsidR="006B2B13" w:rsidRDefault="006D707F" w:rsidP="0034488E">
      <w:pPr>
        <w:pStyle w:val="E3BodyText"/>
        <w:jc w:val="both"/>
      </w:pPr>
      <w:r w:rsidRPr="00FE2651">
        <w:t xml:space="preserve">Refrigerated storage cabinets are designed to store chilled or frozen foodstuffs at food-safe temperatures, but not to display products for sale to the public.  </w:t>
      </w:r>
    </w:p>
    <w:p w14:paraId="5097F2B6" w14:textId="44A6E587" w:rsidR="006D707F" w:rsidRPr="006459A2" w:rsidRDefault="006D707F" w:rsidP="0034488E">
      <w:pPr>
        <w:pStyle w:val="E3BodyText"/>
        <w:jc w:val="both"/>
      </w:pPr>
      <w:r w:rsidRPr="00FE2651">
        <w:t xml:space="preserve">They are an essential part of the “cold chain” and are mostly used by small to medium enterprises in catering and hospitality applications, including non-retail areas of restaurants and institutional facilities such as hospitals, nursing homes and canteens. </w:t>
      </w:r>
      <w:r w:rsidRPr="0041262C">
        <w:t>Often storage cabinets are required to operate under more onerous ambient conditions, (e.g.</w:t>
      </w:r>
      <w:r>
        <w:t xml:space="preserve"> </w:t>
      </w:r>
      <w:r w:rsidRPr="0041262C">
        <w:t xml:space="preserve">commercial kitchens), and are rarely visible to the general public. </w:t>
      </w:r>
      <w:r>
        <w:t xml:space="preserve">In contrast, </w:t>
      </w:r>
      <w:r w:rsidRPr="008454E3">
        <w:t>r</w:t>
      </w:r>
      <w:r w:rsidRPr="0041262C">
        <w:t xml:space="preserve">efrigerated display cabinets operate in a visible and </w:t>
      </w:r>
      <w:r>
        <w:t xml:space="preserve">often air </w:t>
      </w:r>
      <w:r w:rsidRPr="0041262C">
        <w:t>conditioned space.</w:t>
      </w:r>
    </w:p>
    <w:p w14:paraId="70470C34" w14:textId="72971CC0" w:rsidR="006D707F" w:rsidRPr="003E237C" w:rsidRDefault="006D707F" w:rsidP="0034488E">
      <w:pPr>
        <w:pStyle w:val="E3BodyText"/>
        <w:jc w:val="both"/>
      </w:pPr>
      <w:r w:rsidRPr="003E237C">
        <w:t xml:space="preserve">Refrigerated commercial cabinets are commonly used for 24 hours per day, seven days a week and as a result use significant amounts of energy, which </w:t>
      </w:r>
      <w:r w:rsidR="006B2B13">
        <w:t>increases emissions of</w:t>
      </w:r>
      <w:r w:rsidRPr="003E237C">
        <w:t xml:space="preserve"> greenhouse gas</w:t>
      </w:r>
      <w:r w:rsidR="006B2B13">
        <w:t>es</w:t>
      </w:r>
      <w:r w:rsidR="00F214AB">
        <w:t>.</w:t>
      </w:r>
    </w:p>
    <w:p w14:paraId="70AC09CB" w14:textId="3544FF2F" w:rsidR="006D707F" w:rsidRPr="003E237C" w:rsidRDefault="006D707F" w:rsidP="0034488E">
      <w:pPr>
        <w:pStyle w:val="E3BodyText"/>
        <w:jc w:val="both"/>
      </w:pPr>
      <w:r w:rsidRPr="0041262C">
        <w:t>Energy use from commercial refrigeration is growing in Australia and New Zealand due to population growth and increased demand for ready-to-eat food</w:t>
      </w:r>
      <w:r w:rsidR="006B2B13">
        <w:t xml:space="preserve"> and this increase is expected to continue. </w:t>
      </w:r>
      <w:r w:rsidRPr="0041262C">
        <w:t xml:space="preserve">By 2035, </w:t>
      </w:r>
      <w:r>
        <w:t xml:space="preserve">Australasian </w:t>
      </w:r>
      <w:r w:rsidRPr="0041262C">
        <w:t xml:space="preserve">sales of refrigerated commercial cabinets are projected to increase by </w:t>
      </w:r>
      <w:r>
        <w:t>over 40%</w:t>
      </w:r>
      <w:r w:rsidRPr="0041262C">
        <w:t xml:space="preserve"> and energy use will increase </w:t>
      </w:r>
      <w:r>
        <w:t>to over 9000GWh per year</w:t>
      </w:r>
      <w:r w:rsidRPr="0041262C">
        <w:t xml:space="preserve">, despite general improvements in these cabinets from past regulatory action. </w:t>
      </w:r>
      <w:r w:rsidR="006B2B13">
        <w:t>This compares with</w:t>
      </w:r>
      <w:r w:rsidRPr="0041262C">
        <w:t xml:space="preserve"> </w:t>
      </w:r>
      <w:r w:rsidR="000D6199">
        <w:t xml:space="preserve">a </w:t>
      </w:r>
      <w:r w:rsidRPr="0041262C">
        <w:t>commercial energ</w:t>
      </w:r>
      <w:r w:rsidR="00D902AB">
        <w:t xml:space="preserve">y </w:t>
      </w:r>
      <w:r w:rsidR="000D6199">
        <w:t xml:space="preserve">of </w:t>
      </w:r>
      <w:r>
        <w:t>7426</w:t>
      </w:r>
      <w:r w:rsidRPr="0041262C">
        <w:t xml:space="preserve">GWh </w:t>
      </w:r>
      <w:r w:rsidR="000D6199">
        <w:t>(Australia and New Zealand - 2015)</w:t>
      </w:r>
      <w:r w:rsidRPr="0041262C">
        <w:t>.</w:t>
      </w:r>
    </w:p>
    <w:p w14:paraId="1300A7F6" w14:textId="429CEE45" w:rsidR="006D707F" w:rsidRPr="0009059E" w:rsidRDefault="006D707F" w:rsidP="0034488E">
      <w:pPr>
        <w:pStyle w:val="E3BodyText"/>
        <w:jc w:val="both"/>
      </w:pPr>
      <w:r w:rsidRPr="003E237C">
        <w:t>Examples of r</w:t>
      </w:r>
      <w:r w:rsidRPr="00F94566">
        <w:t xml:space="preserve">efrigerated display and storage cabinets are shown in </w:t>
      </w:r>
      <w:r w:rsidR="00E05C54" w:rsidRPr="00E05C54">
        <w:rPr>
          <w:b/>
        </w:rPr>
        <w:t>Figure 1</w:t>
      </w:r>
      <w:r w:rsidR="00E05C54">
        <w:rPr>
          <w:noProof/>
        </w:rPr>
        <w:t xml:space="preserve"> </w:t>
      </w:r>
      <w:r w:rsidRPr="003E237C">
        <w:t xml:space="preserve">and </w:t>
      </w:r>
      <w:r w:rsidRPr="003E237C">
        <w:rPr>
          <w:b/>
        </w:rPr>
        <w:t>Figure 2</w:t>
      </w:r>
      <w:r w:rsidRPr="003E237C">
        <w:t xml:space="preserve"> below:</w:t>
      </w:r>
    </w:p>
    <w:p w14:paraId="1B383B8C" w14:textId="1C3D0210" w:rsidR="006D707F" w:rsidRPr="000F4EA8" w:rsidRDefault="006D707F" w:rsidP="006D707F">
      <w:pPr>
        <w:pStyle w:val="E3Figuretitles"/>
        <w:spacing w:before="240"/>
      </w:pPr>
      <w:bookmarkStart w:id="23" w:name="_Ref449944639"/>
      <w:bookmarkStart w:id="24" w:name="_Toc449709062"/>
      <w:bookmarkStart w:id="25" w:name="_Toc494142469"/>
      <w:bookmarkStart w:id="26" w:name="_Toc495045822"/>
      <w:r w:rsidRPr="00A929F6">
        <w:t xml:space="preserve">Figure </w:t>
      </w:r>
      <w:bookmarkEnd w:id="23"/>
      <w:r w:rsidR="00E05C54">
        <w:t>1</w:t>
      </w:r>
      <w:r w:rsidRPr="00A929F6">
        <w:t>: Examples of refrigerated display cabinets</w:t>
      </w:r>
      <w:r w:rsidRPr="000F4EA8">
        <w:t>.</w:t>
      </w:r>
      <w:bookmarkEnd w:id="24"/>
      <w:bookmarkEnd w:id="25"/>
      <w:bookmarkEnd w:id="26"/>
    </w:p>
    <w:tbl>
      <w:tblPr>
        <w:tblW w:w="0" w:type="auto"/>
        <w:tblLook w:val="04A0" w:firstRow="1" w:lastRow="0" w:firstColumn="1" w:lastColumn="0" w:noHBand="0" w:noVBand="1"/>
      </w:tblPr>
      <w:tblGrid>
        <w:gridCol w:w="5122"/>
        <w:gridCol w:w="4517"/>
      </w:tblGrid>
      <w:tr w:rsidR="006D707F" w14:paraId="3F94F059" w14:textId="77777777" w:rsidTr="00197B9C">
        <w:trPr>
          <w:trHeight w:val="3517"/>
        </w:trPr>
        <w:tc>
          <w:tcPr>
            <w:tcW w:w="5283" w:type="dxa"/>
            <w:hideMark/>
          </w:tcPr>
          <w:p w14:paraId="57511FA8" w14:textId="77777777" w:rsidR="006D707F" w:rsidRPr="00F24376" w:rsidRDefault="006D707F" w:rsidP="00197B9C">
            <w:pPr>
              <w:pStyle w:val="E3BodyText"/>
              <w:rPr>
                <w:b/>
                <w:sz w:val="19"/>
                <w:lang w:val="en-NZ"/>
              </w:rPr>
            </w:pPr>
            <w:r w:rsidRPr="00B57A40">
              <w:rPr>
                <w:b/>
                <w:noProof/>
                <w:sz w:val="19"/>
                <w:lang w:val="en-AU" w:eastAsia="en-AU"/>
              </w:rPr>
              <w:drawing>
                <wp:inline distT="0" distB="0" distL="0" distR="0" wp14:anchorId="1AB6F03D" wp14:editId="772B1D4A">
                  <wp:extent cx="2649965" cy="1962150"/>
                  <wp:effectExtent l="0" t="0" r="0" b="0"/>
                  <wp:docPr id="229" name="Picture 229" descr="Horizontal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rizontal cabine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9006" cy="1991057"/>
                          </a:xfrm>
                          <a:prstGeom prst="rect">
                            <a:avLst/>
                          </a:prstGeom>
                          <a:noFill/>
                          <a:ln>
                            <a:noFill/>
                          </a:ln>
                        </pic:spPr>
                      </pic:pic>
                    </a:graphicData>
                  </a:graphic>
                </wp:inline>
              </w:drawing>
            </w:r>
          </w:p>
          <w:p w14:paraId="5E3859E7" w14:textId="77777777" w:rsidR="006D707F" w:rsidRPr="001A279D" w:rsidRDefault="006D707F" w:rsidP="00197B9C">
            <w:pPr>
              <w:pStyle w:val="E3BodyText"/>
              <w:rPr>
                <w:b/>
                <w:sz w:val="18"/>
                <w:szCs w:val="18"/>
                <w:lang w:val="en-NZ"/>
              </w:rPr>
            </w:pPr>
            <w:r w:rsidRPr="001A279D">
              <w:rPr>
                <w:b/>
                <w:sz w:val="18"/>
                <w:szCs w:val="18"/>
                <w:lang w:val="en-NZ"/>
              </w:rPr>
              <w:t>Horizontal, frozen, open-top, island cabinet</w:t>
            </w:r>
          </w:p>
        </w:tc>
        <w:tc>
          <w:tcPr>
            <w:tcW w:w="4572" w:type="dxa"/>
            <w:hideMark/>
          </w:tcPr>
          <w:p w14:paraId="32DDE602" w14:textId="77777777" w:rsidR="006D707F" w:rsidRPr="00F24376" w:rsidRDefault="006D707F" w:rsidP="00197B9C">
            <w:pPr>
              <w:pStyle w:val="E3BodyText"/>
              <w:rPr>
                <w:b/>
                <w:sz w:val="19"/>
                <w:lang w:val="en-NZ"/>
              </w:rPr>
            </w:pPr>
            <w:r w:rsidRPr="00B57A40">
              <w:rPr>
                <w:b/>
                <w:noProof/>
                <w:sz w:val="19"/>
                <w:lang w:val="en-AU" w:eastAsia="en-AU"/>
              </w:rPr>
              <w:drawing>
                <wp:inline distT="0" distB="0" distL="0" distR="0" wp14:anchorId="4C0F8483" wp14:editId="0A5B6D56">
                  <wp:extent cx="2576649" cy="1941689"/>
                  <wp:effectExtent l="0" t="0" r="0" b="1905"/>
                  <wp:docPr id="232" name="Picture 232" descr="Vertical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tical cabin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9378" cy="1943746"/>
                          </a:xfrm>
                          <a:prstGeom prst="rect">
                            <a:avLst/>
                          </a:prstGeom>
                          <a:noFill/>
                          <a:ln>
                            <a:noFill/>
                          </a:ln>
                        </pic:spPr>
                      </pic:pic>
                    </a:graphicData>
                  </a:graphic>
                </wp:inline>
              </w:drawing>
            </w:r>
          </w:p>
          <w:p w14:paraId="05CDB492" w14:textId="77777777" w:rsidR="006D707F" w:rsidRPr="001A279D" w:rsidRDefault="006D707F" w:rsidP="00197B9C">
            <w:pPr>
              <w:pStyle w:val="E3BodyText"/>
              <w:rPr>
                <w:b/>
                <w:sz w:val="18"/>
                <w:szCs w:val="18"/>
                <w:lang w:val="en-NZ"/>
              </w:rPr>
            </w:pPr>
            <w:r w:rsidRPr="001A279D">
              <w:rPr>
                <w:b/>
                <w:sz w:val="18"/>
                <w:szCs w:val="18"/>
                <w:lang w:val="en-NZ"/>
              </w:rPr>
              <w:t>Vertical, chilled, open, multi-deck cabinet</w:t>
            </w:r>
          </w:p>
        </w:tc>
      </w:tr>
      <w:tr w:rsidR="006D707F" w14:paraId="3AF47A68" w14:textId="77777777" w:rsidTr="00197B9C">
        <w:trPr>
          <w:trHeight w:val="3595"/>
        </w:trPr>
        <w:tc>
          <w:tcPr>
            <w:tcW w:w="5283" w:type="dxa"/>
            <w:hideMark/>
          </w:tcPr>
          <w:p w14:paraId="4FD55FB9" w14:textId="77777777" w:rsidR="006D707F" w:rsidRPr="00F24376" w:rsidRDefault="006D707F" w:rsidP="00197B9C">
            <w:pPr>
              <w:pStyle w:val="E3BodyText"/>
              <w:rPr>
                <w:b/>
                <w:sz w:val="19"/>
                <w:lang w:val="en-NZ"/>
              </w:rPr>
            </w:pPr>
            <w:r w:rsidRPr="00B57A40">
              <w:rPr>
                <w:b/>
                <w:noProof/>
                <w:sz w:val="19"/>
                <w:lang w:val="en-AU" w:eastAsia="en-AU"/>
              </w:rPr>
              <w:lastRenderedPageBreak/>
              <w:drawing>
                <wp:inline distT="0" distB="0" distL="0" distR="0" wp14:anchorId="707E2440" wp14:editId="3241AB4E">
                  <wp:extent cx="2667000" cy="2009775"/>
                  <wp:effectExtent l="0" t="0" r="0" b="9525"/>
                  <wp:docPr id="233" name="Picture 233" descr="Semi-vertical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mi-vertical cabin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2009775"/>
                          </a:xfrm>
                          <a:prstGeom prst="rect">
                            <a:avLst/>
                          </a:prstGeom>
                          <a:noFill/>
                          <a:ln>
                            <a:noFill/>
                          </a:ln>
                        </pic:spPr>
                      </pic:pic>
                    </a:graphicData>
                  </a:graphic>
                </wp:inline>
              </w:drawing>
            </w:r>
          </w:p>
          <w:p w14:paraId="47C60A6F" w14:textId="77777777" w:rsidR="006D707F" w:rsidRPr="0093208D" w:rsidRDefault="006D707F" w:rsidP="00197B9C">
            <w:pPr>
              <w:pStyle w:val="E3BodyText"/>
              <w:rPr>
                <w:b/>
                <w:sz w:val="18"/>
                <w:szCs w:val="18"/>
                <w:lang w:val="en-NZ"/>
              </w:rPr>
            </w:pPr>
            <w:r w:rsidRPr="001A279D">
              <w:rPr>
                <w:b/>
                <w:sz w:val="18"/>
                <w:szCs w:val="18"/>
                <w:lang w:val="en-NZ"/>
              </w:rPr>
              <w:t>Semi-vertical, ch</w:t>
            </w:r>
            <w:r w:rsidRPr="0093208D">
              <w:rPr>
                <w:b/>
                <w:sz w:val="18"/>
                <w:szCs w:val="18"/>
                <w:lang w:val="en-NZ"/>
              </w:rPr>
              <w:t>illed, multi-deck cabinet</w:t>
            </w:r>
          </w:p>
        </w:tc>
        <w:tc>
          <w:tcPr>
            <w:tcW w:w="4572" w:type="dxa"/>
            <w:hideMark/>
          </w:tcPr>
          <w:p w14:paraId="138B1014" w14:textId="77777777" w:rsidR="006D707F" w:rsidRPr="00F24376" w:rsidRDefault="006D707F" w:rsidP="00197B9C">
            <w:pPr>
              <w:pStyle w:val="E3BodyText"/>
              <w:rPr>
                <w:b/>
                <w:sz w:val="19"/>
                <w:lang w:val="en-NZ"/>
              </w:rPr>
            </w:pPr>
            <w:r w:rsidRPr="00B57A40">
              <w:rPr>
                <w:b/>
                <w:noProof/>
                <w:sz w:val="19"/>
                <w:lang w:val="en-AU" w:eastAsia="en-AU"/>
              </w:rPr>
              <w:drawing>
                <wp:inline distT="0" distB="0" distL="0" distR="0" wp14:anchorId="1C559326" wp14:editId="19FADB0B">
                  <wp:extent cx="2540291" cy="1809750"/>
                  <wp:effectExtent l="0" t="0" r="0" b="0"/>
                  <wp:docPr id="234" name="Picture 234" descr="Vertical, glass-door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tical, glass-door cabine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7697" cy="1815026"/>
                          </a:xfrm>
                          <a:prstGeom prst="rect">
                            <a:avLst/>
                          </a:prstGeom>
                          <a:noFill/>
                          <a:ln>
                            <a:noFill/>
                          </a:ln>
                        </pic:spPr>
                      </pic:pic>
                    </a:graphicData>
                  </a:graphic>
                </wp:inline>
              </w:drawing>
            </w:r>
          </w:p>
          <w:p w14:paraId="58F49B3E" w14:textId="77777777" w:rsidR="006D707F" w:rsidRPr="001A279D" w:rsidRDefault="006D707F" w:rsidP="00197B9C">
            <w:pPr>
              <w:pStyle w:val="E3BodyText"/>
              <w:rPr>
                <w:b/>
                <w:sz w:val="18"/>
                <w:szCs w:val="18"/>
                <w:lang w:val="en-NZ"/>
              </w:rPr>
            </w:pPr>
            <w:r w:rsidRPr="001A279D">
              <w:rPr>
                <w:b/>
                <w:sz w:val="18"/>
                <w:szCs w:val="18"/>
                <w:lang w:val="en-NZ"/>
              </w:rPr>
              <w:t>Vertical, refrigerated, glass-door cabinet</w:t>
            </w:r>
          </w:p>
        </w:tc>
      </w:tr>
      <w:tr w:rsidR="006D707F" w14:paraId="122B5F0D" w14:textId="77777777" w:rsidTr="00197B9C">
        <w:trPr>
          <w:trHeight w:val="2780"/>
        </w:trPr>
        <w:tc>
          <w:tcPr>
            <w:tcW w:w="5283" w:type="dxa"/>
            <w:hideMark/>
          </w:tcPr>
          <w:p w14:paraId="5008BC4D" w14:textId="77777777" w:rsidR="006D707F" w:rsidRPr="00F24376" w:rsidRDefault="006D707F" w:rsidP="00197B9C">
            <w:pPr>
              <w:pStyle w:val="E3BodyText"/>
              <w:rPr>
                <w:b/>
                <w:sz w:val="19"/>
                <w:lang w:val="en-NZ"/>
              </w:rPr>
            </w:pPr>
            <w:r w:rsidRPr="00B57A40">
              <w:rPr>
                <w:b/>
                <w:noProof/>
                <w:sz w:val="19"/>
                <w:lang w:val="en-AU" w:eastAsia="en-AU"/>
              </w:rPr>
              <w:drawing>
                <wp:inline distT="0" distB="0" distL="0" distR="0" wp14:anchorId="47B1FE5A" wp14:editId="127795DE">
                  <wp:extent cx="2667488" cy="1638300"/>
                  <wp:effectExtent l="0" t="0" r="0" b="0"/>
                  <wp:docPr id="235" name="Picture 235" descr="Horizontal servic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izontal service count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3515" cy="1642002"/>
                          </a:xfrm>
                          <a:prstGeom prst="rect">
                            <a:avLst/>
                          </a:prstGeom>
                          <a:noFill/>
                          <a:ln>
                            <a:noFill/>
                          </a:ln>
                        </pic:spPr>
                      </pic:pic>
                    </a:graphicData>
                  </a:graphic>
                </wp:inline>
              </w:drawing>
            </w:r>
          </w:p>
          <w:p w14:paraId="7A2CAB9D" w14:textId="77777777" w:rsidR="006D707F" w:rsidRPr="001A279D" w:rsidRDefault="006D707F" w:rsidP="00197B9C">
            <w:pPr>
              <w:pStyle w:val="E3BodyText"/>
              <w:rPr>
                <w:b/>
                <w:sz w:val="18"/>
                <w:szCs w:val="18"/>
                <w:lang w:val="en-NZ"/>
              </w:rPr>
            </w:pPr>
            <w:r w:rsidRPr="001A279D">
              <w:rPr>
                <w:b/>
                <w:sz w:val="18"/>
                <w:szCs w:val="18"/>
                <w:lang w:val="en-NZ"/>
              </w:rPr>
              <w:t>Horizontal, chilled service-counter</w:t>
            </w:r>
          </w:p>
        </w:tc>
        <w:tc>
          <w:tcPr>
            <w:tcW w:w="4572" w:type="dxa"/>
            <w:hideMark/>
          </w:tcPr>
          <w:p w14:paraId="1EC0977B" w14:textId="77777777" w:rsidR="006D707F" w:rsidRPr="00F24376" w:rsidRDefault="006D707F" w:rsidP="00197B9C">
            <w:pPr>
              <w:pStyle w:val="E3BodyText"/>
              <w:rPr>
                <w:b/>
                <w:sz w:val="19"/>
                <w:lang w:val="en-NZ"/>
              </w:rPr>
            </w:pPr>
            <w:r w:rsidRPr="00B57A40">
              <w:rPr>
                <w:b/>
                <w:noProof/>
                <w:sz w:val="19"/>
                <w:lang w:val="en-AU" w:eastAsia="en-AU"/>
              </w:rPr>
              <w:drawing>
                <wp:inline distT="0" distB="0" distL="0" distR="0" wp14:anchorId="10BD30F4" wp14:editId="450BC92C">
                  <wp:extent cx="2524125" cy="1659698"/>
                  <wp:effectExtent l="0" t="0" r="0" b="0"/>
                  <wp:docPr id="236" name="Picture 236" descr="Horizintal displa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rizintal display cabine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9210" cy="1676192"/>
                          </a:xfrm>
                          <a:prstGeom prst="rect">
                            <a:avLst/>
                          </a:prstGeom>
                          <a:noFill/>
                          <a:ln>
                            <a:noFill/>
                          </a:ln>
                        </pic:spPr>
                      </pic:pic>
                    </a:graphicData>
                  </a:graphic>
                </wp:inline>
              </w:drawing>
            </w:r>
          </w:p>
          <w:p w14:paraId="5D7FFD75" w14:textId="77777777" w:rsidR="006D707F" w:rsidRPr="001A279D" w:rsidRDefault="006D707F" w:rsidP="00197B9C">
            <w:pPr>
              <w:pStyle w:val="E3BodyText"/>
              <w:rPr>
                <w:b/>
                <w:sz w:val="18"/>
                <w:szCs w:val="18"/>
                <w:lang w:val="en-NZ"/>
              </w:rPr>
            </w:pPr>
            <w:r w:rsidRPr="001A279D">
              <w:rPr>
                <w:b/>
                <w:sz w:val="18"/>
                <w:szCs w:val="18"/>
                <w:lang w:val="en-NZ"/>
              </w:rPr>
              <w:t>Horizontal, chilled, glass-door display cabinet</w:t>
            </w:r>
          </w:p>
        </w:tc>
      </w:tr>
    </w:tbl>
    <w:p w14:paraId="24EA3EA1" w14:textId="77777777" w:rsidR="006D707F" w:rsidRDefault="006D707F" w:rsidP="006D707F">
      <w:pPr>
        <w:pStyle w:val="E3Figuretitles"/>
        <w:spacing w:before="240" w:after="0"/>
        <w:rPr>
          <w:szCs w:val="18"/>
        </w:rPr>
      </w:pPr>
      <w:bookmarkStart w:id="27" w:name="_Ref449959176"/>
      <w:bookmarkStart w:id="28" w:name="_Toc449709063"/>
      <w:bookmarkStart w:id="29" w:name="_Toc494142470"/>
    </w:p>
    <w:p w14:paraId="49717636" w14:textId="38AFD892" w:rsidR="006D707F" w:rsidRPr="00A929F6" w:rsidRDefault="006D707F" w:rsidP="00A929F6">
      <w:pPr>
        <w:pStyle w:val="E3Figuretitles"/>
      </w:pPr>
      <w:bookmarkStart w:id="30" w:name="_Toc495045823"/>
      <w:r w:rsidRPr="00A929F6">
        <w:t xml:space="preserve">Figure </w:t>
      </w:r>
      <w:bookmarkEnd w:id="27"/>
      <w:r w:rsidR="00E05C54">
        <w:t>2</w:t>
      </w:r>
      <w:r w:rsidRPr="00A929F6">
        <w:t>: Storage cabinets</w:t>
      </w:r>
      <w:bookmarkEnd w:id="28"/>
      <w:bookmarkEnd w:id="29"/>
      <w:bookmarkEnd w:id="30"/>
    </w:p>
    <w:tbl>
      <w:tblPr>
        <w:tblW w:w="0" w:type="auto"/>
        <w:jc w:val="center"/>
        <w:tblLook w:val="04A0" w:firstRow="1" w:lastRow="0" w:firstColumn="1" w:lastColumn="0" w:noHBand="0" w:noVBand="1"/>
      </w:tblPr>
      <w:tblGrid>
        <w:gridCol w:w="4819"/>
        <w:gridCol w:w="4820"/>
      </w:tblGrid>
      <w:tr w:rsidR="006D707F" w14:paraId="14D82A67" w14:textId="77777777" w:rsidTr="00197B9C">
        <w:trPr>
          <w:trHeight w:val="3009"/>
          <w:jc w:val="center"/>
        </w:trPr>
        <w:tc>
          <w:tcPr>
            <w:tcW w:w="4852" w:type="dxa"/>
            <w:hideMark/>
          </w:tcPr>
          <w:p w14:paraId="20D0D9A6" w14:textId="77777777" w:rsidR="006D707F" w:rsidRPr="00F24376" w:rsidRDefault="006D707F" w:rsidP="00197B9C">
            <w:pPr>
              <w:pStyle w:val="E3BodyText"/>
              <w:rPr>
                <w:b/>
                <w:sz w:val="19"/>
              </w:rPr>
            </w:pPr>
            <w:r w:rsidRPr="00B57A40">
              <w:rPr>
                <w:b/>
                <w:noProof/>
                <w:sz w:val="19"/>
                <w:lang w:val="en-AU" w:eastAsia="en-AU"/>
              </w:rPr>
              <w:drawing>
                <wp:inline distT="0" distB="0" distL="0" distR="0" wp14:anchorId="7031703A" wp14:editId="33AB59B5">
                  <wp:extent cx="2200275" cy="1971080"/>
                  <wp:effectExtent l="0" t="0" r="0" b="0"/>
                  <wp:docPr id="237" name="Picture 237" descr="Refrigerated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frigerated storage cabine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6554" cy="1976705"/>
                          </a:xfrm>
                          <a:prstGeom prst="rect">
                            <a:avLst/>
                          </a:prstGeom>
                          <a:noFill/>
                          <a:ln>
                            <a:noFill/>
                          </a:ln>
                        </pic:spPr>
                      </pic:pic>
                    </a:graphicData>
                  </a:graphic>
                </wp:inline>
              </w:drawing>
            </w:r>
          </w:p>
          <w:p w14:paraId="073A7B97" w14:textId="77777777" w:rsidR="006D707F" w:rsidRPr="001A279D" w:rsidRDefault="006D707F" w:rsidP="00197B9C">
            <w:pPr>
              <w:pStyle w:val="E3BodyText"/>
              <w:rPr>
                <w:b/>
                <w:sz w:val="18"/>
                <w:szCs w:val="18"/>
                <w:lang w:val="en-NZ"/>
              </w:rPr>
            </w:pPr>
            <w:r w:rsidRPr="001A279D">
              <w:rPr>
                <w:b/>
                <w:sz w:val="18"/>
                <w:szCs w:val="18"/>
                <w:lang w:val="en-NZ"/>
              </w:rPr>
              <w:t>Refrigerated storage cabinet</w:t>
            </w:r>
          </w:p>
        </w:tc>
        <w:tc>
          <w:tcPr>
            <w:tcW w:w="4853" w:type="dxa"/>
            <w:hideMark/>
          </w:tcPr>
          <w:p w14:paraId="69A411DD" w14:textId="77777777" w:rsidR="006D707F" w:rsidRPr="00F24376" w:rsidRDefault="006D707F" w:rsidP="00197B9C">
            <w:pPr>
              <w:pStyle w:val="E3BodyText"/>
              <w:rPr>
                <w:b/>
                <w:sz w:val="19"/>
                <w:lang w:val="en-NZ"/>
              </w:rPr>
            </w:pPr>
            <w:r w:rsidRPr="00B57A40">
              <w:rPr>
                <w:b/>
                <w:noProof/>
                <w:sz w:val="19"/>
                <w:lang w:val="en-AU" w:eastAsia="en-AU"/>
              </w:rPr>
              <w:drawing>
                <wp:inline distT="0" distB="0" distL="0" distR="0" wp14:anchorId="4F9D3950" wp14:editId="5DAC939E">
                  <wp:extent cx="2203376" cy="1866900"/>
                  <wp:effectExtent l="0" t="0" r="6985" b="0"/>
                  <wp:docPr id="238" name="Picture 238" descr="Vertical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tical storage cabine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9580" cy="1872156"/>
                          </a:xfrm>
                          <a:prstGeom prst="rect">
                            <a:avLst/>
                          </a:prstGeom>
                          <a:noFill/>
                          <a:ln>
                            <a:noFill/>
                          </a:ln>
                        </pic:spPr>
                      </pic:pic>
                    </a:graphicData>
                  </a:graphic>
                </wp:inline>
              </w:drawing>
            </w:r>
          </w:p>
          <w:p w14:paraId="564E4C76" w14:textId="77777777" w:rsidR="006D707F" w:rsidRPr="0093208D" w:rsidRDefault="006D707F" w:rsidP="00197B9C">
            <w:pPr>
              <w:pStyle w:val="E3BodyText"/>
              <w:rPr>
                <w:b/>
                <w:sz w:val="18"/>
                <w:szCs w:val="18"/>
                <w:lang w:val="en-NZ"/>
              </w:rPr>
            </w:pPr>
            <w:r w:rsidRPr="001A279D">
              <w:rPr>
                <w:b/>
                <w:sz w:val="18"/>
                <w:szCs w:val="18"/>
                <w:lang w:val="en-NZ"/>
              </w:rPr>
              <w:t>Vertical r</w:t>
            </w:r>
            <w:r w:rsidRPr="0093208D">
              <w:rPr>
                <w:b/>
                <w:sz w:val="18"/>
                <w:szCs w:val="18"/>
                <w:lang w:val="en-NZ"/>
              </w:rPr>
              <w:t>efrigerated storage cabinet</w:t>
            </w:r>
          </w:p>
        </w:tc>
      </w:tr>
    </w:tbl>
    <w:p w14:paraId="23F85B95" w14:textId="7D1F0E09" w:rsidR="0034488E" w:rsidRDefault="0034488E" w:rsidP="006D707F">
      <w:pPr>
        <w:pStyle w:val="E3Heading1"/>
        <w:spacing w:line="360" w:lineRule="auto"/>
        <w:rPr>
          <w:rFonts w:eastAsia="Calibri" w:cs="Arial"/>
          <w:color w:val="000000" w:themeColor="text1"/>
          <w:sz w:val="32"/>
          <w:szCs w:val="26"/>
          <w:lang w:val="en-US"/>
        </w:rPr>
      </w:pPr>
    </w:p>
    <w:p w14:paraId="2B6A73AB" w14:textId="6E97869E" w:rsidR="0034488E" w:rsidRDefault="0034488E" w:rsidP="0034488E">
      <w:pPr>
        <w:pStyle w:val="E3BodyText"/>
      </w:pPr>
    </w:p>
    <w:p w14:paraId="46143D2E" w14:textId="77777777" w:rsidR="0034488E" w:rsidRPr="0034488E" w:rsidRDefault="0034488E" w:rsidP="0034488E">
      <w:pPr>
        <w:pStyle w:val="E3BodyText"/>
      </w:pPr>
    </w:p>
    <w:p w14:paraId="6F956FAD" w14:textId="4F2D9D4C" w:rsidR="006D707F" w:rsidRPr="006D707F" w:rsidRDefault="006D707F" w:rsidP="006D707F">
      <w:pPr>
        <w:pStyle w:val="E3Heading1"/>
        <w:spacing w:line="360" w:lineRule="auto"/>
        <w:rPr>
          <w:rFonts w:eastAsia="Calibri" w:cs="Arial"/>
          <w:color w:val="000000" w:themeColor="text1"/>
          <w:sz w:val="32"/>
          <w:szCs w:val="26"/>
          <w:lang w:val="en-US"/>
        </w:rPr>
      </w:pPr>
      <w:bookmarkStart w:id="31" w:name="_Toc500151784"/>
      <w:r w:rsidRPr="006D707F">
        <w:rPr>
          <w:rFonts w:eastAsia="Calibri" w:cs="Arial"/>
          <w:color w:val="000000" w:themeColor="text1"/>
          <w:sz w:val="32"/>
          <w:szCs w:val="26"/>
          <w:lang w:val="en-US"/>
        </w:rPr>
        <w:lastRenderedPageBreak/>
        <w:t>The Market</w:t>
      </w:r>
      <w:bookmarkEnd w:id="31"/>
    </w:p>
    <w:p w14:paraId="52EA2A8B" w14:textId="5C25CF6B" w:rsidR="006D707F" w:rsidRDefault="006D707F" w:rsidP="0034488E">
      <w:pPr>
        <w:pStyle w:val="E3BodyText"/>
        <w:jc w:val="both"/>
      </w:pPr>
      <w:r w:rsidRPr="0046124E">
        <w:t xml:space="preserve">The supply chain for </w:t>
      </w:r>
      <w:r w:rsidR="00C53DE3">
        <w:t>refrigerated display and storage cabinets is complex</w:t>
      </w:r>
      <w:r w:rsidRPr="0046124E">
        <w:t xml:space="preserve"> and ownership arrangements </w:t>
      </w:r>
      <w:r w:rsidR="00C53DE3">
        <w:t>vary</w:t>
      </w:r>
      <w:r w:rsidRPr="0046124E">
        <w:t xml:space="preserve">. Suppliers can be manufacturers or importers. </w:t>
      </w:r>
      <w:r w:rsidR="00C53DE3">
        <w:t xml:space="preserve"> Supermarkets and, to a lesser extent convenience stores are usually supplied by companies in long term relationships as preferred suppliers. </w:t>
      </w:r>
      <w:r w:rsidRPr="0046124E">
        <w:t>Larger companies may buy direct from factories without a “middleman” – or may become fleet owners (for example, beverage companies) who either hire out cabinets or install them for free. The buyer or hirer of the product may be motivated by factors other than energy efficiency such as up-front cost and may not be responsible for paying the electricity bill.</w:t>
      </w:r>
      <w:r w:rsidRPr="0046124E">
        <w:rPr>
          <w:rStyle w:val="FootnoteReference"/>
        </w:rPr>
        <w:footnoteReference w:id="8"/>
      </w:r>
    </w:p>
    <w:p w14:paraId="4ACCB976" w14:textId="77048720" w:rsidR="006D707F" w:rsidRPr="0046124E" w:rsidRDefault="006D707F" w:rsidP="0034488E">
      <w:pPr>
        <w:pStyle w:val="E3BodyText"/>
        <w:jc w:val="both"/>
      </w:pPr>
      <w:r w:rsidRPr="0046124E">
        <w:t>Chilled drinks cabinets (IVC4) occupy the largest share (48%) of the Australian and New Zealand cabinet market, followed by supermarket display cabinets with piped refrigeration that is located remotely (away from the shop floor). Plug in horizontal and vertical glass door fridges and freezers occupy a significant portion of the integral display cabinet types.  Storage cabinets (for catering</w:t>
      </w:r>
      <w:r w:rsidR="00C53DE3">
        <w:t xml:space="preserve"> and </w:t>
      </w:r>
      <w:r w:rsidRPr="0046124E">
        <w:t>hospitality) to</w:t>
      </w:r>
      <w:r>
        <w:t xml:space="preserve"> ac</w:t>
      </w:r>
      <w:r w:rsidRPr="0046124E">
        <w:t xml:space="preserve">count for approximately 20% of the </w:t>
      </w:r>
      <w:r>
        <w:t>refrigerated commercial</w:t>
      </w:r>
      <w:r w:rsidRPr="0046124E">
        <w:t xml:space="preserve"> cabinet market.</w:t>
      </w:r>
      <w:r>
        <w:rPr>
          <w:rStyle w:val="FootnoteReference"/>
        </w:rPr>
        <w:footnoteReference w:id="9"/>
      </w:r>
      <w:r w:rsidRPr="00D24F4A">
        <w:t xml:space="preserve"> </w:t>
      </w:r>
    </w:p>
    <w:p w14:paraId="64444859" w14:textId="77777777" w:rsidR="00C60257" w:rsidRDefault="006D707F" w:rsidP="00C60257">
      <w:pPr>
        <w:pStyle w:val="E3BodyText"/>
        <w:rPr>
          <w:b/>
        </w:rPr>
      </w:pPr>
      <w:r w:rsidRPr="0046124E">
        <w:t xml:space="preserve">The majority of wholesalers in Australia and New Zealand service both the hospitality and the retail industries, with refrigerated cabinets sourced from local and overseas manufacturers.  The length of the supply chain may mean that efficiency information, if available, would only get through to customers if </w:t>
      </w:r>
      <w:r w:rsidR="00A97BF6">
        <w:t>it was mandatory to provide it.</w:t>
      </w:r>
    </w:p>
    <w:p w14:paraId="65EC1863" w14:textId="01E2DA0A" w:rsidR="004D7532" w:rsidRPr="00E57738" w:rsidRDefault="00C60257" w:rsidP="00C60257">
      <w:pPr>
        <w:pStyle w:val="E3BodyText"/>
        <w:rPr>
          <w:b/>
          <w:bCs/>
        </w:rPr>
      </w:pPr>
      <w:r>
        <w:rPr>
          <w:b/>
        </w:rPr>
        <w:t>Figure</w:t>
      </w:r>
      <w:r w:rsidRPr="00C60257">
        <w:rPr>
          <w:b/>
        </w:rPr>
        <w:t xml:space="preserve"> 3</w:t>
      </w:r>
      <w:r w:rsidR="006D707F" w:rsidRPr="00795A52">
        <w:t xml:space="preserve"> </w:t>
      </w:r>
      <w:r w:rsidR="00A97BF6" w:rsidRPr="00795A52">
        <w:t>overleaf</w:t>
      </w:r>
      <w:r w:rsidR="006D707F" w:rsidRPr="00795A52">
        <w:t xml:space="preserve"> shows that in </w:t>
      </w:r>
      <w:r w:rsidR="00C53DE3" w:rsidRPr="00795A52">
        <w:t>some</w:t>
      </w:r>
      <w:r w:rsidR="006D707F" w:rsidRPr="00795A52">
        <w:t xml:space="preserve"> instances the “importer” and the “manufacturer” are also distributors. Fleet owners (particularly large end users like beverage companies) usually offer free placement of logo-carrying display cabinets to other end users, while rental or lease companies offer “plain” refrigerated display cabinets.</w:t>
      </w:r>
      <w:bookmarkStart w:id="32" w:name="_Ref449959223"/>
      <w:bookmarkStart w:id="33" w:name="_Toc449709064"/>
      <w:bookmarkStart w:id="34" w:name="_Toc494142471"/>
      <w:r w:rsidR="006D707F" w:rsidRPr="00795A52">
        <w:t xml:space="preserve"> </w:t>
      </w:r>
      <w:bookmarkStart w:id="35" w:name="_Toc495045824"/>
    </w:p>
    <w:p w14:paraId="5E0E622C" w14:textId="77777777" w:rsidR="00450F60" w:rsidRDefault="00450F60">
      <w:pPr>
        <w:spacing w:after="0" w:line="240" w:lineRule="auto"/>
        <w:sectPr w:rsidR="00450F60" w:rsidSect="00B8506B">
          <w:type w:val="continuous"/>
          <w:pgSz w:w="11907" w:h="16840" w:code="9"/>
          <w:pgMar w:top="1134" w:right="1134" w:bottom="1418" w:left="1134" w:header="709" w:footer="709" w:gutter="0"/>
          <w:pgNumType w:start="7"/>
          <w:cols w:space="720"/>
          <w:titlePg/>
          <w:docGrid w:linePitch="360"/>
        </w:sectPr>
      </w:pPr>
    </w:p>
    <w:p w14:paraId="33D73485" w14:textId="77777777" w:rsidR="003D515D" w:rsidRDefault="003D515D">
      <w:pPr>
        <w:spacing w:after="0" w:line="240" w:lineRule="auto"/>
        <w:rPr>
          <w:b/>
          <w:bCs/>
          <w:sz w:val="20"/>
          <w:szCs w:val="20"/>
          <w:lang w:val="en-US"/>
        </w:rPr>
      </w:pPr>
    </w:p>
    <w:p w14:paraId="311C1957" w14:textId="77777777" w:rsidR="003D515D" w:rsidRDefault="003D515D">
      <w:pPr>
        <w:spacing w:after="0" w:line="240" w:lineRule="auto"/>
        <w:rPr>
          <w:b/>
          <w:bCs/>
          <w:sz w:val="20"/>
          <w:szCs w:val="20"/>
          <w:lang w:val="en-US"/>
        </w:rPr>
      </w:pPr>
      <w:r>
        <w:rPr>
          <w:b/>
          <w:bCs/>
          <w:sz w:val="20"/>
          <w:szCs w:val="20"/>
          <w:lang w:val="en-US"/>
        </w:rPr>
        <w:br w:type="page"/>
      </w:r>
    </w:p>
    <w:p w14:paraId="7DCE62C0" w14:textId="62069201" w:rsidR="003D515D" w:rsidRDefault="003D515D">
      <w:pPr>
        <w:spacing w:after="0" w:line="240" w:lineRule="auto"/>
        <w:rPr>
          <w:b/>
          <w:bCs/>
          <w:sz w:val="20"/>
          <w:szCs w:val="20"/>
          <w:lang w:val="en-US"/>
        </w:rPr>
      </w:pPr>
    </w:p>
    <w:p w14:paraId="731A4347" w14:textId="06D741A6" w:rsidR="006D707F" w:rsidRPr="00A929F6" w:rsidRDefault="006D707F" w:rsidP="00A929F6">
      <w:pPr>
        <w:pStyle w:val="E3Figuretitles"/>
      </w:pPr>
      <w:r w:rsidRPr="00A929F6">
        <w:t xml:space="preserve">Figure </w:t>
      </w:r>
      <w:bookmarkEnd w:id="32"/>
      <w:r w:rsidR="00E05C54">
        <w:t>3</w:t>
      </w:r>
      <w:r w:rsidRPr="00A929F6">
        <w:t>: Refrigerated commercial cabinet supply chain.</w:t>
      </w:r>
      <w:bookmarkEnd w:id="33"/>
      <w:bookmarkEnd w:id="34"/>
      <w:bookmarkEnd w:id="35"/>
    </w:p>
    <w:p w14:paraId="5193EA6F" w14:textId="77777777" w:rsidR="006D707F" w:rsidRPr="00E106C8" w:rsidRDefault="006D707F" w:rsidP="006D707F">
      <w:pPr>
        <w:pStyle w:val="E3BodyText"/>
      </w:pPr>
      <w:r>
        <w:rPr>
          <w:noProof/>
          <w:lang w:val="en-AU" w:eastAsia="en-AU"/>
        </w:rPr>
        <w:drawing>
          <wp:inline distT="0" distB="0" distL="0" distR="0" wp14:anchorId="40A80145" wp14:editId="1EDE71B0">
            <wp:extent cx="6469380" cy="3352800"/>
            <wp:effectExtent l="0" t="0" r="6350" b="0"/>
            <wp:docPr id="70" name="Picture 3" descr="Both importers and manufacturers supply cabinets and/or components to a wide range of refrigeration us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th importers and manufacturers supply cabinets and/or components to a wide range of refrigeration users.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69380" cy="3352800"/>
                    </a:xfrm>
                    <a:prstGeom prst="rect">
                      <a:avLst/>
                    </a:prstGeom>
                    <a:noFill/>
                    <a:ln>
                      <a:noFill/>
                    </a:ln>
                  </pic:spPr>
                </pic:pic>
              </a:graphicData>
            </a:graphic>
          </wp:inline>
        </w:drawing>
      </w:r>
    </w:p>
    <w:p w14:paraId="3295970A" w14:textId="77777777" w:rsidR="006D707F" w:rsidRDefault="006D707F" w:rsidP="006D707F">
      <w:pPr>
        <w:pStyle w:val="E3BodyText"/>
      </w:pPr>
    </w:p>
    <w:p w14:paraId="2FD037FF" w14:textId="45D77C76" w:rsidR="006D707F" w:rsidRPr="0046124E" w:rsidRDefault="00C53DE3" w:rsidP="0034488E">
      <w:pPr>
        <w:pStyle w:val="E3BodyText"/>
        <w:jc w:val="both"/>
      </w:pPr>
      <w:r>
        <w:t xml:space="preserve">Most </w:t>
      </w:r>
      <w:r w:rsidRPr="00652A71">
        <w:t xml:space="preserve">refrigerated display and storage cabinets </w:t>
      </w:r>
      <w:r>
        <w:t>are imported</w:t>
      </w:r>
      <w:r w:rsidR="006D707F" w:rsidRPr="0046124E">
        <w:t xml:space="preserve"> with more than 80% coming from Asia, notably China. The same factories </w:t>
      </w:r>
      <w:r>
        <w:t>also</w:t>
      </w:r>
      <w:r w:rsidRPr="0046124E">
        <w:t xml:space="preserve"> manufacture</w:t>
      </w:r>
      <w:r w:rsidR="006D707F" w:rsidRPr="0046124E">
        <w:t xml:space="preserve"> for Europe</w:t>
      </w:r>
      <w:r w:rsidR="006D707F" w:rsidRPr="0046124E">
        <w:rPr>
          <w:rStyle w:val="FootnoteReference"/>
        </w:rPr>
        <w:footnoteReference w:id="10"/>
      </w:r>
      <w:r w:rsidR="006D707F" w:rsidRPr="0046124E">
        <w:t>. Approximately 15%</w:t>
      </w:r>
      <w:r w:rsidR="00221867">
        <w:t xml:space="preserve"> </w:t>
      </w:r>
      <w:r>
        <w:t>of cabinets are</w:t>
      </w:r>
      <w:r w:rsidR="006D707F" w:rsidRPr="0046124E">
        <w:t xml:space="preserve"> imported from Europe, 2% from North America and 0.5% from South Africa. Factories can </w:t>
      </w:r>
      <w:r w:rsidR="006D707F">
        <w:t>manufacture</w:t>
      </w:r>
      <w:r w:rsidR="006D707F" w:rsidRPr="0046124E">
        <w:t xml:space="preserve"> to Australasian specifications (</w:t>
      </w:r>
      <w:r w:rsidR="006D707F">
        <w:t xml:space="preserve">including </w:t>
      </w:r>
      <w:r w:rsidR="006D707F" w:rsidRPr="0046124E">
        <w:t>regulatory requirements or supplier’s design</w:t>
      </w:r>
      <w:r w:rsidR="006D707F">
        <w:t>).</w:t>
      </w:r>
      <w:r w:rsidR="006D707F" w:rsidRPr="0046124E">
        <w:t xml:space="preserve"> </w:t>
      </w:r>
    </w:p>
    <w:p w14:paraId="593F85BD" w14:textId="31C3304B" w:rsidR="006D707F" w:rsidRDefault="006D707F" w:rsidP="0034488E">
      <w:pPr>
        <w:pStyle w:val="E3BodyText"/>
        <w:jc w:val="both"/>
      </w:pPr>
      <w:r w:rsidRPr="0046124E">
        <w:t xml:space="preserve">Feedback from the product profile consultation showed that </w:t>
      </w:r>
      <w:r w:rsidR="0042071D">
        <w:t>man</w:t>
      </w:r>
      <w:r w:rsidR="000D6199">
        <w:t>y</w:t>
      </w:r>
      <w:r w:rsidRPr="0046124E">
        <w:t xml:space="preserve"> believe it </w:t>
      </w:r>
      <w:r>
        <w:t xml:space="preserve">is not </w:t>
      </w:r>
      <w:r w:rsidRPr="0046124E">
        <w:t xml:space="preserve">economic to manufacture to an Australian </w:t>
      </w:r>
      <w:r>
        <w:t>local</w:t>
      </w:r>
      <w:r w:rsidRPr="0046124E">
        <w:t xml:space="preserve"> standard and </w:t>
      </w:r>
      <w:r>
        <w:t>international</w:t>
      </w:r>
      <w:r w:rsidRPr="0046124E">
        <w:t xml:space="preserve"> harmonisation is realistic. They want assurance that an international efficiency standard is actually being met and do not want to incur </w:t>
      </w:r>
      <w:r w:rsidR="000D6199">
        <w:t>additional</w:t>
      </w:r>
      <w:r w:rsidRPr="0046124E">
        <w:t xml:space="preserve"> costs for “small runs” manufactured specifically for the Australasian market.</w:t>
      </w:r>
    </w:p>
    <w:p w14:paraId="74FA837E" w14:textId="12BDB9C1" w:rsidR="006D707F" w:rsidRDefault="006D707F" w:rsidP="0034488E">
      <w:pPr>
        <w:pStyle w:val="E3BodyText"/>
        <w:jc w:val="both"/>
      </w:pPr>
      <w:r w:rsidRPr="0046124E">
        <w:t xml:space="preserve">Over the past 6 to 8 years (while the E3 program has been in operation for refrigerated cabinets), more than 500 different companies supplied the Australian market. </w:t>
      </w:r>
    </w:p>
    <w:p w14:paraId="4836E23A" w14:textId="77777777" w:rsidR="00243B70" w:rsidRDefault="00243B70" w:rsidP="0034488E">
      <w:pPr>
        <w:pStyle w:val="E3BodyText"/>
        <w:jc w:val="both"/>
      </w:pPr>
    </w:p>
    <w:p w14:paraId="0E6FC796" w14:textId="77777777" w:rsidR="000D6199" w:rsidRDefault="000D6199" w:rsidP="0034488E">
      <w:pPr>
        <w:pStyle w:val="E3BodyText"/>
        <w:jc w:val="both"/>
      </w:pPr>
    </w:p>
    <w:p w14:paraId="065B98D0" w14:textId="77777777" w:rsidR="007D0C3E" w:rsidRDefault="007D0C3E" w:rsidP="0034488E">
      <w:pPr>
        <w:pStyle w:val="E3BodyText"/>
        <w:jc w:val="both"/>
      </w:pPr>
    </w:p>
    <w:p w14:paraId="49935ED3" w14:textId="65DDBAFE" w:rsidR="006D707F" w:rsidRPr="0046124E" w:rsidRDefault="0005138A" w:rsidP="0034488E">
      <w:pPr>
        <w:pStyle w:val="E3BodyText"/>
        <w:jc w:val="both"/>
      </w:pPr>
      <w:r>
        <w:lastRenderedPageBreak/>
        <w:t>Of these</w:t>
      </w:r>
      <w:r w:rsidR="006D707F" w:rsidRPr="0046124E">
        <w:t xml:space="preserve"> </w:t>
      </w:r>
      <w:r>
        <w:t>500</w:t>
      </w:r>
      <w:r w:rsidR="006D707F" w:rsidRPr="0046124E">
        <w:t xml:space="preserve"> companies:</w:t>
      </w:r>
    </w:p>
    <w:p w14:paraId="35A9ADC7" w14:textId="77777777" w:rsidR="006D707F" w:rsidRPr="00104ACE" w:rsidRDefault="006D707F" w:rsidP="0034488E">
      <w:pPr>
        <w:pStyle w:val="E3Bullets"/>
        <w:jc w:val="both"/>
      </w:pPr>
      <w:r w:rsidRPr="00104ACE">
        <w:t>the top 10 importers accounted for around 60% of imports</w:t>
      </w:r>
    </w:p>
    <w:p w14:paraId="497C7F10" w14:textId="77777777" w:rsidR="006D707F" w:rsidRPr="00104ACE" w:rsidRDefault="006D707F" w:rsidP="0034488E">
      <w:pPr>
        <w:pStyle w:val="E3Bullets"/>
        <w:jc w:val="both"/>
      </w:pPr>
      <w:r w:rsidRPr="00104ACE">
        <w:t>the top 20 importers accounted for more than 75% of imports</w:t>
      </w:r>
    </w:p>
    <w:p w14:paraId="48236580" w14:textId="77777777" w:rsidR="006D707F" w:rsidRPr="00104ACE" w:rsidRDefault="006D707F" w:rsidP="0034488E">
      <w:pPr>
        <w:pStyle w:val="E3Bullets"/>
        <w:jc w:val="both"/>
      </w:pPr>
      <w:r w:rsidRPr="00104ACE">
        <w:t>250 companies (approximately half of those operating in the market) imported less than 20 units, of which 200 companies imported less than 10 units.</w:t>
      </w:r>
    </w:p>
    <w:p w14:paraId="10F9AD6E" w14:textId="551CDEDE" w:rsidR="006D707F" w:rsidRPr="0046124E" w:rsidRDefault="006D707F" w:rsidP="0034488E">
      <w:pPr>
        <w:pStyle w:val="E3BodyText"/>
        <w:jc w:val="both"/>
      </w:pPr>
      <w:r w:rsidRPr="0046124E">
        <w:t xml:space="preserve">The New Zealand market is similar but on a smaller scale with a core group of committed companies making up a significant portion of the market (plus a long tail of miscellaneous importers). See </w:t>
      </w:r>
      <w:r w:rsidR="00803448">
        <w:rPr>
          <w:b/>
        </w:rPr>
        <w:t>Attachment D</w:t>
      </w:r>
      <w:r w:rsidRPr="0046124E">
        <w:rPr>
          <w:b/>
        </w:rPr>
        <w:t xml:space="preserve"> </w:t>
      </w:r>
      <w:r w:rsidRPr="0046124E">
        <w:t>for a full list of Australian and New Zealand manufacturers and importers.</w:t>
      </w:r>
    </w:p>
    <w:p w14:paraId="557F04D7" w14:textId="0F1A651F" w:rsidR="006D707F" w:rsidRPr="0046124E" w:rsidRDefault="0005138A" w:rsidP="0034488E">
      <w:pPr>
        <w:pStyle w:val="E3BodyText"/>
        <w:jc w:val="both"/>
      </w:pPr>
      <w:r w:rsidRPr="0046124E">
        <w:t xml:space="preserve">Over recent years, local manufacturers of display cabinets have </w:t>
      </w:r>
      <w:r>
        <w:t>experienced</w:t>
      </w:r>
      <w:r w:rsidRPr="0046124E">
        <w:t xml:space="preserve"> more challenging business conditions and increasing competition from imported products</w:t>
      </w:r>
      <w:r>
        <w:t xml:space="preserve">. </w:t>
      </w:r>
      <w:r w:rsidR="006D707F" w:rsidRPr="0046124E">
        <w:t>The local manufacturing base is small. All cabinets manufactured in Australia and New Zealand now use some imported components. Stainless steel sheeting for cases is usually imported and some cabinets have pre-made evaporator units fitted into locally-made cases.</w:t>
      </w:r>
    </w:p>
    <w:p w14:paraId="04E98892" w14:textId="1250FD2F" w:rsidR="006D707F" w:rsidRPr="0046124E" w:rsidRDefault="006D707F" w:rsidP="0034488E">
      <w:pPr>
        <w:pStyle w:val="E3BodyText"/>
        <w:jc w:val="both"/>
      </w:pPr>
      <w:r w:rsidRPr="0046124E">
        <w:t>Most integral (self-contained storage and display) cabinets are imported intact</w:t>
      </w:r>
      <w:r>
        <w:t xml:space="preserve"> and are </w:t>
      </w:r>
      <w:r w:rsidRPr="0046124E">
        <w:t xml:space="preserve">ready to operate with no modifications required. Some remote cabinets (for example, supermarket multi-deck and horizontal types) are imported partially assembled and fitted on site. </w:t>
      </w:r>
    </w:p>
    <w:p w14:paraId="0E290210" w14:textId="7ABEDEC5" w:rsidR="006D707F" w:rsidRPr="0046124E" w:rsidRDefault="0005138A" w:rsidP="0034488E">
      <w:pPr>
        <w:pStyle w:val="E3BodyText"/>
        <w:jc w:val="both"/>
      </w:pPr>
      <w:r>
        <w:t>Australia and New Zealand</w:t>
      </w:r>
      <w:r w:rsidR="006D707F" w:rsidRPr="0046124E">
        <w:t xml:space="preserve"> trade refrigerated </w:t>
      </w:r>
      <w:r w:rsidR="006D707F">
        <w:t xml:space="preserve">commercial </w:t>
      </w:r>
      <w:r w:rsidR="006D707F" w:rsidRPr="0046124E">
        <w:t xml:space="preserve">cabinets with each other, with </w:t>
      </w:r>
      <w:r>
        <w:t>most</w:t>
      </w:r>
      <w:r w:rsidR="006D707F" w:rsidRPr="0046124E">
        <w:t xml:space="preserve"> being traded from New Zealand to Australia. This is important when considering where the costs of </w:t>
      </w:r>
      <w:r>
        <w:t>are</w:t>
      </w:r>
      <w:r w:rsidR="006D707F" w:rsidRPr="0046124E">
        <w:t xml:space="preserve"> borne. </w:t>
      </w:r>
    </w:p>
    <w:p w14:paraId="5640DC0E" w14:textId="77777777" w:rsidR="006D707F" w:rsidRPr="001A279D" w:rsidRDefault="006D707F" w:rsidP="0034488E">
      <w:pPr>
        <w:pStyle w:val="E3Heading4"/>
        <w:jc w:val="both"/>
      </w:pPr>
      <w:bookmarkStart w:id="36" w:name="_Toc449708763"/>
      <w:bookmarkStart w:id="37" w:name="_Toc494897956"/>
      <w:bookmarkStart w:id="38" w:name="_Toc494955752"/>
      <w:bookmarkStart w:id="39" w:name="_Toc494959560"/>
      <w:bookmarkStart w:id="40" w:name="_Toc494972686"/>
      <w:bookmarkStart w:id="41" w:name="_Toc494973873"/>
      <w:bookmarkStart w:id="42" w:name="_Toc494974562"/>
      <w:r w:rsidRPr="001A279D">
        <w:t>Stock and sales</w:t>
      </w:r>
      <w:bookmarkEnd w:id="36"/>
      <w:bookmarkEnd w:id="37"/>
      <w:bookmarkEnd w:id="38"/>
      <w:bookmarkEnd w:id="39"/>
      <w:bookmarkEnd w:id="40"/>
      <w:bookmarkEnd w:id="41"/>
      <w:bookmarkEnd w:id="42"/>
    </w:p>
    <w:p w14:paraId="1146E06D" w14:textId="077513F2" w:rsidR="006D707F" w:rsidRPr="0046124E" w:rsidRDefault="0005138A" w:rsidP="0034488E">
      <w:pPr>
        <w:pStyle w:val="E3BodyText"/>
        <w:jc w:val="both"/>
      </w:pPr>
      <w:r>
        <w:t xml:space="preserve"> The </w:t>
      </w:r>
      <w:r w:rsidR="006D707F">
        <w:t>Australasian s</w:t>
      </w:r>
      <w:r w:rsidR="006D707F" w:rsidRPr="0041262C">
        <w:t xml:space="preserve">tock of refrigerated display and storage cabinets is </w:t>
      </w:r>
      <w:r>
        <w:t>expected</w:t>
      </w:r>
      <w:r w:rsidRPr="0041262C">
        <w:t xml:space="preserve"> </w:t>
      </w:r>
      <w:r w:rsidR="006D707F" w:rsidRPr="0041262C">
        <w:t xml:space="preserve">to grow from around </w:t>
      </w:r>
      <w:r w:rsidR="006D707F">
        <w:t>972</w:t>
      </w:r>
      <w:r w:rsidR="006D707F" w:rsidRPr="0041262C">
        <w:t>,000 units in 201</w:t>
      </w:r>
      <w:r w:rsidR="006D707F">
        <w:t>5</w:t>
      </w:r>
      <w:r w:rsidR="006D707F" w:rsidRPr="0041262C">
        <w:t xml:space="preserve"> to approximately 1.</w:t>
      </w:r>
      <w:r w:rsidR="006D707F">
        <w:t>5</w:t>
      </w:r>
      <w:r w:rsidR="006D707F" w:rsidRPr="0041262C">
        <w:t xml:space="preserve"> million units in 203</w:t>
      </w:r>
      <w:r w:rsidR="006D707F">
        <w:t>5</w:t>
      </w:r>
      <w:r w:rsidR="006D707F" w:rsidRPr="0041262C">
        <w:t xml:space="preserve">. </w:t>
      </w:r>
    </w:p>
    <w:p w14:paraId="671C792E" w14:textId="00CDF8F8" w:rsidR="006D707F" w:rsidRPr="0046124E" w:rsidRDefault="0005138A" w:rsidP="0034488E">
      <w:pPr>
        <w:pStyle w:val="E3BodyText"/>
        <w:jc w:val="both"/>
      </w:pPr>
      <w:r>
        <w:t>(</w:t>
      </w:r>
      <w:r w:rsidR="006D707F" w:rsidRPr="0046124E">
        <w:t xml:space="preserve">See </w:t>
      </w:r>
      <w:r w:rsidR="00803448">
        <w:rPr>
          <w:b/>
        </w:rPr>
        <w:t>Attachments A, B</w:t>
      </w:r>
      <w:r w:rsidR="006D707F" w:rsidRPr="0046124E">
        <w:rPr>
          <w:b/>
        </w:rPr>
        <w:t xml:space="preserve"> </w:t>
      </w:r>
      <w:r w:rsidR="006D707F" w:rsidRPr="0046124E">
        <w:t xml:space="preserve">and </w:t>
      </w:r>
      <w:r w:rsidR="00803448">
        <w:rPr>
          <w:b/>
        </w:rPr>
        <w:t>C</w:t>
      </w:r>
      <w:r w:rsidR="006D707F" w:rsidRPr="0046124E">
        <w:rPr>
          <w:b/>
        </w:rPr>
        <w:t xml:space="preserve"> </w:t>
      </w:r>
      <w:r w:rsidR="006D707F" w:rsidRPr="0046124E">
        <w:t xml:space="preserve">for more detailed information about Australian and New </w:t>
      </w:r>
      <w:r w:rsidR="00C946B3">
        <w:t>Zealand stock (by major sectors</w:t>
      </w:r>
      <w:r w:rsidR="006D707F" w:rsidRPr="0046124E">
        <w:t xml:space="preserve"> and stock analysis.</w:t>
      </w:r>
      <w:r>
        <w:t>)</w:t>
      </w:r>
    </w:p>
    <w:p w14:paraId="4A61D3C5" w14:textId="77777777" w:rsidR="006D707F" w:rsidRPr="0046124E" w:rsidRDefault="006D707F" w:rsidP="0034488E">
      <w:pPr>
        <w:pStyle w:val="E3BodyText"/>
        <w:jc w:val="both"/>
      </w:pPr>
      <w:r w:rsidRPr="0046124E">
        <w:t xml:space="preserve">Three methods were used to estimate and cross check the existing stock and sales estimates of equipment in Australia and New Zealand, making use of industry knowledge and previous reports. These methods were: </w:t>
      </w:r>
    </w:p>
    <w:p w14:paraId="26060249" w14:textId="77777777" w:rsidR="006D707F" w:rsidRPr="00F20882" w:rsidRDefault="006D707F" w:rsidP="0034488E">
      <w:pPr>
        <w:pStyle w:val="E3Bullets"/>
        <w:jc w:val="both"/>
      </w:pPr>
      <w:r w:rsidRPr="00F20882">
        <w:t>Modelling aggregated sales data estimates by cabinet type, average lifespans and growth rates to predict stock from 2000 to 2030 (this is considered to be the most reliable estimate available.)</w:t>
      </w:r>
    </w:p>
    <w:p w14:paraId="4F927C91" w14:textId="77777777" w:rsidR="006D707F" w:rsidRPr="00F20882" w:rsidRDefault="006D707F" w:rsidP="0034488E">
      <w:pPr>
        <w:pStyle w:val="E3Bullets"/>
        <w:jc w:val="both"/>
      </w:pPr>
      <w:r w:rsidRPr="00F20882">
        <w:t>Stock estimated using the number of outlets where these cabinets are used, multiplied by the number of each type (i.e. integral display cabinet; remote display cabinet and storage cabinet).</w:t>
      </w:r>
    </w:p>
    <w:p w14:paraId="41C19C8B" w14:textId="432DD69C" w:rsidR="006D707F" w:rsidRPr="00F20882" w:rsidRDefault="006D707F" w:rsidP="0034488E">
      <w:pPr>
        <w:pStyle w:val="E3Bullets"/>
        <w:jc w:val="both"/>
      </w:pPr>
      <w:r w:rsidRPr="00F20882">
        <w:t>Estimating the Australian and New Zealand stock bas</w:t>
      </w:r>
      <w:r w:rsidR="00120A42">
        <w:t>ed on scaling Ecodesign 2013 EU</w:t>
      </w:r>
      <w:r w:rsidR="00120A42">
        <w:noBreakHyphen/>
      </w:r>
      <w:r w:rsidRPr="00F20882">
        <w:t>28 stock on a per capita basis.</w:t>
      </w:r>
    </w:p>
    <w:p w14:paraId="78C6E7D0" w14:textId="77777777" w:rsidR="0034488E" w:rsidRDefault="0034488E" w:rsidP="006D707F">
      <w:pPr>
        <w:pStyle w:val="E3Heading4"/>
      </w:pPr>
    </w:p>
    <w:p w14:paraId="3B9F607B" w14:textId="4C0B09B3" w:rsidR="006D707F" w:rsidRDefault="006D707F" w:rsidP="006D707F">
      <w:pPr>
        <w:pStyle w:val="E3Heading4"/>
      </w:pPr>
      <w:r w:rsidRPr="001A279D">
        <w:lastRenderedPageBreak/>
        <w:t xml:space="preserve">How much energy do </w:t>
      </w:r>
      <w:r w:rsidRPr="0093208D">
        <w:t>refrigerated commercial cabinets use?</w:t>
      </w:r>
    </w:p>
    <w:p w14:paraId="6C451C4F" w14:textId="3824EFB4" w:rsidR="006D707F" w:rsidRPr="0046124E" w:rsidRDefault="006D707F" w:rsidP="0034488E">
      <w:pPr>
        <w:pStyle w:val="E3BodyText"/>
        <w:jc w:val="both"/>
        <w:rPr>
          <w:color w:val="C1001A" w:themeColor="accent1"/>
        </w:rPr>
      </w:pPr>
      <w:r w:rsidRPr="0046124E">
        <w:t xml:space="preserve">Display cabinets have been regulated since 2004 and their energy use and sales </w:t>
      </w:r>
      <w:r w:rsidR="0005138A">
        <w:t xml:space="preserve">are </w:t>
      </w:r>
      <w:r>
        <w:t xml:space="preserve">able to be </w:t>
      </w:r>
      <w:r w:rsidRPr="0046124E">
        <w:t>tracked in New Zealand under sales collection legislation.</w:t>
      </w:r>
      <w:r>
        <w:rPr>
          <w:rStyle w:val="FootnoteReference"/>
        </w:rPr>
        <w:footnoteReference w:id="11"/>
      </w:r>
      <w:r w:rsidRPr="0046124E">
        <w:t xml:space="preserve"> This </w:t>
      </w:r>
      <w:r>
        <w:t xml:space="preserve">has </w:t>
      </w:r>
      <w:r w:rsidRPr="0046124E">
        <w:t>enabled cross-checking and standardising of baseline energy use modelling and graphs</w:t>
      </w:r>
      <w:r w:rsidRPr="0046124E">
        <w:rPr>
          <w:color w:val="C1001A" w:themeColor="accent1"/>
        </w:rPr>
        <w:t xml:space="preserve">.  </w:t>
      </w:r>
    </w:p>
    <w:p w14:paraId="0A30DFFC" w14:textId="2A82C7DC" w:rsidR="006D707F" w:rsidRDefault="006D707F" w:rsidP="0034488E">
      <w:pPr>
        <w:pStyle w:val="E3BodyText"/>
        <w:jc w:val="both"/>
      </w:pPr>
      <w:r w:rsidRPr="0041262C">
        <w:t xml:space="preserve">At present the stock of refrigerated commercial cabinets in Australia and New Zealand is estimated to be using </w:t>
      </w:r>
      <w:r>
        <w:t>7426GW</w:t>
      </w:r>
      <w:r w:rsidRPr="0041262C">
        <w:t>h of energy per annum</w:t>
      </w:r>
      <w:r w:rsidR="0005138A">
        <w:t>.</w:t>
      </w:r>
      <w:r w:rsidRPr="0041262C">
        <w:t xml:space="preserve"> </w:t>
      </w:r>
      <w:r w:rsidR="0005138A">
        <w:t>B</w:t>
      </w:r>
      <w:r w:rsidRPr="0041262C">
        <w:t xml:space="preserve">y 2035 this is expected to increase to </w:t>
      </w:r>
      <w:r>
        <w:t>9077</w:t>
      </w:r>
      <w:r w:rsidRPr="0041262C">
        <w:t xml:space="preserve">GWh per annum. See </w:t>
      </w:r>
      <w:r w:rsidRPr="0041262C">
        <w:rPr>
          <w:b/>
        </w:rPr>
        <w:t>Figure 4</w:t>
      </w:r>
      <w:r w:rsidRPr="0041262C">
        <w:t xml:space="preserve"> below for the increase in annual energy consumption of refrigerated commercial cabinets out to 2035.</w:t>
      </w:r>
    </w:p>
    <w:p w14:paraId="71B596D7" w14:textId="23925173" w:rsidR="006D707F" w:rsidRPr="00FC29FD" w:rsidRDefault="006D707F" w:rsidP="00A929F6">
      <w:pPr>
        <w:pStyle w:val="E3Figuretitles"/>
      </w:pPr>
      <w:bookmarkStart w:id="43" w:name="_Toc495045825"/>
      <w:r w:rsidRPr="00A61D8F">
        <w:t xml:space="preserve">Figure </w:t>
      </w:r>
      <w:r w:rsidR="00E05C54">
        <w:t>4</w:t>
      </w:r>
      <w:r w:rsidRPr="00A61D8F">
        <w:t>: estimated annual BAU energy consumption of refrigerated display and storage cabinets (by category) in Australia and New Zealand to 2016 and projected to 2035</w:t>
      </w:r>
      <w:r>
        <w:t>.</w:t>
      </w:r>
      <w:bookmarkEnd w:id="43"/>
    </w:p>
    <w:p w14:paraId="5E689783" w14:textId="77777777" w:rsidR="006D707F" w:rsidRDefault="006D707F" w:rsidP="006D707F">
      <w:pPr>
        <w:pStyle w:val="E3BodyText"/>
        <w:rPr>
          <w:b/>
          <w:bCs/>
          <w:sz w:val="18"/>
          <w:szCs w:val="20"/>
        </w:rPr>
      </w:pPr>
    </w:p>
    <w:p w14:paraId="6D895B86" w14:textId="77777777" w:rsidR="006D707F" w:rsidRPr="00FC29FD" w:rsidRDefault="006D707F" w:rsidP="006D707F">
      <w:pPr>
        <w:pStyle w:val="E3BodyText"/>
        <w:rPr>
          <w:b/>
          <w:bCs/>
          <w:sz w:val="18"/>
          <w:szCs w:val="20"/>
        </w:rPr>
      </w:pPr>
      <w:r>
        <w:rPr>
          <w:noProof/>
          <w:lang w:val="en-AU" w:eastAsia="en-AU"/>
        </w:rPr>
        <w:drawing>
          <wp:inline distT="0" distB="0" distL="0" distR="0" wp14:anchorId="6EF1B3FF" wp14:editId="7ECAD50E">
            <wp:extent cx="5972400" cy="3790800"/>
            <wp:effectExtent l="0" t="0" r="0" b="635"/>
            <wp:docPr id="252" name="Picture 252" descr="This figure shows the estimated annual energy consumption of Australasian refrigerated display and storage cabinets from 2000 to 2016 and projected out to 2035 - based on a business as usual scenario (i.e. if nothing changes). It shows that energy consumption has steadily increased and is projected to continue to do so." title="Estimated annual energy consumption"/>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2400" cy="3790800"/>
                    </a:xfrm>
                    <a:prstGeom prst="rect">
                      <a:avLst/>
                    </a:prstGeom>
                    <a:noFill/>
                    <a:ln>
                      <a:noFill/>
                    </a:ln>
                  </pic:spPr>
                </pic:pic>
              </a:graphicData>
            </a:graphic>
          </wp:inline>
        </w:drawing>
      </w:r>
    </w:p>
    <w:p w14:paraId="3E716E67" w14:textId="77777777" w:rsidR="0034488E" w:rsidRDefault="0034488E" w:rsidP="006D707F">
      <w:pPr>
        <w:pStyle w:val="E3Heading4"/>
      </w:pPr>
      <w:bookmarkStart w:id="44" w:name="_Toc449708764"/>
      <w:bookmarkStart w:id="45" w:name="_Toc494897957"/>
      <w:bookmarkStart w:id="46" w:name="_Toc494955753"/>
      <w:bookmarkStart w:id="47" w:name="_Toc494959561"/>
      <w:bookmarkStart w:id="48" w:name="_Toc494972687"/>
      <w:bookmarkStart w:id="49" w:name="_Toc494973874"/>
      <w:bookmarkStart w:id="50" w:name="_Toc494974563"/>
    </w:p>
    <w:p w14:paraId="301536E5" w14:textId="77777777" w:rsidR="0034488E" w:rsidRDefault="0034488E" w:rsidP="006D707F">
      <w:pPr>
        <w:pStyle w:val="E3Heading4"/>
      </w:pPr>
    </w:p>
    <w:p w14:paraId="4AD31BCC" w14:textId="77777777" w:rsidR="0034488E" w:rsidRDefault="0034488E" w:rsidP="006D707F">
      <w:pPr>
        <w:pStyle w:val="E3Heading4"/>
      </w:pPr>
    </w:p>
    <w:p w14:paraId="3DE844E9" w14:textId="77777777" w:rsidR="0034488E" w:rsidRDefault="0034488E" w:rsidP="006D707F">
      <w:pPr>
        <w:pStyle w:val="E3Heading4"/>
      </w:pPr>
    </w:p>
    <w:p w14:paraId="788D8595" w14:textId="77777777" w:rsidR="00EA233A" w:rsidRDefault="00EA233A" w:rsidP="006D707F">
      <w:pPr>
        <w:pStyle w:val="E3Heading4"/>
      </w:pPr>
    </w:p>
    <w:p w14:paraId="25E1F343" w14:textId="77777777" w:rsidR="007D0C3E" w:rsidRDefault="007D0C3E" w:rsidP="006D707F">
      <w:pPr>
        <w:pStyle w:val="E3Heading4"/>
      </w:pPr>
    </w:p>
    <w:p w14:paraId="498902D7" w14:textId="3B076607" w:rsidR="006D707F" w:rsidRPr="0093208D" w:rsidRDefault="006D707F" w:rsidP="006D707F">
      <w:pPr>
        <w:pStyle w:val="E3Heading4"/>
      </w:pPr>
      <w:r w:rsidRPr="001A279D">
        <w:lastRenderedPageBreak/>
        <w:t>A</w:t>
      </w:r>
      <w:r w:rsidRPr="0093208D">
        <w:t>ustralian market sales, stock and applications</w:t>
      </w:r>
      <w:bookmarkEnd w:id="44"/>
      <w:bookmarkEnd w:id="45"/>
      <w:bookmarkEnd w:id="46"/>
      <w:bookmarkEnd w:id="47"/>
      <w:bookmarkEnd w:id="48"/>
      <w:bookmarkEnd w:id="49"/>
      <w:bookmarkEnd w:id="50"/>
    </w:p>
    <w:p w14:paraId="283EBFF5" w14:textId="4D90E13A" w:rsidR="006D707F" w:rsidRPr="0046124E" w:rsidRDefault="006D707F" w:rsidP="0034488E">
      <w:pPr>
        <w:pStyle w:val="E3BodyText"/>
        <w:jc w:val="both"/>
      </w:pPr>
      <w:r w:rsidRPr="0046124E">
        <w:t>The estimates of Australian stock using aggregated sales data shows there were</w:t>
      </w:r>
      <w:r w:rsidR="0005138A">
        <w:t xml:space="preserve"> approximately</w:t>
      </w:r>
      <w:r w:rsidRPr="0046124E">
        <w:t xml:space="preserve"> </w:t>
      </w:r>
      <w:r>
        <w:t>845</w:t>
      </w:r>
      <w:r w:rsidRPr="0046124E">
        <w:t>,000 display cabinets and storage cabinet</w:t>
      </w:r>
      <w:r>
        <w:t>s in 2015</w:t>
      </w:r>
      <w:r w:rsidRPr="0046124E">
        <w:t>.  Sales and stock data were derived from a large company’s knowledge of their display cabinets for beverages</w:t>
      </w:r>
      <w:r w:rsidR="00167C66">
        <w:t xml:space="preserve">, and the total number of these, plus </w:t>
      </w:r>
      <w:r w:rsidRPr="0046124E">
        <w:t>the pre-charged imports of commercial refrigerated cabinets.</w:t>
      </w:r>
    </w:p>
    <w:p w14:paraId="43402960" w14:textId="00C90AC3" w:rsidR="006D707F" w:rsidRDefault="006D707F" w:rsidP="0034488E">
      <w:pPr>
        <w:pStyle w:val="E3BodyText"/>
        <w:jc w:val="both"/>
      </w:pPr>
      <w:r w:rsidRPr="0046124E">
        <w:t>The two other methods of estimating stock corroborated this estimate</w:t>
      </w:r>
      <w:r>
        <w:t xml:space="preserve">. </w:t>
      </w:r>
      <w:r w:rsidRPr="0046124E">
        <w:t xml:space="preserve">Further details of these methods are </w:t>
      </w:r>
      <w:r>
        <w:t xml:space="preserve">provided </w:t>
      </w:r>
      <w:r w:rsidRPr="0046124E">
        <w:t xml:space="preserve">in </w:t>
      </w:r>
      <w:r>
        <w:rPr>
          <w:b/>
        </w:rPr>
        <w:t>A</w:t>
      </w:r>
      <w:r w:rsidRPr="00AC7259">
        <w:rPr>
          <w:b/>
        </w:rPr>
        <w:t xml:space="preserve">ttachments A </w:t>
      </w:r>
      <w:r w:rsidRPr="001A279D">
        <w:t>and</w:t>
      </w:r>
      <w:r w:rsidRPr="00AC7259">
        <w:rPr>
          <w:b/>
        </w:rPr>
        <w:t xml:space="preserve"> C.</w:t>
      </w:r>
      <w:r w:rsidRPr="0046124E">
        <w:t xml:space="preserve">  </w:t>
      </w:r>
      <w:r w:rsidRPr="0046124E">
        <w:rPr>
          <w:b/>
        </w:rPr>
        <w:fldChar w:fldCharType="begin"/>
      </w:r>
      <w:r w:rsidRPr="0046124E">
        <w:rPr>
          <w:b/>
        </w:rPr>
        <w:instrText xml:space="preserve"> REF _Ref449959354 \h  \* MERGEFORMAT </w:instrText>
      </w:r>
      <w:r w:rsidRPr="0046124E">
        <w:rPr>
          <w:b/>
        </w:rPr>
      </w:r>
      <w:r w:rsidRPr="0046124E">
        <w:rPr>
          <w:b/>
        </w:rPr>
        <w:fldChar w:fldCharType="separate"/>
      </w:r>
      <w:r w:rsidR="00D51B4B" w:rsidRPr="00D51B4B">
        <w:rPr>
          <w:b/>
        </w:rPr>
        <w:t>Figure</w:t>
      </w:r>
      <w:r w:rsidR="00D51B4B" w:rsidRPr="005B3C17">
        <w:t xml:space="preserve"> </w:t>
      </w:r>
      <w:r w:rsidRPr="0046124E">
        <w:rPr>
          <w:b/>
        </w:rPr>
        <w:fldChar w:fldCharType="end"/>
      </w:r>
      <w:r w:rsidRPr="0046124E">
        <w:rPr>
          <w:b/>
        </w:rPr>
        <w:t xml:space="preserve"> </w:t>
      </w:r>
      <w:r w:rsidRPr="00CA6541">
        <w:t>show</w:t>
      </w:r>
      <w:r w:rsidR="0005138A">
        <w:t>s</w:t>
      </w:r>
      <w:r w:rsidRPr="00F24376">
        <w:t xml:space="preserve"> the</w:t>
      </w:r>
      <w:r>
        <w:t xml:space="preserve"> share of stock in 2015 and</w:t>
      </w:r>
      <w:r w:rsidR="0005138A">
        <w:t xml:space="preserve"> while </w:t>
      </w:r>
      <w:r w:rsidR="0005138A" w:rsidRPr="0034488E">
        <w:rPr>
          <w:b/>
        </w:rPr>
        <w:t>figure 6</w:t>
      </w:r>
      <w:r w:rsidR="0005138A">
        <w:t xml:space="preserve"> shows the historical</w:t>
      </w:r>
      <w:r>
        <w:t xml:space="preserve"> and projected stock to 2035.</w:t>
      </w:r>
    </w:p>
    <w:p w14:paraId="08BCBD13" w14:textId="77777777" w:rsidR="00D55007" w:rsidRPr="00172F94" w:rsidRDefault="00D55007" w:rsidP="0034488E">
      <w:pPr>
        <w:pStyle w:val="E3BodyText"/>
        <w:jc w:val="both"/>
        <w:rPr>
          <w:b/>
        </w:rPr>
      </w:pPr>
    </w:p>
    <w:p w14:paraId="4260923B" w14:textId="5965FDDF" w:rsidR="006D707F" w:rsidRDefault="006D707F" w:rsidP="0034488E">
      <w:pPr>
        <w:pStyle w:val="E3Figuretitles"/>
        <w:jc w:val="both"/>
      </w:pPr>
      <w:bookmarkStart w:id="51" w:name="_Ref449959354"/>
      <w:bookmarkStart w:id="52" w:name="_Toc449709066"/>
      <w:bookmarkStart w:id="53" w:name="_Toc494142473"/>
      <w:bookmarkStart w:id="54" w:name="_Toc495045826"/>
      <w:r w:rsidRPr="005B3C17">
        <w:t xml:space="preserve">Figure </w:t>
      </w:r>
      <w:bookmarkEnd w:id="51"/>
      <w:r w:rsidR="00E05C54">
        <w:t>5</w:t>
      </w:r>
      <w:r w:rsidRPr="005B3C17">
        <w:t>: 201</w:t>
      </w:r>
      <w:r>
        <w:t>5</w:t>
      </w:r>
      <w:r w:rsidRPr="005B3C17">
        <w:t xml:space="preserve"> Commercial refrigerated cabinet stock in Australia (estimate).</w:t>
      </w:r>
      <w:bookmarkEnd w:id="52"/>
      <w:bookmarkEnd w:id="53"/>
      <w:bookmarkEnd w:id="54"/>
    </w:p>
    <w:p w14:paraId="0DD6AB04" w14:textId="77777777" w:rsidR="006D707F" w:rsidRDefault="006D707F" w:rsidP="006D707F">
      <w:pPr>
        <w:pStyle w:val="E3BodyText"/>
        <w:rPr>
          <w:b/>
          <w:bCs/>
          <w:sz w:val="18"/>
          <w:szCs w:val="20"/>
        </w:rPr>
      </w:pPr>
      <w:r>
        <w:rPr>
          <w:noProof/>
          <w:lang w:val="en-AU" w:eastAsia="en-AU"/>
        </w:rPr>
        <w:drawing>
          <wp:inline distT="0" distB="0" distL="0" distR="0" wp14:anchorId="2BFE0960" wp14:editId="2B961CA2">
            <wp:extent cx="3409950" cy="3014072"/>
            <wp:effectExtent l="0" t="0" r="0" b="0"/>
            <wp:docPr id="17" name="Picture 17" descr="This figure shows the estimated mix of commercial refrigeration cabinets installed in Australia in 2015. Integral display cabinets (i.e. stand alone/plug in units) consist of 58%, integral storage cabinets consist of 22% and remote cabinets (i.e. supermarket units that are fed by a large/central refrigeration unit) consist of 20%" title="Estimated 2015 Australian Commercial Redfrigerated Cabinet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14134" cy="3017770"/>
                    </a:xfrm>
                    <a:prstGeom prst="rect">
                      <a:avLst/>
                    </a:prstGeom>
                    <a:noFill/>
                    <a:ln>
                      <a:noFill/>
                    </a:ln>
                  </pic:spPr>
                </pic:pic>
              </a:graphicData>
            </a:graphic>
          </wp:inline>
        </w:drawing>
      </w:r>
      <w:bookmarkStart w:id="55" w:name="_Ref449959407"/>
      <w:bookmarkStart w:id="56" w:name="_Ref452640601"/>
      <w:bookmarkStart w:id="57" w:name="_Toc449709067"/>
      <w:bookmarkStart w:id="58" w:name="_Toc494142474"/>
    </w:p>
    <w:p w14:paraId="7F6B7A29" w14:textId="77777777" w:rsidR="006D707F" w:rsidRDefault="006D707F" w:rsidP="006D707F">
      <w:pPr>
        <w:pStyle w:val="E3BodyText"/>
        <w:spacing w:before="240"/>
        <w:rPr>
          <w:b/>
          <w:bCs/>
          <w:sz w:val="18"/>
          <w:szCs w:val="20"/>
        </w:rPr>
      </w:pPr>
      <w:bookmarkStart w:id="59" w:name="_Toc495045827"/>
    </w:p>
    <w:p w14:paraId="593A828F" w14:textId="77777777" w:rsidR="006D707F" w:rsidRDefault="006D707F" w:rsidP="006D707F">
      <w:pPr>
        <w:pStyle w:val="E3BodyText"/>
        <w:spacing w:before="240"/>
        <w:rPr>
          <w:b/>
          <w:bCs/>
          <w:sz w:val="18"/>
          <w:szCs w:val="20"/>
        </w:rPr>
      </w:pPr>
    </w:p>
    <w:p w14:paraId="34AF97F8" w14:textId="77777777" w:rsidR="006D707F" w:rsidRDefault="006D707F" w:rsidP="006D707F">
      <w:pPr>
        <w:pStyle w:val="E3BodyText"/>
        <w:spacing w:before="240"/>
        <w:rPr>
          <w:b/>
          <w:bCs/>
          <w:sz w:val="18"/>
          <w:szCs w:val="20"/>
        </w:rPr>
      </w:pPr>
    </w:p>
    <w:p w14:paraId="4F65CDC6" w14:textId="77777777" w:rsidR="006D707F" w:rsidRDefault="006D707F" w:rsidP="006D707F">
      <w:pPr>
        <w:pStyle w:val="E3BodyText"/>
        <w:spacing w:before="240"/>
        <w:rPr>
          <w:b/>
          <w:bCs/>
          <w:sz w:val="18"/>
          <w:szCs w:val="20"/>
        </w:rPr>
      </w:pPr>
    </w:p>
    <w:p w14:paraId="0F94061D" w14:textId="77777777" w:rsidR="006D707F" w:rsidRDefault="006D707F" w:rsidP="006D707F">
      <w:pPr>
        <w:pStyle w:val="E3BodyText"/>
        <w:spacing w:before="240"/>
        <w:rPr>
          <w:b/>
          <w:bCs/>
          <w:sz w:val="18"/>
          <w:szCs w:val="20"/>
        </w:rPr>
      </w:pPr>
    </w:p>
    <w:p w14:paraId="3CBB5091" w14:textId="77777777" w:rsidR="006D707F" w:rsidRDefault="006D707F" w:rsidP="006D707F">
      <w:pPr>
        <w:pStyle w:val="E3BodyText"/>
        <w:spacing w:before="240"/>
        <w:rPr>
          <w:b/>
          <w:bCs/>
          <w:sz w:val="18"/>
          <w:szCs w:val="20"/>
        </w:rPr>
      </w:pPr>
    </w:p>
    <w:p w14:paraId="5E88D9F4" w14:textId="77777777" w:rsidR="006D707F" w:rsidRDefault="006D707F" w:rsidP="006D707F">
      <w:pPr>
        <w:pStyle w:val="E3BodyText"/>
        <w:spacing w:before="240"/>
        <w:rPr>
          <w:b/>
          <w:bCs/>
          <w:sz w:val="18"/>
          <w:szCs w:val="20"/>
        </w:rPr>
      </w:pPr>
    </w:p>
    <w:p w14:paraId="431E5C67" w14:textId="77777777" w:rsidR="006D707F" w:rsidRDefault="006D707F" w:rsidP="006D707F">
      <w:pPr>
        <w:pStyle w:val="E3BodyText"/>
        <w:spacing w:before="240"/>
        <w:rPr>
          <w:b/>
          <w:bCs/>
          <w:sz w:val="18"/>
          <w:szCs w:val="20"/>
        </w:rPr>
      </w:pPr>
    </w:p>
    <w:p w14:paraId="09A18E0A" w14:textId="77777777" w:rsidR="0034488E" w:rsidRDefault="0034488E" w:rsidP="00A929F6">
      <w:pPr>
        <w:pStyle w:val="E3Figuretitles"/>
      </w:pPr>
    </w:p>
    <w:p w14:paraId="55EA326D" w14:textId="77777777" w:rsidR="00E05C54" w:rsidRDefault="00E05C54" w:rsidP="00A929F6">
      <w:pPr>
        <w:pStyle w:val="E3Figuretitles"/>
      </w:pPr>
    </w:p>
    <w:p w14:paraId="2E131A8E" w14:textId="099F2C93" w:rsidR="00E05C54" w:rsidRDefault="00E05C54" w:rsidP="00A929F6">
      <w:pPr>
        <w:pStyle w:val="E3Figuretitles"/>
      </w:pPr>
    </w:p>
    <w:p w14:paraId="7ECBB16F" w14:textId="087F32E9" w:rsidR="006D707F" w:rsidRDefault="006D707F" w:rsidP="00A929F6">
      <w:pPr>
        <w:pStyle w:val="E3Figuretitles"/>
      </w:pPr>
      <w:r w:rsidRPr="005B3C17">
        <w:lastRenderedPageBreak/>
        <w:t xml:space="preserve">Figure </w:t>
      </w:r>
      <w:bookmarkEnd w:id="55"/>
      <w:bookmarkEnd w:id="56"/>
      <w:r w:rsidR="00E05C54">
        <w:t>6</w:t>
      </w:r>
      <w:r w:rsidRPr="005B3C17">
        <w:t>: Projected stock in Australia from 2000 to 2035.</w:t>
      </w:r>
      <w:bookmarkEnd w:id="57"/>
      <w:bookmarkEnd w:id="58"/>
      <w:bookmarkEnd w:id="59"/>
    </w:p>
    <w:p w14:paraId="6762DD3E" w14:textId="77777777" w:rsidR="006D707F" w:rsidRPr="002B447C" w:rsidRDefault="006D707F" w:rsidP="006D707F">
      <w:pPr>
        <w:pStyle w:val="E3BodyText"/>
        <w:rPr>
          <w:b/>
          <w:bCs/>
          <w:sz w:val="14"/>
          <w:szCs w:val="20"/>
        </w:rPr>
      </w:pPr>
      <w:r>
        <w:rPr>
          <w:noProof/>
          <w:lang w:val="en-AU" w:eastAsia="en-AU"/>
        </w:rPr>
        <w:drawing>
          <wp:inline distT="0" distB="0" distL="0" distR="0" wp14:anchorId="4A9F5737" wp14:editId="47C558E1">
            <wp:extent cx="5755005" cy="3738067"/>
            <wp:effectExtent l="0" t="0" r="0" b="0"/>
            <wp:docPr id="52" name="Picture 52" descr="This figure shows the actual unit stock in Australia to 2015 plus a projection out to 2035. The figure shows that the stock is projected to continue to grow out to 2035 due to changing customer preferences for convienience foods and that this growth is also in part linked to projected population growth" title="Projected refrigerated cabinet stock in Australia from 2000 to 2035"/>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718" cy="3741128"/>
                    </a:xfrm>
                    <a:prstGeom prst="rect">
                      <a:avLst/>
                    </a:prstGeom>
                    <a:noFill/>
                    <a:ln>
                      <a:noFill/>
                    </a:ln>
                  </pic:spPr>
                </pic:pic>
              </a:graphicData>
            </a:graphic>
          </wp:inline>
        </w:drawing>
      </w:r>
    </w:p>
    <w:p w14:paraId="65E9B6D8" w14:textId="6DF1926D" w:rsidR="0005138A" w:rsidRDefault="0005138A" w:rsidP="006D707F">
      <w:pPr>
        <w:pStyle w:val="E3Heading2"/>
        <w:spacing w:line="360" w:lineRule="auto"/>
        <w:rPr>
          <w:rFonts w:ascii="Georgia" w:hAnsi="Georgia"/>
          <w:sz w:val="24"/>
        </w:rPr>
      </w:pPr>
      <w:bookmarkStart w:id="60" w:name="_Toc449708765"/>
      <w:bookmarkStart w:id="61" w:name="_Toc494897958"/>
      <w:bookmarkStart w:id="62" w:name="_Toc494955754"/>
      <w:bookmarkStart w:id="63" w:name="_Toc494959562"/>
      <w:bookmarkStart w:id="64" w:name="_Toc494972688"/>
      <w:bookmarkStart w:id="65" w:name="_Toc494973875"/>
      <w:bookmarkStart w:id="66" w:name="_Toc494974564"/>
    </w:p>
    <w:p w14:paraId="68EFACE7" w14:textId="4190CCF7" w:rsidR="0005138A" w:rsidRDefault="0005138A" w:rsidP="0034488E">
      <w:pPr>
        <w:pStyle w:val="E3BodyText"/>
        <w:jc w:val="both"/>
      </w:pPr>
      <w:r w:rsidRPr="0046124E">
        <w:t xml:space="preserve">Sales </w:t>
      </w:r>
      <w:r>
        <w:t>growth has</w:t>
      </w:r>
      <w:r w:rsidRPr="0046124E">
        <w:t xml:space="preserve"> slowed since the 1990s from around 7% per annum to 4% </w:t>
      </w:r>
      <w:r>
        <w:t xml:space="preserve">from 2000 to 2013. It is estimated </w:t>
      </w:r>
      <w:r w:rsidRPr="0046124E">
        <w:t xml:space="preserve">to </w:t>
      </w:r>
      <w:r>
        <w:t xml:space="preserve">be </w:t>
      </w:r>
      <w:r w:rsidRPr="0046124E">
        <w:t xml:space="preserve">around 2.5% per annum </w:t>
      </w:r>
      <w:r w:rsidR="00167C66">
        <w:t xml:space="preserve">currently </w:t>
      </w:r>
      <w:r w:rsidRPr="0046124E">
        <w:t xml:space="preserve">and </w:t>
      </w:r>
      <w:r>
        <w:t>is expected to fall to 2.0</w:t>
      </w:r>
      <w:r w:rsidRPr="0046124E">
        <w:t>% per annum</w:t>
      </w:r>
      <w:r>
        <w:t xml:space="preserve"> from 2020 to 2035.</w:t>
      </w:r>
      <w:r w:rsidRPr="0046124E">
        <w:t xml:space="preserve"> The high growth in the 1990s was due to food retail stores adapting to changing consumer preferences (i.e. convenience meals, variety, etc.)</w:t>
      </w:r>
      <w:r>
        <w:t>,</w:t>
      </w:r>
      <w:r w:rsidRPr="0046124E">
        <w:t xml:space="preserve"> </w:t>
      </w:r>
      <w:r>
        <w:t>which</w:t>
      </w:r>
      <w:r w:rsidRPr="0046124E">
        <w:t xml:space="preserve"> required more refrigeration per trading floor. Current sales are driven by replacement </w:t>
      </w:r>
      <w:r>
        <w:t>of existing stock</w:t>
      </w:r>
      <w:r w:rsidRPr="0046124E">
        <w:t xml:space="preserve"> and growth </w:t>
      </w:r>
      <w:r>
        <w:t xml:space="preserve">is </w:t>
      </w:r>
      <w:r w:rsidRPr="0046124E">
        <w:t>linked to population growth.</w:t>
      </w:r>
    </w:p>
    <w:p w14:paraId="2561329D" w14:textId="77777777" w:rsidR="0034488E" w:rsidRDefault="0034488E" w:rsidP="0034488E">
      <w:pPr>
        <w:pStyle w:val="E3Heading2"/>
        <w:spacing w:line="360" w:lineRule="auto"/>
        <w:jc w:val="both"/>
        <w:rPr>
          <w:rFonts w:ascii="Georgia" w:hAnsi="Georgia"/>
          <w:sz w:val="24"/>
        </w:rPr>
      </w:pPr>
    </w:p>
    <w:p w14:paraId="56CE7F58" w14:textId="5936C645" w:rsidR="006D707F" w:rsidRPr="001A279D" w:rsidRDefault="006D707F" w:rsidP="0034488E">
      <w:pPr>
        <w:pStyle w:val="E3Heading2"/>
        <w:spacing w:line="360" w:lineRule="auto"/>
        <w:jc w:val="both"/>
        <w:rPr>
          <w:rFonts w:ascii="Georgia" w:hAnsi="Georgia"/>
          <w:sz w:val="24"/>
        </w:rPr>
      </w:pPr>
      <w:bookmarkStart w:id="67" w:name="_Toc500151785"/>
      <w:r w:rsidRPr="0041262C">
        <w:rPr>
          <w:rFonts w:ascii="Georgia" w:hAnsi="Georgia"/>
          <w:sz w:val="24"/>
        </w:rPr>
        <w:t>New Zealand market sales, stock and applications</w:t>
      </w:r>
      <w:bookmarkEnd w:id="60"/>
      <w:bookmarkEnd w:id="61"/>
      <w:bookmarkEnd w:id="62"/>
      <w:bookmarkEnd w:id="63"/>
      <w:bookmarkEnd w:id="64"/>
      <w:bookmarkEnd w:id="65"/>
      <w:bookmarkEnd w:id="66"/>
      <w:bookmarkEnd w:id="67"/>
    </w:p>
    <w:p w14:paraId="4AF83B6B" w14:textId="12434DE1" w:rsidR="006D707F" w:rsidRPr="0046124E" w:rsidRDefault="006D707F" w:rsidP="0034488E">
      <w:pPr>
        <w:pStyle w:val="E3BodyText"/>
        <w:jc w:val="both"/>
      </w:pPr>
      <w:r w:rsidRPr="0046124E">
        <w:t xml:space="preserve">New Zealand stock </w:t>
      </w:r>
      <w:r>
        <w:t>in 2015 was</w:t>
      </w:r>
      <w:r w:rsidRPr="0046124E">
        <w:t xml:space="preserve"> </w:t>
      </w:r>
      <w:r>
        <w:t>approximately</w:t>
      </w:r>
      <w:r w:rsidRPr="0046124E">
        <w:t xml:space="preserve"> </w:t>
      </w:r>
      <w:r>
        <w:t>157</w:t>
      </w:r>
      <w:r w:rsidRPr="0046124E">
        <w:t xml:space="preserve">,000 </w:t>
      </w:r>
      <w:r>
        <w:t>refrigerated commercial cabinets</w:t>
      </w:r>
      <w:r w:rsidRPr="0046124E">
        <w:t xml:space="preserve">. Sales and stock data </w:t>
      </w:r>
      <w:r w:rsidR="00167C66">
        <w:t>is</w:t>
      </w:r>
      <w:r w:rsidRPr="0046124E">
        <w:t xml:space="preserve"> derived from the annual data collected by the Energy Efficiency and Conservation Authority (EECA)</w:t>
      </w:r>
      <w:r>
        <w:t xml:space="preserve"> in New Zealand</w:t>
      </w:r>
      <w:r w:rsidRPr="0046124E">
        <w:t>. Th</w:t>
      </w:r>
      <w:r>
        <w:t>is</w:t>
      </w:r>
      <w:r w:rsidRPr="0046124E">
        <w:t xml:space="preserve"> data ha</w:t>
      </w:r>
      <w:r>
        <w:t>s</w:t>
      </w:r>
      <w:r w:rsidRPr="0046124E">
        <w:t xml:space="preserve"> been collected for regulated cabinets only, since 2005 as part of the </w:t>
      </w:r>
      <w:r w:rsidRPr="00AC7259">
        <w:rPr>
          <w:i/>
        </w:rPr>
        <w:t>Energy Efficiency (Energy Using Products) Regulations 2002</w:t>
      </w:r>
      <w:r w:rsidRPr="0046124E">
        <w:t>. Importers or manufacturers of products covered by the MEPS regulations must provide sales information and</w:t>
      </w:r>
      <w:r w:rsidR="005955D9">
        <w:t xml:space="preserve"> the</w:t>
      </w:r>
      <w:r w:rsidRPr="0046124E">
        <w:t xml:space="preserve"> energy performance characteristics of their stock.</w:t>
      </w:r>
    </w:p>
    <w:p w14:paraId="300C59A7" w14:textId="24FFE2A2" w:rsidR="006D707F" w:rsidRPr="0046124E" w:rsidRDefault="006D707F" w:rsidP="0034488E">
      <w:pPr>
        <w:pStyle w:val="E3BodyText"/>
        <w:jc w:val="both"/>
      </w:pPr>
      <w:r w:rsidRPr="0046124E">
        <w:t>There are five sub-types within th</w:t>
      </w:r>
      <w:r>
        <w:t>is</w:t>
      </w:r>
      <w:r w:rsidRPr="0046124E">
        <w:t xml:space="preserve"> data</w:t>
      </w:r>
      <w:r>
        <w:t>,</w:t>
      </w:r>
      <w:r w:rsidRPr="0046124E">
        <w:t xml:space="preserve"> of which three dominate sales in the New Zealand market. For example</w:t>
      </w:r>
      <w:r>
        <w:t>,</w:t>
      </w:r>
      <w:r w:rsidRPr="0046124E">
        <w:t xml:space="preserve"> integral VC4, display cabinets (self-contained, vertical glass door display fridges) comprise over 45% of the display types. </w:t>
      </w:r>
    </w:p>
    <w:p w14:paraId="64D83714" w14:textId="77777777" w:rsidR="006D707F" w:rsidRPr="0046124E" w:rsidRDefault="006D707F" w:rsidP="0034488E">
      <w:pPr>
        <w:pStyle w:val="E3BodyText"/>
        <w:jc w:val="both"/>
      </w:pPr>
      <w:r w:rsidRPr="0046124E">
        <w:lastRenderedPageBreak/>
        <w:t>Discussions with suppliers about storage cabinet</w:t>
      </w:r>
      <w:r>
        <w:t>s</w:t>
      </w:r>
      <w:r w:rsidRPr="0046124E">
        <w:t xml:space="preserve"> enabled an estimate to be derived as a ratio from the sales of </w:t>
      </w:r>
      <w:r>
        <w:t xml:space="preserve">refrigerated </w:t>
      </w:r>
      <w:r w:rsidRPr="0046124E">
        <w:t>display cabinets.</w:t>
      </w:r>
    </w:p>
    <w:p w14:paraId="55C5EB2E" w14:textId="4F803B4E" w:rsidR="006D707F" w:rsidRPr="0046124E" w:rsidRDefault="006D707F" w:rsidP="0034488E">
      <w:pPr>
        <w:pStyle w:val="E3BodyText"/>
        <w:jc w:val="both"/>
      </w:pPr>
      <w:r w:rsidRPr="0046124E">
        <w:t>In 201</w:t>
      </w:r>
      <w:r>
        <w:t>5</w:t>
      </w:r>
      <w:r w:rsidRPr="0046124E">
        <w:t xml:space="preserve">, the total sales of </w:t>
      </w:r>
      <w:r>
        <w:t>r</w:t>
      </w:r>
      <w:r w:rsidRPr="0046124E">
        <w:t>efrigerated display cabinets and storage cabinets were estimated to be 1</w:t>
      </w:r>
      <w:r>
        <w:t>5</w:t>
      </w:r>
      <w:r w:rsidRPr="0046124E">
        <w:t>,000 and the total stock was e</w:t>
      </w:r>
      <w:r>
        <w:t xml:space="preserve">stimated to be 157,000 </w:t>
      </w:r>
      <w:r w:rsidR="00C946B3">
        <w:t>cabinets.</w:t>
      </w:r>
      <w:r w:rsidR="00C946B3" w:rsidRPr="0046124E">
        <w:t xml:space="preserve"> </w:t>
      </w:r>
      <w:r w:rsidR="00C946B3" w:rsidRPr="00C946B3">
        <w:rPr>
          <w:b/>
        </w:rPr>
        <w:t>Figure</w:t>
      </w:r>
      <w:r w:rsidR="00AF04B1" w:rsidRPr="00C946B3">
        <w:rPr>
          <w:b/>
        </w:rPr>
        <w:t xml:space="preserve"> 7</w:t>
      </w:r>
      <w:r w:rsidR="00C946B3">
        <w:t xml:space="preserve"> b</w:t>
      </w:r>
      <w:r w:rsidR="00AF04B1">
        <w:t>elow shows the historical and projected stock to 2035.</w:t>
      </w:r>
    </w:p>
    <w:p w14:paraId="6FFFA141" w14:textId="77777777" w:rsidR="00EA233A" w:rsidRDefault="00EA233A" w:rsidP="0034488E">
      <w:pPr>
        <w:pStyle w:val="E3Figuretitles"/>
        <w:jc w:val="both"/>
      </w:pPr>
      <w:bookmarkStart w:id="68" w:name="_Ref449959453"/>
      <w:bookmarkStart w:id="69" w:name="_Toc449709068"/>
      <w:bookmarkStart w:id="70" w:name="_Toc494142475"/>
      <w:bookmarkStart w:id="71" w:name="_Toc495045828"/>
    </w:p>
    <w:p w14:paraId="1ED0F695" w14:textId="2F7093C0" w:rsidR="006D707F" w:rsidRPr="00A929F6" w:rsidRDefault="006D707F" w:rsidP="0034488E">
      <w:pPr>
        <w:pStyle w:val="E3Figuretitles"/>
        <w:jc w:val="both"/>
      </w:pPr>
      <w:r w:rsidRPr="00A929F6">
        <w:t xml:space="preserve">Figure </w:t>
      </w:r>
      <w:bookmarkEnd w:id="68"/>
      <w:r w:rsidR="00E05C54">
        <w:t>7</w:t>
      </w:r>
      <w:r w:rsidRPr="00A929F6">
        <w:t>: Projected stock in New Zealand from 2000 to 2035.</w:t>
      </w:r>
      <w:bookmarkEnd w:id="69"/>
      <w:bookmarkEnd w:id="70"/>
      <w:bookmarkEnd w:id="71"/>
    </w:p>
    <w:p w14:paraId="51907364" w14:textId="77777777" w:rsidR="006D707F" w:rsidRPr="00697076" w:rsidRDefault="006D707F" w:rsidP="006D707F">
      <w:pPr>
        <w:pStyle w:val="E3BodyText"/>
      </w:pPr>
      <w:r>
        <w:rPr>
          <w:noProof/>
          <w:lang w:val="en-AU" w:eastAsia="en-AU"/>
        </w:rPr>
        <w:drawing>
          <wp:inline distT="0" distB="0" distL="0" distR="0" wp14:anchorId="384DC02D" wp14:editId="16B31D07">
            <wp:extent cx="5838825" cy="3324225"/>
            <wp:effectExtent l="0" t="0" r="9525" b="9525"/>
            <wp:docPr id="55" name="chart" descr="This figure shows the actual unit stock in New Zealand to 2015 plus a projection out to 2035. The figure shows that the stock is projected to continue to grow out to 2035 due to changing customer preferences for convienience foods and that this growth is also in part linked to projected population growth." title="Projected refrigerated cabinet stock in New Zealand from 2000 to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38"/>
                    <a:stretch>
                      <a:fillRect/>
                    </a:stretch>
                  </pic:blipFill>
                  <pic:spPr>
                    <a:xfrm>
                      <a:off x="0" y="0"/>
                      <a:ext cx="5838825" cy="3324225"/>
                    </a:xfrm>
                    <a:prstGeom prst="rect">
                      <a:avLst/>
                    </a:prstGeom>
                  </pic:spPr>
                </pic:pic>
              </a:graphicData>
            </a:graphic>
          </wp:inline>
        </w:drawing>
      </w:r>
    </w:p>
    <w:p w14:paraId="27882C53" w14:textId="1245BAF2" w:rsidR="00A929F6" w:rsidRDefault="00A929F6" w:rsidP="00D6184A">
      <w:pPr>
        <w:pStyle w:val="E3BodyText"/>
        <w:spacing w:line="360" w:lineRule="auto"/>
        <w:jc w:val="both"/>
        <w:rPr>
          <w:b/>
          <w:bCs/>
          <w:sz w:val="18"/>
          <w:szCs w:val="20"/>
        </w:rPr>
      </w:pPr>
    </w:p>
    <w:p w14:paraId="71A12DF2" w14:textId="39EF0D51" w:rsidR="00AF04B1" w:rsidRPr="00172F94" w:rsidRDefault="00AF04B1" w:rsidP="00D6184A">
      <w:pPr>
        <w:pStyle w:val="E3BodyText"/>
        <w:jc w:val="both"/>
        <w:rPr>
          <w:b/>
        </w:rPr>
      </w:pPr>
      <w:r w:rsidRPr="0046124E">
        <w:t>The other two methods for deriving stock and sales estimates differed</w:t>
      </w:r>
      <w:r>
        <w:t>.</w:t>
      </w:r>
      <w:r w:rsidRPr="0046124E">
        <w:t xml:space="preserve"> </w:t>
      </w:r>
      <w:r>
        <w:t>S</w:t>
      </w:r>
      <w:r w:rsidRPr="0046124E">
        <w:t>tock estimated from outlets were 20% higher than the more reliable estimate based on sales. However</w:t>
      </w:r>
      <w:r>
        <w:t>,</w:t>
      </w:r>
      <w:r w:rsidRPr="0046124E">
        <w:t xml:space="preserve"> the estimate from the EU information was similar</w:t>
      </w:r>
      <w:r w:rsidR="0042071D">
        <w:t xml:space="preserve"> to the estimate based on sales</w:t>
      </w:r>
      <w:r w:rsidRPr="0046124E">
        <w:t>.</w:t>
      </w:r>
      <w:r w:rsidRPr="0046124E">
        <w:rPr>
          <w:i/>
        </w:rPr>
        <w:t xml:space="preserve"> </w:t>
      </w:r>
      <w:r w:rsidRPr="0046124E">
        <w:t>Further details o</w:t>
      </w:r>
      <w:r>
        <w:t>n</w:t>
      </w:r>
      <w:r w:rsidRPr="0046124E">
        <w:t xml:space="preserve"> these methods are </w:t>
      </w:r>
      <w:r>
        <w:t xml:space="preserve">provided </w:t>
      </w:r>
      <w:r w:rsidRPr="0046124E">
        <w:t xml:space="preserve">in </w:t>
      </w:r>
      <w:r>
        <w:rPr>
          <w:b/>
        </w:rPr>
        <w:t>A</w:t>
      </w:r>
      <w:r w:rsidRPr="00C33AB3">
        <w:rPr>
          <w:b/>
        </w:rPr>
        <w:t>t</w:t>
      </w:r>
      <w:r w:rsidRPr="00AC7259">
        <w:rPr>
          <w:b/>
        </w:rPr>
        <w:t xml:space="preserve">tachments </w:t>
      </w:r>
      <w:r w:rsidR="00167C66">
        <w:rPr>
          <w:b/>
        </w:rPr>
        <w:t>B</w:t>
      </w:r>
      <w:r w:rsidRPr="004714EC">
        <w:t xml:space="preserve"> and </w:t>
      </w:r>
      <w:r w:rsidRPr="00AC7259">
        <w:rPr>
          <w:b/>
        </w:rPr>
        <w:t>C.</w:t>
      </w:r>
      <w:r w:rsidRPr="00A57241">
        <w:t xml:space="preserve"> </w:t>
      </w:r>
      <w:r>
        <w:rPr>
          <w:b/>
        </w:rPr>
        <w:t>Figure 8</w:t>
      </w:r>
      <w:r w:rsidRPr="004714EC">
        <w:t xml:space="preserve"> </w:t>
      </w:r>
      <w:r>
        <w:t>overleaf</w:t>
      </w:r>
      <w:r w:rsidRPr="005B3C17">
        <w:t xml:space="preserve"> </w:t>
      </w:r>
      <w:r w:rsidRPr="00CA6541">
        <w:t>show</w:t>
      </w:r>
      <w:r>
        <w:t>s</w:t>
      </w:r>
      <w:r w:rsidRPr="00F24376">
        <w:t xml:space="preserve"> the</w:t>
      </w:r>
      <w:r>
        <w:t xml:space="preserve"> share of refrigerated cabinet stock in 2015 by type of cabinet.</w:t>
      </w:r>
    </w:p>
    <w:p w14:paraId="7BEA5A4E" w14:textId="77777777" w:rsidR="00A929F6" w:rsidRDefault="00A929F6" w:rsidP="006D707F">
      <w:pPr>
        <w:pStyle w:val="E3BodyText"/>
        <w:spacing w:line="360" w:lineRule="auto"/>
        <w:rPr>
          <w:b/>
          <w:bCs/>
          <w:sz w:val="18"/>
          <w:szCs w:val="20"/>
        </w:rPr>
      </w:pPr>
    </w:p>
    <w:p w14:paraId="62F1EDAA" w14:textId="77777777" w:rsidR="00A929F6" w:rsidRDefault="00A929F6" w:rsidP="006D707F">
      <w:pPr>
        <w:pStyle w:val="E3BodyText"/>
        <w:spacing w:line="360" w:lineRule="auto"/>
        <w:rPr>
          <w:b/>
          <w:bCs/>
          <w:sz w:val="18"/>
          <w:szCs w:val="20"/>
        </w:rPr>
      </w:pPr>
    </w:p>
    <w:p w14:paraId="3E0736BF" w14:textId="77777777" w:rsidR="00A929F6" w:rsidRDefault="00A929F6" w:rsidP="006D707F">
      <w:pPr>
        <w:pStyle w:val="E3BodyText"/>
        <w:spacing w:line="360" w:lineRule="auto"/>
        <w:rPr>
          <w:b/>
          <w:bCs/>
          <w:sz w:val="18"/>
          <w:szCs w:val="20"/>
        </w:rPr>
      </w:pPr>
    </w:p>
    <w:p w14:paraId="355DF3A2" w14:textId="77777777" w:rsidR="00A929F6" w:rsidRDefault="00A929F6" w:rsidP="006D707F">
      <w:pPr>
        <w:pStyle w:val="E3BodyText"/>
        <w:spacing w:line="360" w:lineRule="auto"/>
        <w:rPr>
          <w:b/>
          <w:bCs/>
          <w:sz w:val="18"/>
          <w:szCs w:val="20"/>
        </w:rPr>
      </w:pPr>
    </w:p>
    <w:p w14:paraId="5DFC3FFD" w14:textId="77777777" w:rsidR="00A929F6" w:rsidRDefault="00A929F6" w:rsidP="006D707F">
      <w:pPr>
        <w:pStyle w:val="E3BodyText"/>
        <w:spacing w:line="360" w:lineRule="auto"/>
        <w:rPr>
          <w:b/>
          <w:bCs/>
          <w:sz w:val="18"/>
          <w:szCs w:val="20"/>
        </w:rPr>
      </w:pPr>
    </w:p>
    <w:p w14:paraId="45872166" w14:textId="23004A17" w:rsidR="00167C66" w:rsidRDefault="00167C66" w:rsidP="00A929F6">
      <w:pPr>
        <w:pStyle w:val="E3Figuretitles"/>
      </w:pPr>
    </w:p>
    <w:p w14:paraId="32759E59" w14:textId="77777777" w:rsidR="007D0C3E" w:rsidRDefault="007D0C3E" w:rsidP="00A929F6">
      <w:pPr>
        <w:pStyle w:val="E3Figuretitles"/>
      </w:pPr>
    </w:p>
    <w:p w14:paraId="61AC5F8D" w14:textId="77777777" w:rsidR="007D0C3E" w:rsidRDefault="007D0C3E" w:rsidP="00A929F6">
      <w:pPr>
        <w:pStyle w:val="E3Figuretitles"/>
      </w:pPr>
    </w:p>
    <w:p w14:paraId="1378DE75" w14:textId="267E987B" w:rsidR="006D707F" w:rsidRDefault="006D707F" w:rsidP="00A929F6">
      <w:pPr>
        <w:pStyle w:val="E3Figuretitles"/>
      </w:pPr>
      <w:r w:rsidRPr="005B3C17">
        <w:lastRenderedPageBreak/>
        <w:t xml:space="preserve">Figure </w:t>
      </w:r>
      <w:r>
        <w:t>8</w:t>
      </w:r>
      <w:r w:rsidRPr="005B3C17">
        <w:t xml:space="preserve">: </w:t>
      </w:r>
      <w:r>
        <w:t>2015</w:t>
      </w:r>
      <w:r w:rsidRPr="005B3C17">
        <w:t xml:space="preserve"> Commercial refrigerated cabinet stock in </w:t>
      </w:r>
      <w:r>
        <w:t>New Zealand</w:t>
      </w:r>
      <w:r w:rsidRPr="005B3C17">
        <w:t xml:space="preserve"> </w:t>
      </w:r>
      <w:r w:rsidRPr="00FF19CA">
        <w:t>(estimate).</w:t>
      </w:r>
    </w:p>
    <w:p w14:paraId="1EFAF4F0" w14:textId="77777777" w:rsidR="006D707F" w:rsidRDefault="006D707F" w:rsidP="006D707F">
      <w:pPr>
        <w:pStyle w:val="E3BodyText"/>
      </w:pPr>
      <w:r>
        <w:rPr>
          <w:noProof/>
          <w:lang w:val="en-AU" w:eastAsia="en-AU"/>
        </w:rPr>
        <w:drawing>
          <wp:inline distT="0" distB="0" distL="0" distR="0" wp14:anchorId="32FBB8BA" wp14:editId="04B24428">
            <wp:extent cx="3609975" cy="3190875"/>
            <wp:effectExtent l="0" t="0" r="9525" b="9525"/>
            <wp:docPr id="255" name="Picture 255" descr="This figure shows the estimated mix of commercial refrigeration cabinets installed in New Zealand in 2015. Integral display cabinets (i.e. stand alone/plug in units) consist of 58%, integral storage cabinets consist of 22% and remote cabinets (i.e. supermarket units that are fed by a large/central refrigeration unit) consist of 20%" title="Estimated 2015 New Zealand Commercial Redfrigerated Cabinet Stock"/>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9975" cy="3190875"/>
                    </a:xfrm>
                    <a:prstGeom prst="rect">
                      <a:avLst/>
                    </a:prstGeom>
                    <a:noFill/>
                    <a:ln>
                      <a:noFill/>
                    </a:ln>
                  </pic:spPr>
                </pic:pic>
              </a:graphicData>
            </a:graphic>
          </wp:inline>
        </w:drawing>
      </w:r>
    </w:p>
    <w:p w14:paraId="1C936B23" w14:textId="50D3473E" w:rsidR="006D707F" w:rsidRDefault="006D707F" w:rsidP="006D707F">
      <w:pPr>
        <w:pStyle w:val="E3Heading1"/>
        <w:spacing w:after="240"/>
        <w:rPr>
          <w:rFonts w:ascii="Georgia" w:hAnsi="Georgia"/>
          <w:sz w:val="24"/>
          <w:szCs w:val="24"/>
        </w:rPr>
      </w:pPr>
    </w:p>
    <w:p w14:paraId="25E5734C" w14:textId="77777777" w:rsidR="00AF04B1" w:rsidRPr="00156EDA" w:rsidRDefault="00AF04B1" w:rsidP="00D6184A">
      <w:pPr>
        <w:pStyle w:val="E3BodyText"/>
        <w:jc w:val="both"/>
        <w:rPr>
          <w:b/>
        </w:rPr>
      </w:pPr>
      <w:r w:rsidRPr="0046124E">
        <w:t>When</w:t>
      </w:r>
      <w:r w:rsidRPr="0046124E">
        <w:rPr>
          <w:i/>
        </w:rPr>
        <w:t xml:space="preserve"> </w:t>
      </w:r>
      <w:r w:rsidRPr="0046124E">
        <w:t>looking at the split be</w:t>
      </w:r>
      <w:r>
        <w:t>tween the main types of cabinets – I</w:t>
      </w:r>
      <w:r w:rsidRPr="0046124E">
        <w:t>nteg</w:t>
      </w:r>
      <w:r>
        <w:t>ral Display vs R</w:t>
      </w:r>
      <w:r w:rsidRPr="0046124E">
        <w:t xml:space="preserve">emote Display vs Storage types – all </w:t>
      </w:r>
      <w:r>
        <w:t xml:space="preserve">three </w:t>
      </w:r>
      <w:r w:rsidRPr="0046124E">
        <w:t>methods</w:t>
      </w:r>
      <w:r>
        <w:t xml:space="preserve"> resulted in</w:t>
      </w:r>
      <w:r w:rsidRPr="0046124E">
        <w:t xml:space="preserve"> </w:t>
      </w:r>
      <w:r>
        <w:t xml:space="preserve">a </w:t>
      </w:r>
      <w:r w:rsidRPr="0046124E">
        <w:t xml:space="preserve">similar proportional market share. Integral display types </w:t>
      </w:r>
      <w:r>
        <w:t>has</w:t>
      </w:r>
      <w:r w:rsidRPr="0046124E">
        <w:t xml:space="preserve"> about 60% of the market </w:t>
      </w:r>
      <w:r>
        <w:t xml:space="preserve">with </w:t>
      </w:r>
      <w:r w:rsidRPr="0046124E">
        <w:t>Storage types and Remote Display</w:t>
      </w:r>
      <w:r>
        <w:t xml:space="preserve"> </w:t>
      </w:r>
      <w:r w:rsidRPr="0046124E">
        <w:t xml:space="preserve">types </w:t>
      </w:r>
      <w:r>
        <w:t xml:space="preserve">taking up </w:t>
      </w:r>
      <w:r w:rsidRPr="0046124E">
        <w:t xml:space="preserve">about half </w:t>
      </w:r>
      <w:r>
        <w:t>each of the remainder.</w:t>
      </w:r>
    </w:p>
    <w:p w14:paraId="5460F009" w14:textId="77777777" w:rsidR="00AF04B1" w:rsidRPr="00AF04B1" w:rsidRDefault="00AF04B1" w:rsidP="00AF04B1">
      <w:pPr>
        <w:pStyle w:val="E3BodyText"/>
        <w:rPr>
          <w:lang w:val="en-AU"/>
        </w:rPr>
      </w:pPr>
    </w:p>
    <w:p w14:paraId="5DC424AF" w14:textId="1E60C4D7" w:rsidR="00D6184A" w:rsidRDefault="006D707F" w:rsidP="00D6184A">
      <w:pPr>
        <w:pStyle w:val="E3Heading2"/>
      </w:pPr>
      <w:bookmarkStart w:id="72" w:name="_Toc500151786"/>
      <w:r w:rsidRPr="0041262C">
        <w:t>Current regulations and requirements</w:t>
      </w:r>
      <w:bookmarkEnd w:id="72"/>
    </w:p>
    <w:p w14:paraId="39EC00CE" w14:textId="046367F8" w:rsidR="006D707F" w:rsidRPr="0046124E" w:rsidRDefault="006D707F" w:rsidP="00D6184A">
      <w:pPr>
        <w:pStyle w:val="E3BodyText"/>
        <w:jc w:val="both"/>
      </w:pPr>
      <w:r>
        <w:t>R</w:t>
      </w:r>
      <w:r w:rsidRPr="0046124E">
        <w:t xml:space="preserve">efrigerated display cabinets are </w:t>
      </w:r>
      <w:r>
        <w:t xml:space="preserve">currently </w:t>
      </w:r>
      <w:r w:rsidRPr="0046124E">
        <w:t xml:space="preserve">regulated </w:t>
      </w:r>
      <w:r>
        <w:t xml:space="preserve">in Australia and New Zealand </w:t>
      </w:r>
      <w:r w:rsidRPr="0046124E">
        <w:t xml:space="preserve">for their energy efficiency using </w:t>
      </w:r>
      <w:r>
        <w:t xml:space="preserve">AS 1731, an Australian Standard. </w:t>
      </w:r>
      <w:r w:rsidR="00AF04B1" w:rsidRPr="0046124E">
        <w:t>AS 1731</w:t>
      </w:r>
      <w:r w:rsidR="00AF04B1">
        <w:t xml:space="preserve"> </w:t>
      </w:r>
      <w:r w:rsidR="00AF04B1" w:rsidRPr="0046124E">
        <w:t xml:space="preserve">specifies the general mechanical, physical and test requirements to check the energy efficiency performance of </w:t>
      </w:r>
      <w:r w:rsidR="00AF04B1">
        <w:t>refrigerated display cabinets</w:t>
      </w:r>
      <w:r w:rsidR="00AF04B1" w:rsidRPr="0046124E">
        <w:t xml:space="preserve"> that are used for the sale or display of food products, including beverages.</w:t>
      </w:r>
      <w:r w:rsidR="00AF04B1" w:rsidRPr="0046124E">
        <w:rPr>
          <w:rStyle w:val="FootnoteReference"/>
        </w:rPr>
        <w:footnoteReference w:id="12"/>
      </w:r>
      <w:r w:rsidR="00AF04B1" w:rsidRPr="0046124E">
        <w:t xml:space="preserve"> There are 14 parts to the standard</w:t>
      </w:r>
      <w:r w:rsidR="00AF04B1">
        <w:t>,</w:t>
      </w:r>
      <w:r w:rsidR="00AF04B1" w:rsidRPr="0046124E">
        <w:t xml:space="preserve"> </w:t>
      </w:r>
      <w:r w:rsidR="00AF04B1">
        <w:t xml:space="preserve">which are </w:t>
      </w:r>
      <w:r w:rsidR="00AF04B1" w:rsidRPr="0046124E">
        <w:t>all sold separately</w:t>
      </w:r>
      <w:r w:rsidR="00AF04B1">
        <w:t xml:space="preserve">. </w:t>
      </w:r>
      <w:r>
        <w:t>The relevant legislation that requires compliance with AS 1731 is</w:t>
      </w:r>
      <w:r w:rsidRPr="0046124E">
        <w:t xml:space="preserve">: the </w:t>
      </w:r>
      <w:r w:rsidRPr="0046124E">
        <w:rPr>
          <w:i/>
        </w:rPr>
        <w:t>Energy Efficiency (Energy Using Products) Regulations 2002</w:t>
      </w:r>
      <w:r w:rsidRPr="0046124E">
        <w:t xml:space="preserve"> in New Zealand and the </w:t>
      </w:r>
      <w:r w:rsidRPr="0046124E">
        <w:rPr>
          <w:i/>
        </w:rPr>
        <w:t>Greenhouse and Energy Minimum Standards Act 2012</w:t>
      </w:r>
      <w:r w:rsidRPr="0046124E">
        <w:t xml:space="preserve"> in Australia.</w:t>
      </w:r>
    </w:p>
    <w:p w14:paraId="2DE7A1F9" w14:textId="1CC869E6" w:rsidR="006D707F" w:rsidRPr="0046124E" w:rsidRDefault="006D707F" w:rsidP="006D707F">
      <w:pPr>
        <w:pStyle w:val="E3BodyText"/>
      </w:pPr>
    </w:p>
    <w:p w14:paraId="18D7F0D6" w14:textId="77777777" w:rsidR="006D707F" w:rsidRPr="0046124E" w:rsidRDefault="006D707F" w:rsidP="00D6184A">
      <w:pPr>
        <w:pStyle w:val="E3BodyText"/>
        <w:jc w:val="both"/>
      </w:pPr>
      <w:r w:rsidRPr="0046124E">
        <w:lastRenderedPageBreak/>
        <w:t>Part 14 of AS 1731 defines energy efficiency as a function of Total Energy Consumption divided by the Total Display Area, expressed in kilowatt hours per day per square metre of display area. (TEC/TDA, in kWh/day/m</w:t>
      </w:r>
      <w:r w:rsidRPr="0046124E">
        <w:rPr>
          <w:vertAlign w:val="superscript"/>
        </w:rPr>
        <w:t>2</w:t>
      </w:r>
      <w:r w:rsidRPr="0046124E">
        <w:t>).</w:t>
      </w:r>
    </w:p>
    <w:p w14:paraId="2F3F118B" w14:textId="77777777" w:rsidR="006D707F" w:rsidRPr="0046124E" w:rsidRDefault="006D707F" w:rsidP="00D6184A">
      <w:pPr>
        <w:pStyle w:val="E3BodyText"/>
        <w:jc w:val="both"/>
      </w:pPr>
      <w:r w:rsidRPr="0046124E">
        <w:t>Testing is generally performed at climate class 3 (25</w:t>
      </w:r>
      <w:r w:rsidRPr="0046124E">
        <w:rPr>
          <w:vertAlign w:val="superscript"/>
        </w:rPr>
        <w:t xml:space="preserve">0 </w:t>
      </w:r>
      <w:r w:rsidRPr="0046124E">
        <w:t>C with relative humidity of 60%). Cabinets are further classified into operating temperatures between minus 15</w:t>
      </w:r>
      <w:r w:rsidRPr="0046124E">
        <w:rPr>
          <w:vertAlign w:val="superscript"/>
        </w:rPr>
        <w:t>o</w:t>
      </w:r>
      <w:r w:rsidRPr="0046124E">
        <w:t xml:space="preserve"> C to positive 10</w:t>
      </w:r>
      <w:r w:rsidRPr="0046124E">
        <w:rPr>
          <w:vertAlign w:val="superscript"/>
        </w:rPr>
        <w:t xml:space="preserve">0 </w:t>
      </w:r>
      <w:r w:rsidRPr="0046124E">
        <w:t xml:space="preserve">C and a special operating temperature can be defined by the manufacturer. If the cabinet is made to operate over a range of temperatures, it should comply with the lowest operating temperature range (the lower operating temperature </w:t>
      </w:r>
      <w:r>
        <w:t xml:space="preserve">the more </w:t>
      </w:r>
      <w:r w:rsidRPr="0046124E">
        <w:t>electricity</w:t>
      </w:r>
      <w:r>
        <w:t xml:space="preserve"> used for a given cabinet</w:t>
      </w:r>
      <w:r w:rsidRPr="0046124E">
        <w:t xml:space="preserve">.) </w:t>
      </w:r>
    </w:p>
    <w:p w14:paraId="2190C622" w14:textId="77777777" w:rsidR="006D707F" w:rsidRPr="0046124E" w:rsidRDefault="006D707F" w:rsidP="00D6184A">
      <w:pPr>
        <w:pStyle w:val="E3BodyText"/>
        <w:jc w:val="both"/>
      </w:pPr>
      <w:r w:rsidRPr="0046124E">
        <w:t xml:space="preserve">Part 1 of AS 1731 specifies terms and definitions for refrigerated display cabinets for the sale and display of foodstuffs. It further defines the scope of the standard so that it applies to “commercial refrigerators and freezers used for the sale or display of food products including beverages”, but </w:t>
      </w:r>
      <w:r>
        <w:t xml:space="preserve">specifically excludes </w:t>
      </w:r>
      <w:r w:rsidRPr="0046124E">
        <w:t>“refrigerated vending machines, ice-makers, cabinets intended for use in catering and similar non-retail applications”.</w:t>
      </w:r>
    </w:p>
    <w:p w14:paraId="4A0DC883" w14:textId="1E91B61C" w:rsidR="006D707F" w:rsidRPr="0046124E" w:rsidRDefault="006D707F" w:rsidP="00D6184A">
      <w:pPr>
        <w:pStyle w:val="E3BodyText"/>
        <w:jc w:val="both"/>
      </w:pPr>
      <w:r w:rsidRPr="0046124E">
        <w:t xml:space="preserve">AS 1731 therefore excludes cabinets </w:t>
      </w:r>
      <w:r w:rsidRPr="0046124E">
        <w:rPr>
          <w:i/>
        </w:rPr>
        <w:t>intended for use</w:t>
      </w:r>
      <w:r w:rsidRPr="0046124E">
        <w:t xml:space="preserve"> in catering and similar non-retail applications.</w:t>
      </w:r>
      <w:r w:rsidRPr="0046124E">
        <w:rPr>
          <w:rStyle w:val="FootnoteReference"/>
        </w:rPr>
        <w:footnoteReference w:id="13"/>
      </w:r>
      <w:r w:rsidRPr="0046124E">
        <w:t xml:space="preserve"> As will be discussed in this</w:t>
      </w:r>
      <w:r w:rsidR="00AF04B1">
        <w:t xml:space="preserve"> RIS</w:t>
      </w:r>
      <w:r w:rsidRPr="0046124E">
        <w:t>, this “intended situation of use” exemption operates to exclude most storage cabinets, a s</w:t>
      </w:r>
      <w:r>
        <w:t>ub-category of r</w:t>
      </w:r>
      <w:r w:rsidRPr="0046124E">
        <w:t xml:space="preserve">efrigerated display cabinets. Storage cabinets are largely unregulated by MEPS despite using significant amounts of electricity and using the same refrigeration mechanisms as display cabinets.   </w:t>
      </w:r>
      <w:r>
        <w:rPr>
          <w:b/>
        </w:rPr>
        <w:t>Figure 9</w:t>
      </w:r>
      <w:r w:rsidRPr="0046124E">
        <w:t xml:space="preserve"> (</w:t>
      </w:r>
      <w:r>
        <w:t xml:space="preserve">in the Problem Section) </w:t>
      </w:r>
      <w:r w:rsidR="00AF04B1">
        <w:t>provides a process map for identifying whether a given cabinet is covered by</w:t>
      </w:r>
      <w:r w:rsidR="00AF04B1" w:rsidRPr="0046124E" w:rsidDel="00AF04B1">
        <w:t xml:space="preserve"> </w:t>
      </w:r>
      <w:r w:rsidRPr="0046124E">
        <w:t>AS 1731</w:t>
      </w:r>
      <w:r w:rsidR="00AF04B1">
        <w:t>.</w:t>
      </w:r>
    </w:p>
    <w:p w14:paraId="53E20AE5" w14:textId="105FFFC8" w:rsidR="006D707F" w:rsidRPr="0046124E" w:rsidRDefault="00AF04B1" w:rsidP="00D6184A">
      <w:pPr>
        <w:pStyle w:val="E3BodyText"/>
        <w:jc w:val="both"/>
      </w:pPr>
      <w:r>
        <w:t>R</w:t>
      </w:r>
      <w:r w:rsidR="006D707F" w:rsidRPr="0046124E">
        <w:t>efrigerated commercial cabinets are not labelled to show their energy efficiency. Unlike domestic fridges, they are not sold from retail outlets where different models can be compared side by side. Energy efficiency is therefore largely invisible to buyers and this was one of the reasons why MEPS were devised and implemented as part of AS 1731 in both countries.</w:t>
      </w:r>
    </w:p>
    <w:p w14:paraId="21C8E47C" w14:textId="4DE4428B" w:rsidR="006D707F" w:rsidRDefault="006D707F" w:rsidP="00D6184A">
      <w:pPr>
        <w:pStyle w:val="E3BodyText"/>
        <w:jc w:val="both"/>
      </w:pPr>
      <w:r w:rsidRPr="0046124E">
        <w:t xml:space="preserve">However, as will be outlined in the Problem </w:t>
      </w:r>
      <w:r>
        <w:t xml:space="preserve">Section, </w:t>
      </w:r>
      <w:r w:rsidRPr="0046124E">
        <w:t>there are both regulatory issues and market barriers that constrain buyers from choosing a more energy efficient cabinet. Updating the regulations to reflect</w:t>
      </w:r>
      <w:r w:rsidR="005F1101">
        <w:t xml:space="preserve"> </w:t>
      </w:r>
      <w:r w:rsidR="00AF04B1">
        <w:t>the</w:t>
      </w:r>
      <w:r w:rsidRPr="0046124E">
        <w:t xml:space="preserve"> global trade in cabinets and to encompass a much broader range of models could yield significant electricity savings and greenhouse gas reductions for buyers and users.</w:t>
      </w:r>
    </w:p>
    <w:p w14:paraId="508EEB8C" w14:textId="77777777" w:rsidR="00120A42" w:rsidRDefault="00120A42" w:rsidP="00D6184A">
      <w:pPr>
        <w:pStyle w:val="E3BodyText"/>
        <w:jc w:val="both"/>
      </w:pPr>
    </w:p>
    <w:p w14:paraId="15EF41A3" w14:textId="77777777" w:rsidR="00120A42" w:rsidRDefault="00120A42" w:rsidP="00D6184A">
      <w:pPr>
        <w:pStyle w:val="E3BodyText"/>
        <w:jc w:val="both"/>
      </w:pPr>
    </w:p>
    <w:p w14:paraId="16B5D3A6" w14:textId="77777777" w:rsidR="00120A42" w:rsidRPr="0046124E" w:rsidRDefault="00120A42" w:rsidP="00D6184A">
      <w:pPr>
        <w:pStyle w:val="E3BodyText"/>
        <w:jc w:val="both"/>
      </w:pPr>
    </w:p>
    <w:p w14:paraId="73ED831B" w14:textId="414C6170" w:rsidR="00243B70" w:rsidRDefault="006D707F" w:rsidP="00E60225">
      <w:pPr>
        <w:pStyle w:val="E3Heading2"/>
        <w:jc w:val="both"/>
      </w:pPr>
      <w:bookmarkStart w:id="73" w:name="_Toc500151787"/>
      <w:r w:rsidRPr="006D707F">
        <w:lastRenderedPageBreak/>
        <w:t>Policy context</w:t>
      </w:r>
      <w:bookmarkEnd w:id="73"/>
    </w:p>
    <w:p w14:paraId="10EBE7F0" w14:textId="22FA35C5" w:rsidR="006D707F" w:rsidRPr="00066675" w:rsidDel="0013370B" w:rsidRDefault="006D707F" w:rsidP="00D6184A">
      <w:pPr>
        <w:pStyle w:val="E3BodyText"/>
        <w:jc w:val="both"/>
      </w:pPr>
      <w:r w:rsidRPr="00066675">
        <w:t xml:space="preserve">Over the past decade </w:t>
      </w:r>
      <w:r w:rsidRPr="00066675" w:rsidDel="0013370B">
        <w:t xml:space="preserve">New Zealand </w:t>
      </w:r>
      <w:r w:rsidRPr="00066675">
        <w:t xml:space="preserve">and Australia have introduced and </w:t>
      </w:r>
      <w:r w:rsidRPr="00066675" w:rsidDel="0013370B">
        <w:t>maintain</w:t>
      </w:r>
      <w:r w:rsidRPr="00066675">
        <w:t>ed</w:t>
      </w:r>
      <w:r w:rsidRPr="00066675" w:rsidDel="0013370B">
        <w:t xml:space="preserve"> MEPS and labelling measures through the Equipment Energy Efficiency (E3) Progra</w:t>
      </w:r>
      <w:r w:rsidRPr="00066675">
        <w:t>m. Participation in this program has</w:t>
      </w:r>
      <w:r w:rsidRPr="00066675" w:rsidDel="0013370B">
        <w:t xml:space="preserve"> </w:t>
      </w:r>
      <w:r w:rsidRPr="00066675">
        <w:t>benefited both countries by:</w:t>
      </w:r>
    </w:p>
    <w:p w14:paraId="452D8C39" w14:textId="77777777" w:rsidR="006D707F" w:rsidRPr="00F20882" w:rsidDel="0013370B" w:rsidRDefault="006D707F" w:rsidP="00F20882">
      <w:pPr>
        <w:pStyle w:val="E3Bullets"/>
      </w:pPr>
      <w:r w:rsidRPr="00F20882" w:rsidDel="0013370B">
        <w:t>Helping</w:t>
      </w:r>
      <w:r w:rsidRPr="00F20882">
        <w:t xml:space="preserve"> </w:t>
      </w:r>
      <w:r w:rsidRPr="00F20882" w:rsidDel="0013370B">
        <w:t xml:space="preserve">to uphold the principles of the Trans-Tasman Mutual Recognition Arrangement (under which goods legal for sale in either country can legally be offered for sale in both) and maintain regulatory alignment </w:t>
      </w:r>
      <w:r w:rsidRPr="00F20882">
        <w:t xml:space="preserve">between </w:t>
      </w:r>
      <w:r w:rsidRPr="00F20882" w:rsidDel="0013370B">
        <w:t>Australia</w:t>
      </w:r>
      <w:r w:rsidRPr="00F20882">
        <w:t xml:space="preserve"> and </w:t>
      </w:r>
      <w:r w:rsidRPr="00F20882" w:rsidDel="0013370B">
        <w:t>New Zealand</w:t>
      </w:r>
      <w:r w:rsidRPr="00F20882">
        <w:t>.</w:t>
      </w:r>
      <w:r w:rsidRPr="00F20882" w:rsidDel="0013370B">
        <w:t xml:space="preserve"> </w:t>
      </w:r>
    </w:p>
    <w:p w14:paraId="7F693CB9" w14:textId="77777777" w:rsidR="006D707F" w:rsidRPr="00F20882" w:rsidDel="0013370B" w:rsidRDefault="006D707F" w:rsidP="00F20882">
      <w:pPr>
        <w:pStyle w:val="E3Bullets"/>
      </w:pPr>
      <w:r w:rsidRPr="00F20882">
        <w:t>R</w:t>
      </w:r>
      <w:r w:rsidRPr="00F20882" w:rsidDel="0013370B">
        <w:t xml:space="preserve">educing costs to </w:t>
      </w:r>
      <w:r w:rsidRPr="00F20882">
        <w:t>consumers.</w:t>
      </w:r>
      <w:r w:rsidRPr="00F20882" w:rsidDel="0013370B">
        <w:t xml:space="preserve"> </w:t>
      </w:r>
    </w:p>
    <w:p w14:paraId="034B7322" w14:textId="77777777" w:rsidR="006D707F" w:rsidRPr="00F20882" w:rsidRDefault="006D707F" w:rsidP="00F20882">
      <w:pPr>
        <w:pStyle w:val="E3Bullets"/>
      </w:pPr>
      <w:r w:rsidRPr="00F20882">
        <w:t>R</w:t>
      </w:r>
      <w:r w:rsidRPr="00F20882" w:rsidDel="0013370B">
        <w:t>educing costs to businesses (as they bear a single cost for meeting the standards and labelling requirements of both countries)</w:t>
      </w:r>
      <w:r w:rsidRPr="00F20882">
        <w:t>.</w:t>
      </w:r>
      <w:r w:rsidRPr="00F20882" w:rsidDel="0013370B">
        <w:t xml:space="preserve"> </w:t>
      </w:r>
    </w:p>
    <w:p w14:paraId="7B7C75E3" w14:textId="77777777" w:rsidR="00F20882" w:rsidRDefault="00F20882" w:rsidP="006D707F">
      <w:pPr>
        <w:pStyle w:val="E3Heading4"/>
      </w:pPr>
      <w:bookmarkStart w:id="74" w:name="_Toc447533573"/>
    </w:p>
    <w:p w14:paraId="008C7E73" w14:textId="28EBDCA5" w:rsidR="006D707F" w:rsidRPr="0041262C" w:rsidRDefault="006D707F" w:rsidP="006D707F">
      <w:pPr>
        <w:pStyle w:val="E3Heading4"/>
      </w:pPr>
      <w:r w:rsidRPr="0041262C">
        <w:t>New Zealand</w:t>
      </w:r>
      <w:bookmarkEnd w:id="74"/>
    </w:p>
    <w:p w14:paraId="28DBC3DE" w14:textId="62AB4AF0" w:rsidR="006D707F" w:rsidRPr="00066675" w:rsidRDefault="006D707F" w:rsidP="00D6184A">
      <w:pPr>
        <w:pStyle w:val="E3BodyText"/>
        <w:jc w:val="both"/>
      </w:pPr>
      <w:r w:rsidRPr="00066675">
        <w:t xml:space="preserve">The policy context for improving the energy use of products available for sale in New Zealand is set out in the </w:t>
      </w:r>
      <w:r>
        <w:rPr>
          <w:i/>
        </w:rPr>
        <w:t>New Zealand Energy Strategy 2017</w:t>
      </w:r>
      <w:r w:rsidRPr="00066675">
        <w:rPr>
          <w:i/>
        </w:rPr>
        <w:t xml:space="preserve">-2021. </w:t>
      </w:r>
      <w:r w:rsidRPr="00066675">
        <w:t>This</w:t>
      </w:r>
      <w:r w:rsidR="00AF04B1">
        <w:t xml:space="preserve"> strategy</w:t>
      </w:r>
      <w:r w:rsidRPr="00066675">
        <w:rPr>
          <w:i/>
        </w:rPr>
        <w:t xml:space="preserve"> </w:t>
      </w:r>
      <w:r w:rsidRPr="00066675">
        <w:t xml:space="preserve">outlines key priorities and strategic direction across New Zealand’s energy sector, including the efficient use of energy. </w:t>
      </w:r>
    </w:p>
    <w:p w14:paraId="11F5EE11" w14:textId="5F424176" w:rsidR="006D707F" w:rsidRDefault="006D707F" w:rsidP="00D6184A">
      <w:pPr>
        <w:pStyle w:val="E3BodyText"/>
        <w:jc w:val="both"/>
      </w:pPr>
      <w:r w:rsidRPr="001B4F98">
        <w:t xml:space="preserve">Its companion document, </w:t>
      </w:r>
      <w:r w:rsidRPr="001B4F98">
        <w:rPr>
          <w:i/>
        </w:rPr>
        <w:t>The New Zealand Energy Efficienc</w:t>
      </w:r>
      <w:r>
        <w:rPr>
          <w:i/>
        </w:rPr>
        <w:t>y and Conservation Strategy 2017-2022</w:t>
      </w:r>
      <w:r w:rsidRPr="001B4F98">
        <w:t>,</w:t>
      </w:r>
      <w:r w:rsidRPr="001B4F98">
        <w:rPr>
          <w:i/>
        </w:rPr>
        <w:t xml:space="preserve"> </w:t>
      </w:r>
      <w:r w:rsidRPr="001B4F98">
        <w:t xml:space="preserve">sets </w:t>
      </w:r>
      <w:r>
        <w:t xml:space="preserve">actions and targets </w:t>
      </w:r>
      <w:r w:rsidR="00AF04B1">
        <w:t xml:space="preserve">that </w:t>
      </w:r>
      <w:r>
        <w:t xml:space="preserve">will contribute to achieving the Government’s policies and objectives. One of the three priority areas identified by the Strategy is the innovative and efficient use of electricity. The target for this priority area is </w:t>
      </w:r>
      <w:r w:rsidR="00AF04B1">
        <w:t xml:space="preserve">the </w:t>
      </w:r>
      <w:r>
        <w:t>90% of electricity</w:t>
      </w:r>
      <w:r w:rsidR="00AF04B1">
        <w:t xml:space="preserve"> that</w:t>
      </w:r>
      <w:r>
        <w:t xml:space="preserve"> will be generated from renewable sources by 2025 (in an average hydrological year) providing security of supply is maintained. Significant progress has been made towards this target over the last few years, due in part to increasing uptake of energy efficient technologies. MEPS and labelling “contribute to the Government’s policy priorities of innovative and efficient use of electricity by improving the energy performance of products, such as fridges, freezers and heat pumps.” </w:t>
      </w:r>
    </w:p>
    <w:p w14:paraId="22BAC161" w14:textId="77777777" w:rsidR="006D707F" w:rsidRPr="00066675" w:rsidRDefault="006D707F" w:rsidP="00D6184A">
      <w:pPr>
        <w:pStyle w:val="E3BodyText"/>
        <w:jc w:val="both"/>
      </w:pPr>
      <w:r w:rsidRPr="00066675">
        <w:t>By 2030, New Zealand’s energy demand is forecast to increase by 16% (against reported demand in 2013), resulting in a total energy demand of 632.2 PJ p.a. and producing an estimated 32.6 million tonnes of CO</w:t>
      </w:r>
      <w:r w:rsidRPr="00066675">
        <w:rPr>
          <w:vertAlign w:val="subscript"/>
        </w:rPr>
        <w:t>2</w:t>
      </w:r>
      <w:r w:rsidRPr="00066675">
        <w:t xml:space="preserve"> emissions (MBIE 2012, 2014).</w:t>
      </w:r>
    </w:p>
    <w:p w14:paraId="71997519" w14:textId="0BD64734" w:rsidR="006D707F" w:rsidRPr="00066675" w:rsidRDefault="006D707F" w:rsidP="00D6184A">
      <w:pPr>
        <w:pStyle w:val="E3BodyText"/>
        <w:jc w:val="both"/>
      </w:pPr>
      <w:r w:rsidRPr="00066675">
        <w:t xml:space="preserve">Greater uptake of energy efficient products could result in significant energy savings for New Zealand </w:t>
      </w:r>
      <w:r w:rsidR="00AF04B1">
        <w:t>compared with</w:t>
      </w:r>
      <w:r w:rsidRPr="00066675">
        <w:t xml:space="preserve"> forecast demand.  The Energy Efficiency Conservation Authority (EECA) has identified 109 PJ in potential energy savings and 5.17 million tonnes of CO</w:t>
      </w:r>
      <w:r w:rsidRPr="00066675">
        <w:rPr>
          <w:vertAlign w:val="subscript"/>
        </w:rPr>
        <w:t>2</w:t>
      </w:r>
      <w:r w:rsidRPr="00066675">
        <w:t xml:space="preserve"> savings across these sectors that could be realised by improving the energy efficiency of the products and equipment used in New Zealand (including adopting best available technology and adapting how products are used). </w:t>
      </w:r>
    </w:p>
    <w:p w14:paraId="272E33E3" w14:textId="31406AC6" w:rsidR="006D707F" w:rsidRPr="00066675" w:rsidRDefault="006D707F" w:rsidP="00D6184A">
      <w:pPr>
        <w:pStyle w:val="E3BodyText"/>
        <w:jc w:val="both"/>
      </w:pPr>
      <w:r w:rsidRPr="00066675">
        <w:t xml:space="preserve">Achieving these savings </w:t>
      </w:r>
      <w:r w:rsidR="00AF04B1">
        <w:t xml:space="preserve">would </w:t>
      </w:r>
      <w:r w:rsidRPr="00066675">
        <w:t xml:space="preserve">reduce running costs and improve business competiveness and profit.  It </w:t>
      </w:r>
      <w:r w:rsidR="00AF04B1">
        <w:t>would</w:t>
      </w:r>
      <w:r w:rsidR="00AF04B1" w:rsidRPr="00066675">
        <w:t xml:space="preserve"> </w:t>
      </w:r>
      <w:r w:rsidRPr="00066675">
        <w:t>also help</w:t>
      </w:r>
      <w:r w:rsidR="00AF04B1">
        <w:t xml:space="preserve"> to</w:t>
      </w:r>
      <w:r w:rsidRPr="00066675">
        <w:t xml:space="preserve"> curb growth in energy demand, thereby deferring the need </w:t>
      </w:r>
      <w:r w:rsidRPr="00066675">
        <w:lastRenderedPageBreak/>
        <w:t>to invest in new energy supply infrastructure. This helps New Zealand to continue to meet most of its stationary energy needs from renewable and low emissions energy sources.</w:t>
      </w:r>
    </w:p>
    <w:p w14:paraId="328947A2" w14:textId="77777777" w:rsidR="006D707F" w:rsidRPr="0041262C" w:rsidRDefault="006D707F" w:rsidP="006D707F">
      <w:pPr>
        <w:pStyle w:val="E3Heading4"/>
      </w:pPr>
      <w:bookmarkStart w:id="75" w:name="_Toc447533574"/>
      <w:r w:rsidRPr="0041262C">
        <w:t>Australia</w:t>
      </w:r>
      <w:bookmarkEnd w:id="75"/>
    </w:p>
    <w:p w14:paraId="578DE638" w14:textId="77777777" w:rsidR="006D707F" w:rsidRPr="00066675" w:rsidRDefault="006D707F" w:rsidP="00D6184A">
      <w:pPr>
        <w:pStyle w:val="E3BodyText"/>
        <w:jc w:val="both"/>
      </w:pPr>
      <w:r w:rsidRPr="00066675">
        <w:t>In April 2015, the Australian Government released the Energy White Paper (EWP) which recognises that energy productivity improvement could help reduce business and household costs, promote competition in energy markets and energy using products, encourage economic growth and contribute to emissions reduction targets.</w:t>
      </w:r>
    </w:p>
    <w:p w14:paraId="79C5E069" w14:textId="174B7F64" w:rsidR="006D707F" w:rsidRPr="00066675" w:rsidRDefault="006D707F" w:rsidP="00D6184A">
      <w:pPr>
        <w:pStyle w:val="E3BodyText"/>
        <w:jc w:val="both"/>
      </w:pPr>
      <w:r w:rsidRPr="00066675">
        <w:t>At their meeting on 23 July 2015, the COAG Energy Council agreed to support the development of the National Energy Productivity Plan (NE</w:t>
      </w:r>
      <w:r>
        <w:t>P</w:t>
      </w:r>
      <w:r w:rsidRPr="00066675">
        <w:t>P) as a coordinated national plan.  The NEPP provides a framework and an initial economy-wide work plan designed to accelerate action to deliver a 40% improvement in Australia’s energy productivity by 2030. In better coordinating energy efficiency, energy market reform and climate policy, it brings together new and existing measures from across the Council’s work program, as well as from the Commonwealth and industry. The</w:t>
      </w:r>
      <w:r w:rsidR="00AF04B1">
        <w:t xml:space="preserve"> Energy Efficiency Advisory Team</w:t>
      </w:r>
      <w:r w:rsidRPr="00066675">
        <w:t xml:space="preserve"> </w:t>
      </w:r>
      <w:r w:rsidR="00AF04B1">
        <w:t>(</w:t>
      </w:r>
      <w:r w:rsidRPr="00066675">
        <w:t>EEAT</w:t>
      </w:r>
      <w:r w:rsidR="00AF04B1">
        <w:t>)</w:t>
      </w:r>
      <w:r w:rsidR="00826C91">
        <w:t xml:space="preserve"> </w:t>
      </w:r>
      <w:r w:rsidRPr="00066675">
        <w:t>will play an important role in delivering the goals of the NEPP, and is expected to contribute to the improvement of energy efficiency.</w:t>
      </w:r>
    </w:p>
    <w:p w14:paraId="373F15D4" w14:textId="77777777" w:rsidR="006D707F" w:rsidRPr="00066675" w:rsidRDefault="006D707F" w:rsidP="00D6184A">
      <w:pPr>
        <w:pStyle w:val="E3BodyText"/>
        <w:jc w:val="both"/>
      </w:pPr>
      <w:r w:rsidRPr="00066675">
        <w:t>As part of its Industry Innovation and Competiveness Agenda, the Australian Government is committed to removing inefficient regulation, simplifying compliance, improving regulator responsiveness and harmonising with international standards where appropriate to help small and large businesses thrive.  This includes removing regulation that duplicates trusted overseas processes, except in cases where unique Australian regulations can be justified i.e. international harmonisation.</w:t>
      </w:r>
    </w:p>
    <w:p w14:paraId="0A353F42" w14:textId="77777777" w:rsidR="006D707F" w:rsidRPr="0041262C" w:rsidRDefault="006D707F" w:rsidP="00D6184A">
      <w:pPr>
        <w:pStyle w:val="E3Heading4"/>
        <w:jc w:val="both"/>
      </w:pPr>
      <w:bookmarkStart w:id="76" w:name="_Toc447533575"/>
      <w:r w:rsidRPr="0041262C">
        <w:t>International</w:t>
      </w:r>
      <w:bookmarkEnd w:id="76"/>
    </w:p>
    <w:p w14:paraId="37C88744" w14:textId="5FF8ED5C" w:rsidR="006D707F" w:rsidRPr="00066675" w:rsidRDefault="006D707F" w:rsidP="00D6184A">
      <w:pPr>
        <w:pStyle w:val="E3BodyText"/>
        <w:jc w:val="both"/>
      </w:pPr>
      <w:r w:rsidRPr="00066675">
        <w:t>Internationally, there has been a focus on how to achieve substantial efficiency improvements for individual products and how to translate this into national energy savings and reductions in CO2 emissions. This helps countries to meet</w:t>
      </w:r>
      <w:r w:rsidR="00AF04B1">
        <w:t xml:space="preserve"> their</w:t>
      </w:r>
      <w:r w:rsidRPr="00066675">
        <w:t xml:space="preserve"> emissions targets. </w:t>
      </w:r>
    </w:p>
    <w:p w14:paraId="22FA0FB3" w14:textId="534F6115" w:rsidR="006D707F" w:rsidRPr="00066675" w:rsidRDefault="006D707F" w:rsidP="00D6184A">
      <w:pPr>
        <w:pStyle w:val="E3BodyText"/>
        <w:jc w:val="both"/>
      </w:pPr>
      <w:r w:rsidRPr="00066675">
        <w:t xml:space="preserve">The combination of addressing standards and labelling has been shown to </w:t>
      </w:r>
      <w:r w:rsidR="00A0343E">
        <w:t xml:space="preserve">provide </w:t>
      </w:r>
      <w:r w:rsidR="00A0343E" w:rsidRPr="00066675">
        <w:t>substantial</w:t>
      </w:r>
      <w:r w:rsidRPr="00066675">
        <w:t xml:space="preserve"> energy efficiency gains. A global assessment of national Energy Efficiency Standards and Labelling (EESL) programs which operate in more than 80 countries established that:</w:t>
      </w:r>
      <w:r w:rsidRPr="00066675">
        <w:rPr>
          <w:rStyle w:val="FootnoteReference"/>
        </w:rPr>
        <w:footnoteReference w:id="14"/>
      </w:r>
    </w:p>
    <w:p w14:paraId="1E57D28B" w14:textId="50283243" w:rsidR="006D707F" w:rsidRDefault="006D707F" w:rsidP="00D6184A">
      <w:pPr>
        <w:pStyle w:val="E3Bullets"/>
        <w:jc w:val="both"/>
      </w:pPr>
      <w:r w:rsidRPr="00F20882">
        <w:t xml:space="preserve">One-off improvements of more than 30% in the energy efficiency of major appliances in a number of countries has been observed when new EESL programs have been first introduced to a market where few energy efficiency programs had existed previously and have translated to national energy savings and reductions in CO2 emissions. In all of the </w:t>
      </w:r>
      <w:r w:rsidRPr="00F20882">
        <w:lastRenderedPageBreak/>
        <w:t>EESL programs reviewed, the national benefits outweighed the additional costs by a ratio of at least 3 to 1, i.e. EESL programs deliver energy and CO2 reductions while also reducing total costs. This compares favourably with the cost of other clean energy options and supports the conclusion from the International Energy Agency that end-use efficiency measures offer the least cost pathway to energy and CO2 emission reductions.</w:t>
      </w:r>
    </w:p>
    <w:p w14:paraId="311D2662" w14:textId="77777777" w:rsidR="00D6184A" w:rsidRPr="00F20882" w:rsidRDefault="00D6184A" w:rsidP="00D6184A">
      <w:pPr>
        <w:pStyle w:val="E3Bullets"/>
        <w:numPr>
          <w:ilvl w:val="0"/>
          <w:numId w:val="0"/>
        </w:numPr>
        <w:ind w:left="227"/>
        <w:jc w:val="both"/>
      </w:pPr>
    </w:p>
    <w:p w14:paraId="2A34CF93" w14:textId="74AB6C41" w:rsidR="006D707F" w:rsidRPr="00F20882" w:rsidRDefault="006D707F" w:rsidP="00F20882">
      <w:pPr>
        <w:pStyle w:val="E3Bullets"/>
      </w:pPr>
      <w:r w:rsidRPr="00F20882">
        <w:t xml:space="preserve">Appliances and equipment covered by EESL programs have not only dramatically improved in efficiency over the past 20 years, but are also cheaper to purchase. While EESL programs may have caused </w:t>
      </w:r>
      <w:r w:rsidR="00A0343E">
        <w:t>increases</w:t>
      </w:r>
      <w:r w:rsidRPr="00F20882">
        <w:t xml:space="preserve"> in prices </w:t>
      </w:r>
      <w:r w:rsidR="00A0343E">
        <w:t>on</w:t>
      </w:r>
      <w:r w:rsidRPr="00F20882">
        <w:t xml:space="preserve"> the </w:t>
      </w:r>
      <w:r w:rsidR="005F1101">
        <w:t>i</w:t>
      </w:r>
      <w:r w:rsidR="00A0343E">
        <w:t>ntroduction</w:t>
      </w:r>
      <w:r w:rsidR="00A0343E" w:rsidRPr="00F20882">
        <w:t xml:space="preserve"> </w:t>
      </w:r>
      <w:r w:rsidRPr="00F20882">
        <w:t xml:space="preserve">of new energy efficiency measures, they appear to have had little long-term </w:t>
      </w:r>
      <w:r w:rsidR="00A0343E">
        <w:t>effect</w:t>
      </w:r>
      <w:r w:rsidR="00A0343E" w:rsidRPr="00F20882">
        <w:t xml:space="preserve"> </w:t>
      </w:r>
      <w:r w:rsidRPr="00F20882">
        <w:t>on appliance price trends.</w:t>
      </w:r>
    </w:p>
    <w:p w14:paraId="470C1344" w14:textId="431C75AD" w:rsidR="006D707F" w:rsidRDefault="006D707F" w:rsidP="006D707F">
      <w:pPr>
        <w:pStyle w:val="E3Bullets"/>
        <w:numPr>
          <w:ilvl w:val="0"/>
          <w:numId w:val="0"/>
        </w:numPr>
        <w:autoSpaceDE/>
        <w:autoSpaceDN/>
        <w:adjustRightInd/>
        <w:spacing w:before="120" w:after="113" w:line="278" w:lineRule="auto"/>
        <w:ind w:left="227" w:hanging="227"/>
        <w:contextualSpacing w:val="0"/>
        <w:jc w:val="both"/>
      </w:pPr>
    </w:p>
    <w:p w14:paraId="35DB4690" w14:textId="382EDE8D" w:rsidR="00A0343E" w:rsidRDefault="00A0343E" w:rsidP="006D707F">
      <w:pPr>
        <w:pStyle w:val="E3Bullets"/>
        <w:numPr>
          <w:ilvl w:val="0"/>
          <w:numId w:val="0"/>
        </w:numPr>
        <w:autoSpaceDE/>
        <w:autoSpaceDN/>
        <w:adjustRightInd/>
        <w:spacing w:before="120" w:after="113" w:line="278" w:lineRule="auto"/>
        <w:ind w:left="227" w:hanging="227"/>
        <w:contextualSpacing w:val="0"/>
        <w:jc w:val="both"/>
      </w:pPr>
    </w:p>
    <w:p w14:paraId="791C91B3" w14:textId="580E6EFF" w:rsidR="00A0343E" w:rsidRDefault="00A0343E" w:rsidP="006D707F">
      <w:pPr>
        <w:pStyle w:val="E3Bullets"/>
        <w:numPr>
          <w:ilvl w:val="0"/>
          <w:numId w:val="0"/>
        </w:numPr>
        <w:autoSpaceDE/>
        <w:autoSpaceDN/>
        <w:adjustRightInd/>
        <w:spacing w:before="120" w:after="113" w:line="278" w:lineRule="auto"/>
        <w:ind w:left="227" w:hanging="227"/>
        <w:contextualSpacing w:val="0"/>
        <w:jc w:val="both"/>
      </w:pPr>
    </w:p>
    <w:p w14:paraId="3CC506ED" w14:textId="7E6217AA" w:rsidR="00A0343E" w:rsidRDefault="00A0343E" w:rsidP="006D707F">
      <w:pPr>
        <w:pStyle w:val="E3Bullets"/>
        <w:numPr>
          <w:ilvl w:val="0"/>
          <w:numId w:val="0"/>
        </w:numPr>
        <w:autoSpaceDE/>
        <w:autoSpaceDN/>
        <w:adjustRightInd/>
        <w:spacing w:before="120" w:after="113" w:line="278" w:lineRule="auto"/>
        <w:ind w:left="227" w:hanging="227"/>
        <w:contextualSpacing w:val="0"/>
        <w:jc w:val="both"/>
      </w:pPr>
    </w:p>
    <w:p w14:paraId="1432C467" w14:textId="7AA56FC4" w:rsidR="00A0343E" w:rsidRDefault="00A0343E" w:rsidP="006D707F">
      <w:pPr>
        <w:pStyle w:val="E3Bullets"/>
        <w:numPr>
          <w:ilvl w:val="0"/>
          <w:numId w:val="0"/>
        </w:numPr>
        <w:autoSpaceDE/>
        <w:autoSpaceDN/>
        <w:adjustRightInd/>
        <w:spacing w:before="120" w:after="113" w:line="278" w:lineRule="auto"/>
        <w:ind w:left="227" w:hanging="227"/>
        <w:contextualSpacing w:val="0"/>
        <w:jc w:val="both"/>
      </w:pPr>
    </w:p>
    <w:p w14:paraId="37BDB5EE" w14:textId="03F92B87" w:rsidR="00A0343E" w:rsidRDefault="00A0343E" w:rsidP="006D707F">
      <w:pPr>
        <w:pStyle w:val="E3Bullets"/>
        <w:numPr>
          <w:ilvl w:val="0"/>
          <w:numId w:val="0"/>
        </w:numPr>
        <w:autoSpaceDE/>
        <w:autoSpaceDN/>
        <w:adjustRightInd/>
        <w:spacing w:before="120" w:after="113" w:line="278" w:lineRule="auto"/>
        <w:ind w:left="227" w:hanging="227"/>
        <w:contextualSpacing w:val="0"/>
        <w:jc w:val="both"/>
      </w:pPr>
    </w:p>
    <w:p w14:paraId="09079923" w14:textId="038A84F2" w:rsidR="00A0343E" w:rsidRDefault="00A0343E" w:rsidP="006D707F">
      <w:pPr>
        <w:pStyle w:val="E3Bullets"/>
        <w:numPr>
          <w:ilvl w:val="0"/>
          <w:numId w:val="0"/>
        </w:numPr>
        <w:autoSpaceDE/>
        <w:autoSpaceDN/>
        <w:adjustRightInd/>
        <w:spacing w:before="120" w:after="113" w:line="278" w:lineRule="auto"/>
        <w:ind w:left="227" w:hanging="227"/>
        <w:contextualSpacing w:val="0"/>
        <w:jc w:val="both"/>
      </w:pPr>
    </w:p>
    <w:p w14:paraId="741AF859" w14:textId="49B676A0" w:rsidR="00A0343E" w:rsidRDefault="00A0343E" w:rsidP="006D707F">
      <w:pPr>
        <w:pStyle w:val="E3Bullets"/>
        <w:numPr>
          <w:ilvl w:val="0"/>
          <w:numId w:val="0"/>
        </w:numPr>
        <w:autoSpaceDE/>
        <w:autoSpaceDN/>
        <w:adjustRightInd/>
        <w:spacing w:before="120" w:after="113" w:line="278" w:lineRule="auto"/>
        <w:ind w:left="227" w:hanging="227"/>
        <w:contextualSpacing w:val="0"/>
        <w:jc w:val="both"/>
      </w:pPr>
    </w:p>
    <w:p w14:paraId="77F1C18C" w14:textId="109B0781" w:rsidR="00A0343E" w:rsidRDefault="00A0343E" w:rsidP="006D707F">
      <w:pPr>
        <w:pStyle w:val="E3Bullets"/>
        <w:numPr>
          <w:ilvl w:val="0"/>
          <w:numId w:val="0"/>
        </w:numPr>
        <w:autoSpaceDE/>
        <w:autoSpaceDN/>
        <w:adjustRightInd/>
        <w:spacing w:before="120" w:after="113" w:line="278" w:lineRule="auto"/>
        <w:ind w:left="227" w:hanging="227"/>
        <w:contextualSpacing w:val="0"/>
        <w:jc w:val="both"/>
      </w:pPr>
    </w:p>
    <w:p w14:paraId="267BAC38" w14:textId="718A9757" w:rsidR="00A0343E" w:rsidRDefault="00A0343E" w:rsidP="006D707F">
      <w:pPr>
        <w:pStyle w:val="E3Bullets"/>
        <w:numPr>
          <w:ilvl w:val="0"/>
          <w:numId w:val="0"/>
        </w:numPr>
        <w:autoSpaceDE/>
        <w:autoSpaceDN/>
        <w:adjustRightInd/>
        <w:spacing w:before="120" w:after="113" w:line="278" w:lineRule="auto"/>
        <w:ind w:left="227" w:hanging="227"/>
        <w:contextualSpacing w:val="0"/>
        <w:jc w:val="both"/>
      </w:pPr>
    </w:p>
    <w:p w14:paraId="6CDCCAE1" w14:textId="6D6017B1" w:rsidR="00A0343E" w:rsidRDefault="00A0343E" w:rsidP="006D707F">
      <w:pPr>
        <w:pStyle w:val="E3Bullets"/>
        <w:numPr>
          <w:ilvl w:val="0"/>
          <w:numId w:val="0"/>
        </w:numPr>
        <w:autoSpaceDE/>
        <w:autoSpaceDN/>
        <w:adjustRightInd/>
        <w:spacing w:before="120" w:after="113" w:line="278" w:lineRule="auto"/>
        <w:ind w:left="227" w:hanging="227"/>
        <w:contextualSpacing w:val="0"/>
        <w:jc w:val="both"/>
      </w:pPr>
    </w:p>
    <w:p w14:paraId="1A79C82E" w14:textId="4D014F52" w:rsidR="00A0343E" w:rsidRDefault="00A0343E" w:rsidP="006D707F">
      <w:pPr>
        <w:pStyle w:val="E3Bullets"/>
        <w:numPr>
          <w:ilvl w:val="0"/>
          <w:numId w:val="0"/>
        </w:numPr>
        <w:autoSpaceDE/>
        <w:autoSpaceDN/>
        <w:adjustRightInd/>
        <w:spacing w:before="120" w:after="113" w:line="278" w:lineRule="auto"/>
        <w:ind w:left="227" w:hanging="227"/>
        <w:contextualSpacing w:val="0"/>
        <w:jc w:val="both"/>
      </w:pPr>
    </w:p>
    <w:p w14:paraId="464CE8FC" w14:textId="0F92F07B" w:rsidR="00A0343E" w:rsidRDefault="00A0343E" w:rsidP="006D707F">
      <w:pPr>
        <w:pStyle w:val="E3Bullets"/>
        <w:numPr>
          <w:ilvl w:val="0"/>
          <w:numId w:val="0"/>
        </w:numPr>
        <w:autoSpaceDE/>
        <w:autoSpaceDN/>
        <w:adjustRightInd/>
        <w:spacing w:before="120" w:after="113" w:line="278" w:lineRule="auto"/>
        <w:ind w:left="227" w:hanging="227"/>
        <w:contextualSpacing w:val="0"/>
        <w:jc w:val="both"/>
      </w:pPr>
    </w:p>
    <w:p w14:paraId="13204580" w14:textId="5816F66C" w:rsidR="00A0343E" w:rsidRDefault="00A0343E" w:rsidP="006D707F">
      <w:pPr>
        <w:pStyle w:val="E3Bullets"/>
        <w:numPr>
          <w:ilvl w:val="0"/>
          <w:numId w:val="0"/>
        </w:numPr>
        <w:autoSpaceDE/>
        <w:autoSpaceDN/>
        <w:adjustRightInd/>
        <w:spacing w:before="120" w:after="113" w:line="278" w:lineRule="auto"/>
        <w:ind w:left="227" w:hanging="227"/>
        <w:contextualSpacing w:val="0"/>
        <w:jc w:val="both"/>
      </w:pPr>
    </w:p>
    <w:p w14:paraId="03F86C8C" w14:textId="6C68EC22" w:rsidR="00A0343E" w:rsidRDefault="00A0343E" w:rsidP="006D707F">
      <w:pPr>
        <w:pStyle w:val="E3Bullets"/>
        <w:numPr>
          <w:ilvl w:val="0"/>
          <w:numId w:val="0"/>
        </w:numPr>
        <w:autoSpaceDE/>
        <w:autoSpaceDN/>
        <w:adjustRightInd/>
        <w:spacing w:before="120" w:after="113" w:line="278" w:lineRule="auto"/>
        <w:ind w:left="227" w:hanging="227"/>
        <w:contextualSpacing w:val="0"/>
        <w:jc w:val="both"/>
      </w:pPr>
    </w:p>
    <w:p w14:paraId="1037B3D0" w14:textId="43F9F5EC" w:rsidR="00A0343E" w:rsidRDefault="00A0343E" w:rsidP="006D707F">
      <w:pPr>
        <w:pStyle w:val="E3Bullets"/>
        <w:numPr>
          <w:ilvl w:val="0"/>
          <w:numId w:val="0"/>
        </w:numPr>
        <w:autoSpaceDE/>
        <w:autoSpaceDN/>
        <w:adjustRightInd/>
        <w:spacing w:before="120" w:after="113" w:line="278" w:lineRule="auto"/>
        <w:ind w:left="227" w:hanging="227"/>
        <w:contextualSpacing w:val="0"/>
        <w:jc w:val="both"/>
      </w:pPr>
    </w:p>
    <w:p w14:paraId="675C43E3" w14:textId="59A53D8B" w:rsidR="00A0343E" w:rsidRDefault="00A0343E" w:rsidP="006D707F">
      <w:pPr>
        <w:pStyle w:val="E3Bullets"/>
        <w:numPr>
          <w:ilvl w:val="0"/>
          <w:numId w:val="0"/>
        </w:numPr>
        <w:autoSpaceDE/>
        <w:autoSpaceDN/>
        <w:adjustRightInd/>
        <w:spacing w:before="120" w:after="113" w:line="278" w:lineRule="auto"/>
        <w:ind w:left="227" w:hanging="227"/>
        <w:contextualSpacing w:val="0"/>
        <w:jc w:val="both"/>
      </w:pPr>
    </w:p>
    <w:p w14:paraId="3336F4C8" w14:textId="77777777" w:rsidR="00A0343E" w:rsidRDefault="00A0343E" w:rsidP="006D707F">
      <w:pPr>
        <w:pStyle w:val="E3Bullets"/>
        <w:numPr>
          <w:ilvl w:val="0"/>
          <w:numId w:val="0"/>
        </w:numPr>
        <w:autoSpaceDE/>
        <w:autoSpaceDN/>
        <w:adjustRightInd/>
        <w:spacing w:before="120" w:after="113" w:line="278" w:lineRule="auto"/>
        <w:ind w:left="227" w:hanging="227"/>
        <w:contextualSpacing w:val="0"/>
        <w:jc w:val="both"/>
      </w:pPr>
    </w:p>
    <w:p w14:paraId="354C01E1" w14:textId="77777777" w:rsidR="006D707F" w:rsidRDefault="006D707F" w:rsidP="006D707F">
      <w:pPr>
        <w:pStyle w:val="E3Bullets"/>
        <w:numPr>
          <w:ilvl w:val="0"/>
          <w:numId w:val="0"/>
        </w:numPr>
        <w:autoSpaceDE/>
        <w:autoSpaceDN/>
        <w:adjustRightInd/>
        <w:spacing w:before="120" w:after="113" w:line="278" w:lineRule="auto"/>
        <w:ind w:left="227" w:hanging="227"/>
        <w:contextualSpacing w:val="0"/>
        <w:jc w:val="both"/>
      </w:pPr>
    </w:p>
    <w:p w14:paraId="3FF0D6FA" w14:textId="3C95EA03" w:rsidR="006D707F" w:rsidRDefault="006D707F" w:rsidP="006D707F">
      <w:pPr>
        <w:pStyle w:val="E3Bullets"/>
        <w:numPr>
          <w:ilvl w:val="0"/>
          <w:numId w:val="0"/>
        </w:numPr>
        <w:autoSpaceDE/>
        <w:autoSpaceDN/>
        <w:adjustRightInd/>
        <w:spacing w:before="120" w:after="113" w:line="278" w:lineRule="auto"/>
        <w:ind w:left="227" w:hanging="227"/>
        <w:contextualSpacing w:val="0"/>
        <w:jc w:val="both"/>
      </w:pPr>
    </w:p>
    <w:p w14:paraId="5E3F4CFB" w14:textId="3D79157F" w:rsidR="00A0343E" w:rsidRDefault="00A0343E" w:rsidP="006D707F">
      <w:pPr>
        <w:pStyle w:val="E3Bullets"/>
        <w:numPr>
          <w:ilvl w:val="0"/>
          <w:numId w:val="0"/>
        </w:numPr>
        <w:autoSpaceDE/>
        <w:autoSpaceDN/>
        <w:adjustRightInd/>
        <w:spacing w:before="120" w:after="113" w:line="278" w:lineRule="auto"/>
        <w:ind w:left="227" w:hanging="227"/>
        <w:contextualSpacing w:val="0"/>
        <w:jc w:val="both"/>
      </w:pPr>
    </w:p>
    <w:p w14:paraId="693A7A95" w14:textId="77777777" w:rsidR="00A0343E" w:rsidRDefault="00A0343E" w:rsidP="006D707F">
      <w:pPr>
        <w:pStyle w:val="E3Bullets"/>
        <w:numPr>
          <w:ilvl w:val="0"/>
          <w:numId w:val="0"/>
        </w:numPr>
        <w:autoSpaceDE/>
        <w:autoSpaceDN/>
        <w:adjustRightInd/>
        <w:spacing w:before="120" w:after="113" w:line="278" w:lineRule="auto"/>
        <w:ind w:left="227" w:hanging="227"/>
        <w:contextualSpacing w:val="0"/>
        <w:jc w:val="both"/>
      </w:pPr>
    </w:p>
    <w:p w14:paraId="1573FE2E" w14:textId="77777777" w:rsidR="006D707F" w:rsidRPr="00066675" w:rsidRDefault="006D707F" w:rsidP="006D707F">
      <w:pPr>
        <w:pStyle w:val="E3Bullets"/>
        <w:numPr>
          <w:ilvl w:val="0"/>
          <w:numId w:val="0"/>
        </w:numPr>
        <w:autoSpaceDE/>
        <w:autoSpaceDN/>
        <w:adjustRightInd/>
        <w:spacing w:before="120" w:after="113" w:line="278" w:lineRule="auto"/>
        <w:ind w:left="227" w:hanging="227"/>
        <w:contextualSpacing w:val="0"/>
        <w:jc w:val="both"/>
      </w:pPr>
    </w:p>
    <w:p w14:paraId="1DEAD785" w14:textId="420C41C4" w:rsidR="00197B9C" w:rsidRDefault="00197B9C" w:rsidP="00382D94">
      <w:pPr>
        <w:pStyle w:val="E3ChapterTitle"/>
        <w:numPr>
          <w:ilvl w:val="0"/>
          <w:numId w:val="72"/>
        </w:numPr>
      </w:pPr>
      <w:bookmarkStart w:id="77" w:name="_Toc500151788"/>
      <w:r>
        <w:rPr>
          <w:noProof/>
          <w:lang w:eastAsia="en-AU"/>
        </w:rPr>
        <w:lastRenderedPageBreak/>
        <w:drawing>
          <wp:anchor distT="0" distB="0" distL="114300" distR="114300" simplePos="0" relativeHeight="251658257" behindDoc="1" locked="1" layoutInCell="1" allowOverlap="1" wp14:anchorId="49CA24E0" wp14:editId="7C786A3A">
            <wp:simplePos x="0" y="0"/>
            <wp:positionH relativeFrom="margin">
              <wp:align>left</wp:align>
            </wp:positionH>
            <wp:positionV relativeFrom="page">
              <wp:posOffset>186055</wp:posOffset>
            </wp:positionV>
            <wp:extent cx="6124575" cy="1800225"/>
            <wp:effectExtent l="0" t="0" r="9525" b="9525"/>
            <wp:wrapNone/>
            <wp:docPr id="18"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25"/>
                    <a:stretch>
                      <a:fillRect/>
                    </a:stretch>
                  </pic:blipFill>
                  <pic:spPr>
                    <a:xfrm>
                      <a:off x="0" y="0"/>
                      <a:ext cx="6124575" cy="1800225"/>
                    </a:xfrm>
                    <a:prstGeom prst="rect">
                      <a:avLst/>
                    </a:prstGeom>
                  </pic:spPr>
                </pic:pic>
              </a:graphicData>
            </a:graphic>
          </wp:anchor>
        </w:drawing>
      </w:r>
      <w:r>
        <w:t>The Problem</w:t>
      </w:r>
      <w:bookmarkEnd w:id="77"/>
    </w:p>
    <w:p w14:paraId="6CAD4771" w14:textId="77777777" w:rsidR="00D6184A" w:rsidRDefault="00D6184A" w:rsidP="00197B9C">
      <w:pPr>
        <w:pStyle w:val="E3Heading2"/>
      </w:pPr>
    </w:p>
    <w:p w14:paraId="555AD49E" w14:textId="555BE4F1" w:rsidR="00197B9C" w:rsidRPr="0041262C" w:rsidRDefault="00197B9C" w:rsidP="00197B9C">
      <w:pPr>
        <w:pStyle w:val="E3Heading2"/>
      </w:pPr>
      <w:bookmarkStart w:id="78" w:name="_Toc500151789"/>
      <w:r w:rsidRPr="0041262C">
        <w:t>Introduction</w:t>
      </w:r>
      <w:bookmarkEnd w:id="78"/>
      <w:r w:rsidRPr="0041262C">
        <w:t xml:space="preserve"> </w:t>
      </w:r>
    </w:p>
    <w:p w14:paraId="189BA04C" w14:textId="77777777" w:rsidR="00197B9C" w:rsidRPr="002B26ED" w:rsidRDefault="00197B9C" w:rsidP="00D6184A">
      <w:pPr>
        <w:pStyle w:val="E3BodyText"/>
        <w:jc w:val="both"/>
      </w:pPr>
      <w:r w:rsidRPr="002B26ED">
        <w:t xml:space="preserve">While the regulations in Australia and New Zealand have driven improvements in the energy efficiency of refrigerated display cabinets since 2003, they </w:t>
      </w:r>
      <w:r>
        <w:t xml:space="preserve">are not achieving the intended market transformation. </w:t>
      </w:r>
    </w:p>
    <w:p w14:paraId="2561307E" w14:textId="0898690D" w:rsidR="00197B9C" w:rsidRDefault="00197B9C" w:rsidP="00D6184A">
      <w:pPr>
        <w:pStyle w:val="E3BodyText"/>
        <w:jc w:val="both"/>
      </w:pPr>
      <w:r>
        <w:t xml:space="preserve">Problems with the way regulatory standards are written have made compliance difficult and costly for industry and created grey areas under the regulation that need to be </w:t>
      </w:r>
      <w:r w:rsidR="00A0343E">
        <w:t>fixed</w:t>
      </w:r>
      <w:r>
        <w:t xml:space="preserve">  </w:t>
      </w:r>
    </w:p>
    <w:p w14:paraId="1C8E240C" w14:textId="77777777" w:rsidR="00197B9C" w:rsidRDefault="00197B9C" w:rsidP="00D6184A">
      <w:pPr>
        <w:pStyle w:val="E3BodyText"/>
        <w:jc w:val="both"/>
      </w:pPr>
      <w:r>
        <w:t>The exclusion of most refrigerated storage cabinets from regulatory requirements, even though these account for roughly 20% of sales and can be near-identical to regulated models, means that a large portion of potential energy savings are not being realised, and also compromises the fairness of the regulations.</w:t>
      </w:r>
    </w:p>
    <w:p w14:paraId="1409A4C6" w14:textId="0A5C583E" w:rsidR="00197B9C" w:rsidRDefault="00197B9C" w:rsidP="00D6184A">
      <w:pPr>
        <w:pStyle w:val="E3BodyText"/>
        <w:jc w:val="both"/>
        <w:rPr>
          <w:i/>
        </w:rPr>
      </w:pPr>
      <w:r>
        <w:t xml:space="preserve">The minimum levels for energy efficiency mandated in regulatory standards </w:t>
      </w:r>
      <w:r w:rsidRPr="002B26ED">
        <w:t>have not kept pace with changes in the market and the wider range of cabinets now available</w:t>
      </w:r>
      <w:r>
        <w:t>, so</w:t>
      </w:r>
      <w:r w:rsidR="00A0343E">
        <w:t xml:space="preserve"> the MEPS</w:t>
      </w:r>
      <w:r>
        <w:t xml:space="preserve"> no longer serve to exclude the least efficient products from the market.  In addition, the voluntary high efficiency levels in the standard no longer differentiate the most efficient models on the market. </w:t>
      </w:r>
    </w:p>
    <w:p w14:paraId="5102ED30" w14:textId="0BCB86FA" w:rsidR="00197B9C" w:rsidRDefault="00A0343E" w:rsidP="00D6184A">
      <w:pPr>
        <w:pStyle w:val="E3BodyText"/>
        <w:jc w:val="both"/>
      </w:pPr>
      <w:r>
        <w:t>Differences</w:t>
      </w:r>
      <w:r w:rsidR="00197B9C">
        <w:t xml:space="preserve"> between local and international standards makes it harder and more expensive for manufacturers to assess compliance with regulation and for suppliers to source compliant models on the global market.</w:t>
      </w:r>
    </w:p>
    <w:p w14:paraId="7852192F" w14:textId="1A05CA10" w:rsidR="00197B9C" w:rsidRDefault="00197B9C" w:rsidP="00D6184A">
      <w:pPr>
        <w:pStyle w:val="E3BodyText"/>
        <w:jc w:val="both"/>
      </w:pPr>
      <w:r>
        <w:t xml:space="preserve">The regulations also do not </w:t>
      </w:r>
      <w:r w:rsidR="00A0343E">
        <w:t xml:space="preserve">resolve </w:t>
      </w:r>
      <w:r>
        <w:t>information failures in the market that make it hard for buyers to compare the energy efficiency and running costs of different purchase options, or identify the most efficient models.  Manufacturers and suppliers have made little use of the existing voluntary high efficiency standard that was established for this purpose.</w:t>
      </w:r>
    </w:p>
    <w:p w14:paraId="009D1C9C" w14:textId="1D438082" w:rsidR="00197B9C" w:rsidRPr="0041262C" w:rsidRDefault="00197B9C" w:rsidP="00D6184A">
      <w:pPr>
        <w:jc w:val="both"/>
      </w:pPr>
      <w:r w:rsidRPr="00832A61">
        <w:rPr>
          <w:sz w:val="24"/>
        </w:rPr>
        <w:t xml:space="preserve">There are also split incentives and negative externalities in the market. The regulations do not </w:t>
      </w:r>
      <w:r w:rsidR="00A0343E">
        <w:rPr>
          <w:sz w:val="24"/>
        </w:rPr>
        <w:t>focus on</w:t>
      </w:r>
      <w:r w:rsidRPr="00832A61">
        <w:rPr>
          <w:sz w:val="24"/>
        </w:rPr>
        <w:t xml:space="preserve"> these market failures but </w:t>
      </w:r>
      <w:r w:rsidR="00A0343E" w:rsidRPr="00832A61">
        <w:rPr>
          <w:sz w:val="24"/>
        </w:rPr>
        <w:t>the effects</w:t>
      </w:r>
      <w:r w:rsidR="00A0343E">
        <w:rPr>
          <w:sz w:val="24"/>
        </w:rPr>
        <w:t xml:space="preserve"> of split incentives and negative externalities</w:t>
      </w:r>
      <w:r w:rsidRPr="00832A61">
        <w:rPr>
          <w:sz w:val="24"/>
        </w:rPr>
        <w:t xml:space="preserve"> could be ameliorated by improving regulation and </w:t>
      </w:r>
      <w:r w:rsidR="00A0343E">
        <w:rPr>
          <w:sz w:val="24"/>
        </w:rPr>
        <w:t>reducing</w:t>
      </w:r>
      <w:r w:rsidR="00A0343E" w:rsidRPr="00832A61">
        <w:rPr>
          <w:sz w:val="24"/>
        </w:rPr>
        <w:t xml:space="preserve"> </w:t>
      </w:r>
      <w:r w:rsidRPr="00832A61">
        <w:rPr>
          <w:sz w:val="24"/>
        </w:rPr>
        <w:t xml:space="preserve">information failures. </w:t>
      </w:r>
    </w:p>
    <w:p w14:paraId="265F3BF4" w14:textId="5436CACF" w:rsidR="00197B9C" w:rsidRDefault="00197B9C" w:rsidP="00D6184A">
      <w:pPr>
        <w:jc w:val="both"/>
        <w:rPr>
          <w:sz w:val="24"/>
        </w:rPr>
      </w:pPr>
      <w:r w:rsidRPr="00832A61">
        <w:rPr>
          <w:sz w:val="24"/>
        </w:rPr>
        <w:t>The benefits that can be realised from strengthening</w:t>
      </w:r>
      <w:r>
        <w:rPr>
          <w:sz w:val="24"/>
        </w:rPr>
        <w:t xml:space="preserve"> </w:t>
      </w:r>
      <w:r w:rsidRPr="00832A61">
        <w:rPr>
          <w:sz w:val="24"/>
        </w:rPr>
        <w:t xml:space="preserve">the existing regulations are significant.  In the estimates modelled for this RIS, </w:t>
      </w:r>
      <w:r w:rsidRPr="00A25ABC">
        <w:rPr>
          <w:sz w:val="24"/>
        </w:rPr>
        <w:t>97,000</w:t>
      </w:r>
      <w:r w:rsidRPr="00832A61">
        <w:rPr>
          <w:sz w:val="24"/>
        </w:rPr>
        <w:t xml:space="preserve"> cabinets were sold in Australia and New Zealand in 2015. These </w:t>
      </w:r>
      <w:r>
        <w:rPr>
          <w:sz w:val="24"/>
        </w:rPr>
        <w:t>use</w:t>
      </w:r>
      <w:r w:rsidRPr="00832A61">
        <w:rPr>
          <w:sz w:val="24"/>
        </w:rPr>
        <w:t xml:space="preserve"> 7</w:t>
      </w:r>
      <w:r>
        <w:rPr>
          <w:sz w:val="24"/>
        </w:rPr>
        <w:t>426</w:t>
      </w:r>
      <w:r w:rsidRPr="00832A61">
        <w:rPr>
          <w:sz w:val="24"/>
        </w:rPr>
        <w:t>GWh of electricity every year. If the least efficient 10% of cabinets were required to be more efficient from 201</w:t>
      </w:r>
      <w:r w:rsidR="0042071D">
        <w:rPr>
          <w:sz w:val="24"/>
        </w:rPr>
        <w:t>9</w:t>
      </w:r>
      <w:r w:rsidRPr="00832A61">
        <w:rPr>
          <w:sz w:val="24"/>
        </w:rPr>
        <w:t xml:space="preserve"> the dollar savings in NZD could be in excess of $</w:t>
      </w:r>
      <w:r>
        <w:rPr>
          <w:sz w:val="24"/>
        </w:rPr>
        <w:t>47</w:t>
      </w:r>
      <w:r w:rsidRPr="00832A61">
        <w:rPr>
          <w:sz w:val="24"/>
        </w:rPr>
        <w:t xml:space="preserve"> million</w:t>
      </w:r>
      <w:r w:rsidR="00F81460">
        <w:rPr>
          <w:sz w:val="24"/>
        </w:rPr>
        <w:t xml:space="preserve"> </w:t>
      </w:r>
      <w:r w:rsidR="00F81460" w:rsidRPr="00832A61">
        <w:rPr>
          <w:sz w:val="24"/>
        </w:rPr>
        <w:t>(AUD $</w:t>
      </w:r>
      <w:r w:rsidR="00F81460">
        <w:rPr>
          <w:sz w:val="24"/>
        </w:rPr>
        <w:t xml:space="preserve">40 </w:t>
      </w:r>
      <w:r w:rsidR="00F81460" w:rsidRPr="00832A61">
        <w:rPr>
          <w:sz w:val="24"/>
        </w:rPr>
        <w:t>m</w:t>
      </w:r>
      <w:r w:rsidR="00F81460">
        <w:rPr>
          <w:sz w:val="24"/>
        </w:rPr>
        <w:t>illion</w:t>
      </w:r>
      <w:r w:rsidR="00F81460" w:rsidRPr="00832A61">
        <w:rPr>
          <w:sz w:val="24"/>
        </w:rPr>
        <w:t xml:space="preserve">) </w:t>
      </w:r>
      <w:r w:rsidRPr="00832A61">
        <w:rPr>
          <w:sz w:val="24"/>
        </w:rPr>
        <w:t xml:space="preserve">each and every year just from reduced electricity use. </w:t>
      </w:r>
    </w:p>
    <w:p w14:paraId="2E8BCAB9" w14:textId="4C07EFF6" w:rsidR="00197B9C" w:rsidRPr="002B26ED" w:rsidRDefault="00A0343E" w:rsidP="00D6184A">
      <w:pPr>
        <w:jc w:val="both"/>
        <w:rPr>
          <w:vertAlign w:val="subscript"/>
        </w:rPr>
      </w:pPr>
      <w:r>
        <w:rPr>
          <w:sz w:val="24"/>
        </w:rPr>
        <w:lastRenderedPageBreak/>
        <w:t>For e</w:t>
      </w:r>
      <w:r w:rsidR="00197B9C" w:rsidRPr="00832A61">
        <w:rPr>
          <w:sz w:val="24"/>
        </w:rPr>
        <w:t>ach person who bought a cabinet in this improved 10% bracket, they would save on average more than AUD $140 in Australia and NZD $115 in New Zealand on electricity, every year</w:t>
      </w:r>
      <w:r w:rsidR="00197B9C">
        <w:rPr>
          <w:rStyle w:val="FootnoteReference"/>
          <w:sz w:val="24"/>
        </w:rPr>
        <w:footnoteReference w:id="15"/>
      </w:r>
      <w:r w:rsidR="00197B9C">
        <w:rPr>
          <w:sz w:val="24"/>
        </w:rPr>
        <w:t>.</w:t>
      </w:r>
      <w:r w:rsidR="00197B9C" w:rsidRPr="00832A61">
        <w:rPr>
          <w:sz w:val="24"/>
        </w:rPr>
        <w:t xml:space="preserve"> </w:t>
      </w:r>
      <w:r>
        <w:rPr>
          <w:sz w:val="24"/>
        </w:rPr>
        <w:t>This change</w:t>
      </w:r>
      <w:r w:rsidRPr="00832A61">
        <w:rPr>
          <w:sz w:val="24"/>
        </w:rPr>
        <w:t xml:space="preserve"> </w:t>
      </w:r>
      <w:r w:rsidR="00197B9C" w:rsidRPr="00832A61">
        <w:rPr>
          <w:sz w:val="24"/>
        </w:rPr>
        <w:t>would also reduce annu</w:t>
      </w:r>
      <w:r w:rsidR="00346283">
        <w:rPr>
          <w:sz w:val="24"/>
        </w:rPr>
        <w:t>al emissions of CO2-e by 109 kt</w:t>
      </w:r>
      <w:r>
        <w:rPr>
          <w:sz w:val="24"/>
        </w:rPr>
        <w:t>.</w:t>
      </w:r>
    </w:p>
    <w:p w14:paraId="588AD71E" w14:textId="77777777" w:rsidR="00C003C3" w:rsidRDefault="00C003C3" w:rsidP="00D6184A">
      <w:pPr>
        <w:pStyle w:val="E3Heading2"/>
        <w:jc w:val="both"/>
      </w:pPr>
      <w:bookmarkStart w:id="79" w:name="_Toc494897960"/>
      <w:bookmarkStart w:id="80" w:name="_Toc494955756"/>
      <w:bookmarkStart w:id="81" w:name="_Toc494959564"/>
      <w:bookmarkStart w:id="82" w:name="_Toc494972690"/>
      <w:bookmarkStart w:id="83" w:name="_Toc494973877"/>
      <w:bookmarkStart w:id="84" w:name="_Toc494974566"/>
    </w:p>
    <w:p w14:paraId="7080DD22" w14:textId="4E421776" w:rsidR="00197B9C" w:rsidRPr="00197B9C" w:rsidRDefault="00197B9C" w:rsidP="00D6184A">
      <w:pPr>
        <w:pStyle w:val="E3Heading2"/>
        <w:jc w:val="both"/>
      </w:pPr>
      <w:bookmarkStart w:id="85" w:name="_Toc500151790"/>
      <w:r w:rsidRPr="00197B9C">
        <w:t>Problems with the existing regulation</w:t>
      </w:r>
      <w:bookmarkEnd w:id="79"/>
      <w:bookmarkEnd w:id="80"/>
      <w:bookmarkEnd w:id="81"/>
      <w:bookmarkEnd w:id="82"/>
      <w:bookmarkEnd w:id="83"/>
      <w:bookmarkEnd w:id="84"/>
      <w:bookmarkEnd w:id="85"/>
      <w:r w:rsidRPr="00197B9C">
        <w:t xml:space="preserve"> </w:t>
      </w:r>
    </w:p>
    <w:p w14:paraId="1AB0593D" w14:textId="77777777" w:rsidR="00197B9C" w:rsidRDefault="00197B9C" w:rsidP="00D6184A">
      <w:pPr>
        <w:pStyle w:val="E3BodyText"/>
        <w:jc w:val="both"/>
      </w:pPr>
      <w:r w:rsidRPr="00A97C34">
        <w:rPr>
          <w:lang w:val="en-NZ"/>
        </w:rPr>
        <w:t>Refrigerated display cabinets have been subject to mandatory Minimum Energy Performance Standards (MEPS) in Australia and New Zealand since 2003.</w:t>
      </w:r>
      <w:r w:rsidRPr="00A97C34">
        <w:rPr>
          <w:rStyle w:val="FootnoteReference"/>
          <w:sz w:val="19"/>
        </w:rPr>
        <w:footnoteReference w:id="16"/>
      </w:r>
      <w:r w:rsidRPr="00A97C34">
        <w:rPr>
          <w:lang w:val="en-NZ"/>
        </w:rPr>
        <w:t xml:space="preserve"> MEPS set maximum allowable levels of energy consumption (by cabinet type) that cabinets must not exceed. The MEPS were introduced as a means to reduce energy consumption despite buyers not considering energy use as a primary factor in their purchase decision, and therefore buying models that cost more to run where more efficient models with lower whole-of-life costs were available.  Voluntary high efficiency performance standards (HEPS) were also introduced to provide ‘stretch’ targets, or help suppliers to upsell more efficient cabinets influence buyers’ choices.</w:t>
      </w:r>
    </w:p>
    <w:p w14:paraId="40C11181" w14:textId="77777777" w:rsidR="00197B9C" w:rsidRPr="00B543A1" w:rsidRDefault="00197B9C" w:rsidP="00D6184A">
      <w:pPr>
        <w:pStyle w:val="E3Heading4"/>
        <w:jc w:val="both"/>
      </w:pPr>
      <w:r w:rsidRPr="00B543A1">
        <w:t>The Standard</w:t>
      </w:r>
    </w:p>
    <w:p w14:paraId="49C94D04" w14:textId="299D0FC3" w:rsidR="00197B9C" w:rsidRPr="002B26ED" w:rsidRDefault="00197B9C" w:rsidP="00D6184A">
      <w:pPr>
        <w:pStyle w:val="E3BodyText"/>
        <w:jc w:val="both"/>
      </w:pPr>
      <w:r w:rsidRPr="002B26ED">
        <w:t xml:space="preserve">The current </w:t>
      </w:r>
      <w:r w:rsidR="00A0343E">
        <w:t>s</w:t>
      </w:r>
      <w:r w:rsidRPr="002B26ED">
        <w:t xml:space="preserve">tandard AS 1731 </w:t>
      </w:r>
      <w:r>
        <w:t>that</w:t>
      </w:r>
      <w:r w:rsidRPr="002B26ED">
        <w:t xml:space="preserve"> applies under Australian and New Zealand regulations</w:t>
      </w:r>
      <w:r>
        <w:t xml:space="preserve"> is specific to our markets and is not aligned to international standards.</w:t>
      </w:r>
      <w:r w:rsidRPr="002B26ED">
        <w:t xml:space="preserve"> </w:t>
      </w:r>
      <w:r>
        <w:t xml:space="preserve">As </w:t>
      </w:r>
      <w:r w:rsidRPr="002B26ED">
        <w:t>Australia and New Zealand are small</w:t>
      </w:r>
      <w:r>
        <w:t xml:space="preserve"> players on the</w:t>
      </w:r>
      <w:r w:rsidRPr="002B26ED">
        <w:t xml:space="preserve"> </w:t>
      </w:r>
      <w:r>
        <w:t>global</w:t>
      </w:r>
      <w:r w:rsidRPr="002B26ED">
        <w:t xml:space="preserve"> market</w:t>
      </w:r>
      <w:r>
        <w:t xml:space="preserve"> and</w:t>
      </w:r>
      <w:r w:rsidRPr="002B26ED">
        <w:t xml:space="preserve"> </w:t>
      </w:r>
      <w:r>
        <w:t>most of our refrigerated</w:t>
      </w:r>
      <w:r w:rsidRPr="002B26ED">
        <w:t xml:space="preserve"> cabinets are imported</w:t>
      </w:r>
      <w:r w:rsidRPr="002B26ED">
        <w:rPr>
          <w:rStyle w:val="FootnoteReference"/>
        </w:rPr>
        <w:footnoteReference w:id="17"/>
      </w:r>
      <w:r w:rsidRPr="002B26ED">
        <w:t xml:space="preserve">, </w:t>
      </w:r>
      <w:r>
        <w:t xml:space="preserve">this makes it difficult </w:t>
      </w:r>
      <w:r w:rsidRPr="002B26ED">
        <w:t>and cost</w:t>
      </w:r>
      <w:r>
        <w:t>ly to test products to the local Standard and</w:t>
      </w:r>
      <w:r w:rsidRPr="002B26ED">
        <w:t xml:space="preserve"> </w:t>
      </w:r>
      <w:r>
        <w:t>for</w:t>
      </w:r>
      <w:r w:rsidRPr="002B26ED">
        <w:t xml:space="preserve"> suppliers </w:t>
      </w:r>
      <w:r>
        <w:t>to source products that meet our</w:t>
      </w:r>
      <w:r w:rsidRPr="002B26ED">
        <w:t xml:space="preserve"> specific test methods and MEPS levels</w:t>
      </w:r>
      <w:r>
        <w:t>.</w:t>
      </w:r>
      <w:r w:rsidRPr="002B26ED">
        <w:t xml:space="preserve">  </w:t>
      </w:r>
      <w:r>
        <w:t>As well as placing a high compliance burden on the industry, this limits</w:t>
      </w:r>
      <w:r w:rsidRPr="002B26ED">
        <w:t xml:space="preserve"> the range of products available in </w:t>
      </w:r>
      <w:r>
        <w:t>our</w:t>
      </w:r>
      <w:r w:rsidRPr="002B26ED">
        <w:t xml:space="preserve"> market</w:t>
      </w:r>
      <w:r>
        <w:t>s and the levels of compliance achieved</w:t>
      </w:r>
      <w:r w:rsidRPr="002B26ED">
        <w:t>.</w:t>
      </w:r>
      <w:r>
        <w:t xml:space="preserve">  </w:t>
      </w:r>
    </w:p>
    <w:p w14:paraId="6F045EA1" w14:textId="77777777" w:rsidR="00197B9C" w:rsidRDefault="00197B9C" w:rsidP="00D6184A">
      <w:pPr>
        <w:pStyle w:val="E3BodyText"/>
        <w:spacing w:after="0"/>
        <w:jc w:val="both"/>
        <w:rPr>
          <w:lang w:val="en-NZ"/>
        </w:rPr>
      </w:pPr>
      <w:r>
        <w:t>In addition to being specific to our markets, AS 1731 is also hard to interpret and apply.  It has</w:t>
      </w:r>
      <w:r w:rsidRPr="00A24816">
        <w:t xml:space="preserve"> 14 parts </w:t>
      </w:r>
      <w:r>
        <w:t xml:space="preserve">that must be purchased </w:t>
      </w:r>
      <w:r w:rsidRPr="00A24816">
        <w:t>at a cost of about AUD$120 per part</w:t>
      </w:r>
      <w:r>
        <w:t>.</w:t>
      </w:r>
      <w:r w:rsidRPr="00A24816">
        <w:t xml:space="preserve"> </w:t>
      </w:r>
      <w:r>
        <w:t xml:space="preserve">Products are divided across more </w:t>
      </w:r>
      <w:r w:rsidRPr="00A24816">
        <w:t xml:space="preserve">50 </w:t>
      </w:r>
      <w:r>
        <w:t>product classes</w:t>
      </w:r>
      <w:r w:rsidRPr="00A24816">
        <w:t xml:space="preserve"> </w:t>
      </w:r>
      <w:r>
        <w:t xml:space="preserve">falling </w:t>
      </w:r>
      <w:r w:rsidRPr="00A24816">
        <w:t xml:space="preserve">across a </w:t>
      </w:r>
      <w:r>
        <w:t>range</w:t>
      </w:r>
      <w:r w:rsidRPr="00A24816">
        <w:t xml:space="preserve"> of sizes, temperatures and configurations</w:t>
      </w:r>
      <w:r>
        <w:t>,</w:t>
      </w:r>
      <w:r w:rsidRPr="00A24816">
        <w:t xml:space="preserve"> with different MEPS levels and test procedures applying</w:t>
      </w:r>
      <w:r>
        <w:t>.</w:t>
      </w:r>
      <w:r w:rsidRPr="00A24816">
        <w:t xml:space="preserve"> </w:t>
      </w:r>
      <w:r>
        <w:t>Some categories are open to interpretation</w:t>
      </w:r>
      <w:r>
        <w:rPr>
          <w:rStyle w:val="FootnoteReference"/>
        </w:rPr>
        <w:footnoteReference w:id="18"/>
      </w:r>
      <w:r>
        <w:t xml:space="preserve"> while some are in fact </w:t>
      </w:r>
      <w:r w:rsidRPr="00A24816">
        <w:t>fictive, as they were devised to cater for types of cabinets that might be invented one day, in an attempt to ‘future-proof’ the Standard.</w:t>
      </w:r>
      <w:r>
        <w:t xml:space="preserve"> MEPS levels have only been allocated to 34 of the product classes but</w:t>
      </w:r>
      <w:r w:rsidRPr="00A24816">
        <w:t xml:space="preserve"> only way to </w:t>
      </w:r>
      <w:r w:rsidRPr="00A24816">
        <w:lastRenderedPageBreak/>
        <w:t>establish whether</w:t>
      </w:r>
      <w:r>
        <w:t xml:space="preserve"> or not they apply to a given </w:t>
      </w:r>
      <w:r w:rsidRPr="00A24816">
        <w:t>cabinet is to buy the entire 14 part Standard</w:t>
      </w:r>
      <w:r w:rsidRPr="002B26ED">
        <w:rPr>
          <w:rStyle w:val="FootnoteReference"/>
        </w:rPr>
        <w:footnoteReference w:id="19"/>
      </w:r>
      <w:r w:rsidRPr="00A24816">
        <w:t>.</w:t>
      </w:r>
      <w:r>
        <w:t xml:space="preserve"> </w:t>
      </w:r>
      <w:r>
        <w:rPr>
          <w:lang w:val="en-NZ"/>
        </w:rPr>
        <w:t>All in all, is hard to</w:t>
      </w:r>
      <w:r w:rsidRPr="00A24816">
        <w:rPr>
          <w:lang w:val="en-NZ"/>
        </w:rPr>
        <w:t xml:space="preserve"> establish</w:t>
      </w:r>
      <w:r>
        <w:rPr>
          <w:lang w:val="en-NZ"/>
        </w:rPr>
        <w:t xml:space="preserve"> </w:t>
      </w:r>
      <w:r w:rsidRPr="00A24816">
        <w:rPr>
          <w:lang w:val="en-NZ"/>
        </w:rPr>
        <w:t xml:space="preserve">what class </w:t>
      </w:r>
      <w:r>
        <w:rPr>
          <w:lang w:val="en-NZ"/>
        </w:rPr>
        <w:t>a product falls under, what requirements apply to it, and whether any exemptions apply</w:t>
      </w:r>
      <w:r w:rsidRPr="00A24816">
        <w:rPr>
          <w:lang w:val="en-NZ"/>
        </w:rPr>
        <w:t>.</w:t>
      </w:r>
    </w:p>
    <w:p w14:paraId="262AD0FC" w14:textId="77777777" w:rsidR="00197B9C" w:rsidRDefault="00197B9C" w:rsidP="00D6184A">
      <w:pPr>
        <w:pStyle w:val="E3BodyText"/>
        <w:spacing w:after="0"/>
        <w:jc w:val="both"/>
        <w:rPr>
          <w:lang w:val="en-NZ"/>
        </w:rPr>
      </w:pPr>
    </w:p>
    <w:p w14:paraId="40C699FC" w14:textId="4A777701" w:rsidR="00197B9C" w:rsidRPr="00346283" w:rsidRDefault="00197B9C" w:rsidP="00346283">
      <w:pPr>
        <w:pStyle w:val="E3BodyText"/>
        <w:spacing w:after="0"/>
        <w:jc w:val="both"/>
        <w:rPr>
          <w:lang w:val="en-NZ"/>
        </w:rPr>
      </w:pPr>
      <w:r>
        <w:rPr>
          <w:lang w:val="en-NZ"/>
        </w:rPr>
        <w:t xml:space="preserve">Feedback from industry stakeholders has also highlighted a need for the </w:t>
      </w:r>
      <w:r w:rsidR="00A0343E">
        <w:rPr>
          <w:lang w:val="en-NZ"/>
        </w:rPr>
        <w:t>s</w:t>
      </w:r>
      <w:r>
        <w:rPr>
          <w:lang w:val="en-NZ"/>
        </w:rPr>
        <w:t>tandard to provide a better</w:t>
      </w:r>
      <w:r w:rsidRPr="00DF52A9">
        <w:t xml:space="preserve"> ‘family of models’</w:t>
      </w:r>
      <w:r>
        <w:t xml:space="preserve"> definition that gives</w:t>
      </w:r>
      <w:r w:rsidRPr="00DF52A9">
        <w:t xml:space="preserve"> due consideration to compliance costs</w:t>
      </w:r>
      <w:r>
        <w:t>, and</w:t>
      </w:r>
      <w:r w:rsidRPr="00174C5E">
        <w:t xml:space="preserve"> </w:t>
      </w:r>
      <w:r>
        <w:t>to make clearer distinctions</w:t>
      </w:r>
      <w:r w:rsidRPr="00DF52A9">
        <w:t xml:space="preserve"> between commercial and domestic fridges</w:t>
      </w:r>
      <w:r>
        <w:t xml:space="preserve"> (which are subject to separate MEPS and labelling requirements) –</w:t>
      </w:r>
      <w:r w:rsidRPr="00DF52A9">
        <w:t xml:space="preserve"> </w:t>
      </w:r>
      <w:r>
        <w:t>for example</w:t>
      </w:r>
      <w:r w:rsidRPr="00DF52A9">
        <w:t xml:space="preserve"> </w:t>
      </w:r>
      <w:r>
        <w:t xml:space="preserve">in cases </w:t>
      </w:r>
      <w:r w:rsidRPr="00DF52A9">
        <w:t xml:space="preserve">where </w:t>
      </w:r>
      <w:r>
        <w:t xml:space="preserve">a </w:t>
      </w:r>
      <w:r w:rsidRPr="00DF52A9">
        <w:t>commercial w</w:t>
      </w:r>
      <w:r>
        <w:t>ine cabinet</w:t>
      </w:r>
      <w:r w:rsidRPr="00DF52A9">
        <w:t xml:space="preserve"> </w:t>
      </w:r>
      <w:r>
        <w:t>or bar fridge is</w:t>
      </w:r>
      <w:r w:rsidRPr="00DF52A9">
        <w:t xml:space="preserve"> installed in a domestic setting </w:t>
      </w:r>
      <w:r>
        <w:t>and is</w:t>
      </w:r>
      <w:r w:rsidRPr="00DF52A9">
        <w:t xml:space="preserve"> not </w:t>
      </w:r>
      <w:r>
        <w:t>held subject to</w:t>
      </w:r>
      <w:r w:rsidRPr="00DF52A9">
        <w:t xml:space="preserve"> either set of requirements.</w:t>
      </w:r>
      <w:r>
        <w:t xml:space="preserve"> </w:t>
      </w:r>
      <w:r w:rsidRPr="00DF52A9">
        <w:t xml:space="preserve">The issues with the </w:t>
      </w:r>
      <w:r w:rsidR="00A0343E">
        <w:t>s</w:t>
      </w:r>
      <w:r w:rsidRPr="00DF52A9">
        <w:t>tandard not only increase costs to businesses but also undermine compliance with the MEPS regime</w:t>
      </w:r>
      <w:r>
        <w:t>, as s</w:t>
      </w:r>
      <w:r w:rsidRPr="00DF52A9">
        <w:t>ome companies, finding the whole process too hard, opt not to register their products.</w:t>
      </w:r>
      <w:r w:rsidRPr="002B26ED">
        <w:t xml:space="preserve"> </w:t>
      </w:r>
    </w:p>
    <w:p w14:paraId="3D8DDBE2" w14:textId="77777777" w:rsidR="00346283" w:rsidRDefault="00346283" w:rsidP="00D6184A">
      <w:pPr>
        <w:pStyle w:val="E3BodyText"/>
        <w:jc w:val="both"/>
      </w:pPr>
    </w:p>
    <w:p w14:paraId="1E0E3409" w14:textId="438417B2" w:rsidR="00197B9C" w:rsidRPr="002B26ED" w:rsidRDefault="00197B9C" w:rsidP="00D6184A">
      <w:pPr>
        <w:pStyle w:val="E3BodyText"/>
        <w:jc w:val="both"/>
      </w:pPr>
      <w:r>
        <w:t>Feedback on</w:t>
      </w:r>
      <w:r w:rsidRPr="002B26ED">
        <w:t xml:space="preserve"> the Consultation RIS</w:t>
      </w:r>
      <w:r>
        <w:t xml:space="preserve"> was in favour of</w:t>
      </w:r>
      <w:r w:rsidRPr="002B26ED">
        <w:t xml:space="preserve"> </w:t>
      </w:r>
      <w:r>
        <w:t xml:space="preserve">adopting </w:t>
      </w:r>
      <w:r w:rsidRPr="002B26ED">
        <w:t>international standards</w:t>
      </w:r>
      <w:r>
        <w:t xml:space="preserve"> in light of these issues. </w:t>
      </w:r>
      <w:r w:rsidRPr="002B26ED" w:rsidDel="008E79FD">
        <w:t xml:space="preserve"> </w:t>
      </w:r>
      <w:r w:rsidRPr="002B26ED">
        <w:t>One submitter stated “Quite simply it is inappropriate that there remain a significant number and proportion of the market that avoids meeting regulatory requirements and are free riders.”</w:t>
      </w:r>
    </w:p>
    <w:p w14:paraId="21EF0ECB" w14:textId="77777777" w:rsidR="00197B9C" w:rsidRPr="002B26ED" w:rsidRDefault="00197B9C" w:rsidP="00D6184A">
      <w:pPr>
        <w:pStyle w:val="E3BodyText"/>
        <w:jc w:val="both"/>
      </w:pPr>
      <w:r>
        <w:t>Another</w:t>
      </w:r>
      <w:r w:rsidRPr="002B26ED">
        <w:t xml:space="preserve"> submitter said that “in view of the fact that the majority of refrigerated display cabinets that are used in significant quantities in Australia [and New Zealand] are imported, the proposed Option 4 [alignment</w:t>
      </w:r>
      <w:r>
        <w:t xml:space="preserve"> with international standards</w:t>
      </w:r>
      <w:r w:rsidRPr="002B26ED">
        <w:t>] is clearly the way to go”. This majority was estimated by one supplier to be over 97%. Compliance costs would be “minimal as many of these units are sourced from high volume manufacturers already selling into the Euro market</w:t>
      </w:r>
      <w:r>
        <w:t xml:space="preserve"> [</w:t>
      </w:r>
      <w:r w:rsidRPr="002B26ED">
        <w:t>and therefore already complying with the proposed changes</w:t>
      </w:r>
      <w:r>
        <w:t>]”</w:t>
      </w:r>
      <w:r w:rsidRPr="002B26ED">
        <w:t xml:space="preserve">. </w:t>
      </w:r>
    </w:p>
    <w:p w14:paraId="6B174D32" w14:textId="5BA55E81" w:rsidR="00197B9C" w:rsidRDefault="00197B9C" w:rsidP="00D6184A">
      <w:pPr>
        <w:pStyle w:val="E3BodyText"/>
        <w:jc w:val="both"/>
      </w:pPr>
      <w:r>
        <w:t>There was also consensus from industry that the same measures should be extended to storage cabinets, which are unregulated in Australia and New Zealand</w:t>
      </w:r>
      <w:r w:rsidR="00A0343E">
        <w:t>.</w:t>
      </w:r>
      <w:r>
        <w:t xml:space="preserve"> (</w:t>
      </w:r>
      <w:r w:rsidR="00A0343E">
        <w:t>S</w:t>
      </w:r>
      <w:r>
        <w:t xml:space="preserve">ee </w:t>
      </w:r>
      <w:r w:rsidR="00A0343E">
        <w:t xml:space="preserve">the </w:t>
      </w:r>
      <w:r>
        <w:t>discussion under “product scope” in this section).</w:t>
      </w:r>
    </w:p>
    <w:p w14:paraId="77F973FE" w14:textId="77777777" w:rsidR="00197B9C" w:rsidRDefault="00197B9C" w:rsidP="00D6184A">
      <w:pPr>
        <w:pStyle w:val="E3BodyText"/>
        <w:jc w:val="both"/>
      </w:pPr>
      <w:r>
        <w:t>However, local manufacturers that supply products in low volumes</w:t>
      </w:r>
      <w:r>
        <w:rPr>
          <w:rStyle w:val="FootnoteReference"/>
        </w:rPr>
        <w:footnoteReference w:id="20"/>
      </w:r>
      <w:r>
        <w:t xml:space="preserve"> were concerned that migration to international standards would affect their ability to compete in the market.  Such manufacturers would continue to incur very high costs (in proportion to the volume of units they produce) to comply with regulation, whereas it would become easier for their competitors to source and import compliant product.</w:t>
      </w:r>
    </w:p>
    <w:p w14:paraId="389ACE6A" w14:textId="07240E21" w:rsidR="00197B9C" w:rsidRDefault="00197B9C" w:rsidP="00D6184A">
      <w:pPr>
        <w:pStyle w:val="E3BodyText"/>
        <w:jc w:val="both"/>
      </w:pPr>
      <w:r>
        <w:t xml:space="preserve">Any changes to regulation involving the adoption of international standards need to give consideration to this issue and avoid </w:t>
      </w:r>
      <w:r w:rsidR="00A0343E">
        <w:t>harming</w:t>
      </w:r>
      <w:r>
        <w:t xml:space="preserve"> on low-volume manufacturers.</w:t>
      </w:r>
    </w:p>
    <w:p w14:paraId="25ED9AF7" w14:textId="1D61FA01" w:rsidR="00197B9C" w:rsidRPr="002B26ED" w:rsidRDefault="00197B9C" w:rsidP="00D6184A">
      <w:pPr>
        <w:pStyle w:val="E3BodyText"/>
        <w:jc w:val="both"/>
      </w:pPr>
      <w:r w:rsidRPr="002B26ED">
        <w:lastRenderedPageBreak/>
        <w:t xml:space="preserve">All </w:t>
      </w:r>
      <w:r>
        <w:t>the r</w:t>
      </w:r>
      <w:r w:rsidRPr="002B26ED">
        <w:t>egulatory options</w:t>
      </w:r>
      <w:r>
        <w:t xml:space="preserve"> presented</w:t>
      </w:r>
      <w:r w:rsidRPr="002B26ED">
        <w:t xml:space="preserve"> in this RIS </w:t>
      </w:r>
      <w:r>
        <w:t>involve</w:t>
      </w:r>
      <w:r w:rsidRPr="002B26ED">
        <w:t xml:space="preserve"> align</w:t>
      </w:r>
      <w:r>
        <w:t>ing</w:t>
      </w:r>
      <w:r w:rsidRPr="002B26ED">
        <w:t xml:space="preserve"> local MEP</w:t>
      </w:r>
      <w:r>
        <w:t>S</w:t>
      </w:r>
      <w:r w:rsidRPr="002B26ED">
        <w:t xml:space="preserve"> levels with international standards, </w:t>
      </w:r>
      <w:r>
        <w:t xml:space="preserve">as a means to </w:t>
      </w:r>
      <w:r w:rsidR="00A0343E">
        <w:t xml:space="preserve">resolve </w:t>
      </w:r>
      <w:r>
        <w:t>the</w:t>
      </w:r>
      <w:r w:rsidRPr="002B26ED">
        <w:t xml:space="preserve"> issues with the current standard AS 1731</w:t>
      </w:r>
      <w:r>
        <w:t>, reduc</w:t>
      </w:r>
      <w:r w:rsidR="00A0343E">
        <w:t>ing</w:t>
      </w:r>
      <w:r>
        <w:t xml:space="preserve"> compliance costs for the majority of businesses, and </w:t>
      </w:r>
      <w:r w:rsidR="0022771E">
        <w:t xml:space="preserve">increasing </w:t>
      </w:r>
      <w:r>
        <w:t>the range of products available on the local market</w:t>
      </w:r>
      <w:r w:rsidRPr="002B26ED">
        <w:t>.</w:t>
      </w:r>
    </w:p>
    <w:p w14:paraId="275EC322" w14:textId="77777777" w:rsidR="00197B9C" w:rsidRPr="00B543A1" w:rsidRDefault="00197B9C" w:rsidP="00D6184A">
      <w:pPr>
        <w:pStyle w:val="E3Heading4"/>
        <w:jc w:val="both"/>
      </w:pPr>
      <w:r w:rsidRPr="00B543A1">
        <w:t>Product scope</w:t>
      </w:r>
    </w:p>
    <w:p w14:paraId="7970BB2D" w14:textId="52C0C64A" w:rsidR="00197B9C" w:rsidRPr="002B26ED" w:rsidRDefault="00197B9C" w:rsidP="00D6184A">
      <w:pPr>
        <w:pStyle w:val="E3BodyText"/>
        <w:jc w:val="both"/>
      </w:pPr>
      <w:r w:rsidRPr="002B26ED">
        <w:t xml:space="preserve">The </w:t>
      </w:r>
      <w:r w:rsidR="0022771E">
        <w:t>s</w:t>
      </w:r>
      <w:r w:rsidRPr="002B26ED">
        <w:t>tandard applies to display cabinets but may not apply to storage cabinets which can be identical in appearance and have similar uses to display cabinets.  If a manufacturer intends a refrigerated commercial cabinet to be used to display and sell food, the cabinet must comply with MEPS. However, a storage cabinet intended to be used for food storage purposes may be exempt</w:t>
      </w:r>
      <w:r w:rsidRPr="002B26ED">
        <w:rPr>
          <w:rStyle w:val="FootnoteReference"/>
        </w:rPr>
        <w:footnoteReference w:id="21"/>
      </w:r>
      <w:r w:rsidRPr="002B26ED">
        <w:t xml:space="preserve">. This creates a significant grey area in the interpretation and application of AS 1731. </w:t>
      </w:r>
    </w:p>
    <w:p w14:paraId="770B57DD" w14:textId="77777777" w:rsidR="00197B9C" w:rsidRPr="002B26ED" w:rsidRDefault="00197B9C" w:rsidP="00D6184A">
      <w:pPr>
        <w:pStyle w:val="E3BodyText"/>
        <w:jc w:val="both"/>
      </w:pPr>
      <w:r w:rsidRPr="002B26ED">
        <w:rPr>
          <w:b/>
        </w:rPr>
        <w:t>Figure 9</w:t>
      </w:r>
      <w:r w:rsidRPr="002B26ED">
        <w:t xml:space="preserve"> shows how AS 17</w:t>
      </w:r>
      <w:r>
        <w:t>3</w:t>
      </w:r>
      <w:r w:rsidRPr="002B26ED">
        <w:t>1 may be applied in practice and the grey areas in interpretation that could result.</w:t>
      </w:r>
    </w:p>
    <w:p w14:paraId="3AC539FC" w14:textId="77777777" w:rsidR="00A929F6" w:rsidRDefault="00A929F6" w:rsidP="00A929F6">
      <w:pPr>
        <w:pStyle w:val="E3Figuretitles"/>
      </w:pPr>
      <w:bookmarkStart w:id="86" w:name="_Toc494142477"/>
    </w:p>
    <w:p w14:paraId="0FADD35D" w14:textId="77777777" w:rsidR="00A929F6" w:rsidRDefault="00A929F6" w:rsidP="00A929F6">
      <w:pPr>
        <w:pStyle w:val="E3Figuretitles"/>
      </w:pPr>
    </w:p>
    <w:p w14:paraId="29F9495B" w14:textId="77777777" w:rsidR="00A929F6" w:rsidRDefault="00A929F6" w:rsidP="00A929F6">
      <w:pPr>
        <w:pStyle w:val="E3Figuretitles"/>
      </w:pPr>
    </w:p>
    <w:p w14:paraId="10021191" w14:textId="77777777" w:rsidR="00A929F6" w:rsidRDefault="00A929F6" w:rsidP="00A929F6">
      <w:pPr>
        <w:pStyle w:val="E3Figuretitles"/>
      </w:pPr>
    </w:p>
    <w:p w14:paraId="03AE7CB8" w14:textId="77777777" w:rsidR="00A929F6" w:rsidRDefault="00A929F6" w:rsidP="00A929F6">
      <w:pPr>
        <w:pStyle w:val="E3Figuretitles"/>
      </w:pPr>
    </w:p>
    <w:p w14:paraId="79D6B7BF" w14:textId="77777777" w:rsidR="00A929F6" w:rsidRDefault="00A929F6" w:rsidP="00A929F6">
      <w:pPr>
        <w:pStyle w:val="E3Figuretitles"/>
      </w:pPr>
    </w:p>
    <w:p w14:paraId="636F52AC" w14:textId="77777777" w:rsidR="00A929F6" w:rsidRDefault="00A929F6" w:rsidP="00A929F6">
      <w:pPr>
        <w:pStyle w:val="E3Figuretitles"/>
      </w:pPr>
    </w:p>
    <w:p w14:paraId="196FB7DB" w14:textId="77777777" w:rsidR="00A929F6" w:rsidRDefault="00A929F6" w:rsidP="00A929F6">
      <w:pPr>
        <w:pStyle w:val="E3Figuretitles"/>
      </w:pPr>
    </w:p>
    <w:p w14:paraId="649E2DAB" w14:textId="77777777" w:rsidR="00A929F6" w:rsidRDefault="00A929F6" w:rsidP="00A929F6">
      <w:pPr>
        <w:pStyle w:val="E3Figuretitles"/>
      </w:pPr>
    </w:p>
    <w:p w14:paraId="3A939AD9" w14:textId="77777777" w:rsidR="00A929F6" w:rsidRDefault="00A929F6" w:rsidP="00A929F6">
      <w:pPr>
        <w:pStyle w:val="E3Figuretitles"/>
      </w:pPr>
    </w:p>
    <w:p w14:paraId="19F1835E" w14:textId="77777777" w:rsidR="00A929F6" w:rsidRDefault="00A929F6" w:rsidP="00A929F6">
      <w:pPr>
        <w:pStyle w:val="E3Figuretitles"/>
      </w:pPr>
    </w:p>
    <w:p w14:paraId="20887F26" w14:textId="77777777" w:rsidR="00A929F6" w:rsidRDefault="00A929F6" w:rsidP="00A929F6">
      <w:pPr>
        <w:pStyle w:val="E3Figuretitles"/>
      </w:pPr>
    </w:p>
    <w:p w14:paraId="401899F2" w14:textId="77777777" w:rsidR="00A929F6" w:rsidRDefault="00A929F6" w:rsidP="00A929F6">
      <w:pPr>
        <w:pStyle w:val="E3Figuretitles"/>
      </w:pPr>
    </w:p>
    <w:p w14:paraId="2F270378" w14:textId="77777777" w:rsidR="00120A42" w:rsidRDefault="00120A42" w:rsidP="00A929F6">
      <w:pPr>
        <w:pStyle w:val="E3Figuretitles"/>
      </w:pPr>
    </w:p>
    <w:p w14:paraId="4D522A0A" w14:textId="77777777" w:rsidR="00A929F6" w:rsidRDefault="00A929F6" w:rsidP="00A929F6">
      <w:pPr>
        <w:pStyle w:val="E3Figuretitles"/>
      </w:pPr>
    </w:p>
    <w:p w14:paraId="6A98A72C" w14:textId="089A5671" w:rsidR="00D6184A" w:rsidRDefault="00D6184A" w:rsidP="00A929F6">
      <w:pPr>
        <w:pStyle w:val="E3Figuretitles"/>
      </w:pPr>
    </w:p>
    <w:p w14:paraId="780190E1" w14:textId="77777777" w:rsidR="00D6184A" w:rsidRDefault="00D6184A" w:rsidP="00A929F6">
      <w:pPr>
        <w:pStyle w:val="E3Figuretitles"/>
      </w:pPr>
    </w:p>
    <w:p w14:paraId="0936BB97" w14:textId="789E9D32" w:rsidR="00197B9C" w:rsidRPr="00A929F6" w:rsidRDefault="00197B9C" w:rsidP="00A929F6">
      <w:pPr>
        <w:pStyle w:val="E3Figuretitles"/>
      </w:pPr>
      <w:r w:rsidRPr="00A929F6">
        <w:lastRenderedPageBreak/>
        <w:t>Figure 9:  Process map for the interpretation of AS 1731</w:t>
      </w:r>
      <w:bookmarkEnd w:id="86"/>
    </w:p>
    <w:p w14:paraId="13C73E8A" w14:textId="77777777" w:rsidR="00197B9C" w:rsidRDefault="00197B9C" w:rsidP="00197B9C">
      <w:pPr>
        <w:spacing w:after="200" w:line="276" w:lineRule="auto"/>
        <w:ind w:left="284"/>
      </w:pPr>
      <w:r w:rsidRPr="008E73B5">
        <w:rPr>
          <w:noProof/>
          <w:lang w:eastAsia="en-AU"/>
        </w:rPr>
        <mc:AlternateContent>
          <mc:Choice Requires="wps">
            <w:drawing>
              <wp:anchor distT="0" distB="0" distL="114300" distR="114300" simplePos="0" relativeHeight="251658243" behindDoc="0" locked="0" layoutInCell="1" allowOverlap="1" wp14:anchorId="717A228D" wp14:editId="758C5F06">
                <wp:simplePos x="0" y="0"/>
                <wp:positionH relativeFrom="column">
                  <wp:posOffset>-1574</wp:posOffset>
                </wp:positionH>
                <wp:positionV relativeFrom="paragraph">
                  <wp:posOffset>4937125</wp:posOffset>
                </wp:positionV>
                <wp:extent cx="6101080" cy="540688"/>
                <wp:effectExtent l="0" t="0" r="0" b="0"/>
                <wp:wrapNone/>
                <wp:docPr id="38" name="TextBox 130"/>
                <wp:cNvGraphicFramePr/>
                <a:graphic xmlns:a="http://schemas.openxmlformats.org/drawingml/2006/main">
                  <a:graphicData uri="http://schemas.microsoft.com/office/word/2010/wordprocessingShape">
                    <wps:wsp>
                      <wps:cNvSpPr txBox="1"/>
                      <wps:spPr>
                        <a:xfrm>
                          <a:off x="0" y="0"/>
                          <a:ext cx="6101080" cy="540688"/>
                        </a:xfrm>
                        <a:prstGeom prst="rect">
                          <a:avLst/>
                        </a:prstGeom>
                        <a:noFill/>
                      </wps:spPr>
                      <wps:txbx>
                        <w:txbxContent>
                          <w:p w14:paraId="0DA6E749" w14:textId="77777777" w:rsidR="00C22857" w:rsidRPr="0041262C" w:rsidRDefault="00C22857" w:rsidP="00197B9C">
                            <w:pPr>
                              <w:pStyle w:val="NormalWeb"/>
                              <w:spacing w:before="0" w:beforeAutospacing="0" w:after="0" w:afterAutospacing="0"/>
                              <w:rPr>
                                <w:rFonts w:ascii="Helvetica" w:hAnsi="Helvetica" w:cs="Helvetica"/>
                                <w:color w:val="000000" w:themeColor="text1"/>
                                <w:kern w:val="24"/>
                                <w:sz w:val="15"/>
                                <w:szCs w:val="15"/>
                              </w:rPr>
                            </w:pPr>
                            <w:r w:rsidRPr="0041262C">
                              <w:rPr>
                                <w:rFonts w:ascii="Helvetica" w:hAnsi="Helvetica" w:cs="Helvetica"/>
                                <w:color w:val="000000" w:themeColor="text1"/>
                                <w:kern w:val="24"/>
                                <w:sz w:val="15"/>
                                <w:szCs w:val="15"/>
                              </w:rPr>
                              <w:t xml:space="preserve">Key:  </w:t>
                            </w:r>
                          </w:p>
                          <w:p w14:paraId="5703A27A" w14:textId="77777777" w:rsidR="00C22857" w:rsidRPr="0041262C" w:rsidRDefault="00C22857" w:rsidP="00197B9C">
                            <w:pPr>
                              <w:pStyle w:val="NormalWeb"/>
                              <w:spacing w:before="0" w:beforeAutospacing="0" w:after="0" w:afterAutospacing="0"/>
                              <w:rPr>
                                <w:rFonts w:ascii="Helvetica" w:hAnsi="Helvetica" w:cs="Helvetica"/>
                                <w:color w:val="000000" w:themeColor="text1"/>
                                <w:kern w:val="24"/>
                                <w:sz w:val="15"/>
                                <w:szCs w:val="15"/>
                              </w:rPr>
                            </w:pPr>
                            <w:r w:rsidRPr="0041262C">
                              <w:rPr>
                                <w:rFonts w:ascii="Helvetica" w:hAnsi="Helvetica" w:cs="Helvetica"/>
                                <w:color w:val="F79646"/>
                                <w:kern w:val="24"/>
                                <w:sz w:val="15"/>
                                <w:szCs w:val="15"/>
                              </w:rPr>
                              <w:sym w:font="Wingdings" w:char="F06E"/>
                            </w:r>
                            <w:r w:rsidRPr="0041262C">
                              <w:rPr>
                                <w:rFonts w:ascii="Helvetica" w:hAnsi="Helvetica" w:cs="Helvetica"/>
                                <w:kern w:val="24"/>
                                <w:sz w:val="15"/>
                                <w:szCs w:val="15"/>
                              </w:rPr>
                              <w:t>=Mandatory clauses</w:t>
                            </w:r>
                          </w:p>
                          <w:p w14:paraId="417CFCAF" w14:textId="77777777" w:rsidR="00C22857" w:rsidRPr="0041262C" w:rsidRDefault="00C22857" w:rsidP="00197B9C">
                            <w:pPr>
                              <w:pStyle w:val="NormalWeb"/>
                              <w:spacing w:before="0" w:beforeAutospacing="0" w:after="0" w:afterAutospacing="0"/>
                              <w:rPr>
                                <w:rFonts w:ascii="Helvetica" w:hAnsi="Helvetica" w:cs="Helvetica"/>
                                <w:color w:val="000000" w:themeColor="text1"/>
                                <w:kern w:val="24"/>
                                <w:sz w:val="15"/>
                                <w:szCs w:val="15"/>
                              </w:rPr>
                            </w:pPr>
                            <w:r w:rsidRPr="0041262C">
                              <w:rPr>
                                <w:rFonts w:ascii="Helvetica" w:hAnsi="Helvetica" w:cs="Helvetica"/>
                                <w:color w:val="EA6C1B" w:themeColor="accent3"/>
                                <w:kern w:val="24"/>
                                <w:sz w:val="15"/>
                                <w:szCs w:val="15"/>
                              </w:rPr>
                              <w:sym w:font="Wingdings" w:char="F06E"/>
                            </w:r>
                            <w:r w:rsidRPr="0041262C">
                              <w:rPr>
                                <w:rFonts w:ascii="Helvetica" w:hAnsi="Helvetica" w:cs="Helvetica"/>
                                <w:kern w:val="24"/>
                                <w:sz w:val="15"/>
                                <w:szCs w:val="15"/>
                              </w:rPr>
                              <w:t>=</w:t>
                            </w:r>
                            <w:r w:rsidRPr="0041262C">
                              <w:rPr>
                                <w:rFonts w:ascii="Helvetica" w:hAnsi="Helvetica" w:cs="Helvetica"/>
                                <w:color w:val="000000" w:themeColor="text1"/>
                                <w:kern w:val="24"/>
                                <w:sz w:val="15"/>
                                <w:szCs w:val="15"/>
                              </w:rPr>
                              <w:t>Suggested interpretation</w:t>
                            </w:r>
                          </w:p>
                          <w:p w14:paraId="72F6A1A9" w14:textId="77777777" w:rsidR="00C22857" w:rsidRPr="0041262C" w:rsidRDefault="00C22857" w:rsidP="00197B9C">
                            <w:pPr>
                              <w:pStyle w:val="NormalWeb"/>
                              <w:spacing w:before="0" w:beforeAutospacing="0" w:after="0" w:afterAutospacing="0"/>
                              <w:rPr>
                                <w:rFonts w:ascii="Helvetica" w:hAnsi="Helvetica" w:cs="Helvetica"/>
                                <w:sz w:val="15"/>
                                <w:szCs w:val="15"/>
                              </w:rPr>
                            </w:pPr>
                            <w:r w:rsidRPr="0041262C">
                              <w:rPr>
                                <w:rFonts w:ascii="Helvetica" w:hAnsi="Helvetica" w:cs="Helvetica"/>
                                <w:color w:val="A6A6A6" w:themeColor="background1" w:themeShade="A6"/>
                                <w:kern w:val="24"/>
                                <w:sz w:val="15"/>
                                <w:szCs w:val="15"/>
                              </w:rPr>
                              <w:sym w:font="Wingdings" w:char="F06E"/>
                            </w:r>
                            <w:r w:rsidRPr="0041262C">
                              <w:rPr>
                                <w:rFonts w:ascii="Helvetica" w:hAnsi="Helvetica" w:cs="Helvetica"/>
                                <w:kern w:val="24"/>
                                <w:sz w:val="15"/>
                                <w:szCs w:val="15"/>
                              </w:rPr>
                              <w:t>=</w:t>
                            </w:r>
                            <w:r w:rsidRPr="0041262C">
                              <w:rPr>
                                <w:rFonts w:ascii="Helvetica" w:hAnsi="Helvetica" w:cs="Helvetica"/>
                                <w:color w:val="000000" w:themeColor="text1"/>
                                <w:kern w:val="24"/>
                                <w:sz w:val="15"/>
                                <w:szCs w:val="15"/>
                              </w:rPr>
                              <w:t xml:space="preserve">Grey area in interpretation, where cabinet could be included or absent from the standard.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7A228D" id="TextBox 130" o:spid="_x0000_s1029" type="#_x0000_t202" style="position:absolute;left:0;text-align:left;margin-left:-.1pt;margin-top:388.75pt;width:480.4pt;height:4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" filled="f" stroked="f">
                <v:textbox>
                  <w:txbxContent>
                    <w:p w14:paraId="0DA6E749" w14:textId="77777777" w:rsidR="00C22857" w:rsidRPr="0041262C" w:rsidRDefault="00C22857" w:rsidP="00197B9C">
                      <w:pPr>
                        <w:pStyle w:val="NormalWeb"/>
                        <w:spacing w:before="0" w:beforeAutospacing="0" w:after="0" w:afterAutospacing="0"/>
                        <w:rPr>
                          <w:rFonts w:ascii="Helvetica" w:hAnsi="Helvetica" w:cs="Helvetica"/>
                          <w:color w:val="000000" w:themeColor="text1"/>
                          <w:kern w:val="24"/>
                          <w:sz w:val="15"/>
                          <w:szCs w:val="15"/>
                        </w:rPr>
                      </w:pPr>
                      <w:r w:rsidRPr="0041262C">
                        <w:rPr>
                          <w:rFonts w:ascii="Helvetica" w:hAnsi="Helvetica" w:cs="Helvetica"/>
                          <w:color w:val="000000" w:themeColor="text1"/>
                          <w:kern w:val="24"/>
                          <w:sz w:val="15"/>
                          <w:szCs w:val="15"/>
                        </w:rPr>
                        <w:t xml:space="preserve">Key:  </w:t>
                      </w:r>
                    </w:p>
                    <w:p w14:paraId="5703A27A" w14:textId="77777777" w:rsidR="00C22857" w:rsidRPr="0041262C" w:rsidRDefault="00C22857" w:rsidP="00197B9C">
                      <w:pPr>
                        <w:pStyle w:val="NormalWeb"/>
                        <w:spacing w:before="0" w:beforeAutospacing="0" w:after="0" w:afterAutospacing="0"/>
                        <w:rPr>
                          <w:rFonts w:ascii="Helvetica" w:hAnsi="Helvetica" w:cs="Helvetica"/>
                          <w:color w:val="000000" w:themeColor="text1"/>
                          <w:kern w:val="24"/>
                          <w:sz w:val="15"/>
                          <w:szCs w:val="15"/>
                        </w:rPr>
                      </w:pPr>
                      <w:r w:rsidRPr="0041262C">
                        <w:rPr>
                          <w:rFonts w:ascii="Helvetica" w:hAnsi="Helvetica" w:cs="Helvetica"/>
                          <w:color w:val="F79646"/>
                          <w:kern w:val="24"/>
                          <w:sz w:val="15"/>
                          <w:szCs w:val="15"/>
                        </w:rPr>
                        <w:sym w:font="Wingdings" w:char="F06E"/>
                      </w:r>
                      <w:r w:rsidRPr="0041262C">
                        <w:rPr>
                          <w:rFonts w:ascii="Helvetica" w:hAnsi="Helvetica" w:cs="Helvetica"/>
                          <w:kern w:val="24"/>
                          <w:sz w:val="15"/>
                          <w:szCs w:val="15"/>
                        </w:rPr>
                        <w:t>=Mandatory clauses</w:t>
                      </w:r>
                    </w:p>
                    <w:p w14:paraId="417CFCAF" w14:textId="77777777" w:rsidR="00C22857" w:rsidRPr="0041262C" w:rsidRDefault="00C22857" w:rsidP="00197B9C">
                      <w:pPr>
                        <w:pStyle w:val="NormalWeb"/>
                        <w:spacing w:before="0" w:beforeAutospacing="0" w:after="0" w:afterAutospacing="0"/>
                        <w:rPr>
                          <w:rFonts w:ascii="Helvetica" w:hAnsi="Helvetica" w:cs="Helvetica"/>
                          <w:color w:val="000000" w:themeColor="text1"/>
                          <w:kern w:val="24"/>
                          <w:sz w:val="15"/>
                          <w:szCs w:val="15"/>
                        </w:rPr>
                      </w:pPr>
                      <w:r w:rsidRPr="0041262C">
                        <w:rPr>
                          <w:rFonts w:ascii="Helvetica" w:hAnsi="Helvetica" w:cs="Helvetica"/>
                          <w:color w:val="EA6C1B" w:themeColor="accent3"/>
                          <w:kern w:val="24"/>
                          <w:sz w:val="15"/>
                          <w:szCs w:val="15"/>
                        </w:rPr>
                        <w:sym w:font="Wingdings" w:char="F06E"/>
                      </w:r>
                      <w:r w:rsidRPr="0041262C">
                        <w:rPr>
                          <w:rFonts w:ascii="Helvetica" w:hAnsi="Helvetica" w:cs="Helvetica"/>
                          <w:kern w:val="24"/>
                          <w:sz w:val="15"/>
                          <w:szCs w:val="15"/>
                        </w:rPr>
                        <w:t>=</w:t>
                      </w:r>
                      <w:r w:rsidRPr="0041262C">
                        <w:rPr>
                          <w:rFonts w:ascii="Helvetica" w:hAnsi="Helvetica" w:cs="Helvetica"/>
                          <w:color w:val="000000" w:themeColor="text1"/>
                          <w:kern w:val="24"/>
                          <w:sz w:val="15"/>
                          <w:szCs w:val="15"/>
                        </w:rPr>
                        <w:t>Suggested interpretation</w:t>
                      </w:r>
                    </w:p>
                    <w:p w14:paraId="72F6A1A9" w14:textId="77777777" w:rsidR="00C22857" w:rsidRPr="0041262C" w:rsidRDefault="00C22857" w:rsidP="00197B9C">
                      <w:pPr>
                        <w:pStyle w:val="NormalWeb"/>
                        <w:spacing w:before="0" w:beforeAutospacing="0" w:after="0" w:afterAutospacing="0"/>
                        <w:rPr>
                          <w:rFonts w:ascii="Helvetica" w:hAnsi="Helvetica" w:cs="Helvetica"/>
                          <w:sz w:val="15"/>
                          <w:szCs w:val="15"/>
                        </w:rPr>
                      </w:pPr>
                      <w:r w:rsidRPr="0041262C">
                        <w:rPr>
                          <w:rFonts w:ascii="Helvetica" w:hAnsi="Helvetica" w:cs="Helvetica"/>
                          <w:color w:val="A6A6A6" w:themeColor="background1" w:themeShade="A6"/>
                          <w:kern w:val="24"/>
                          <w:sz w:val="15"/>
                          <w:szCs w:val="15"/>
                        </w:rPr>
                        <w:sym w:font="Wingdings" w:char="F06E"/>
                      </w:r>
                      <w:r w:rsidRPr="0041262C">
                        <w:rPr>
                          <w:rFonts w:ascii="Helvetica" w:hAnsi="Helvetica" w:cs="Helvetica"/>
                          <w:kern w:val="24"/>
                          <w:sz w:val="15"/>
                          <w:szCs w:val="15"/>
                        </w:rPr>
                        <w:t>=</w:t>
                      </w:r>
                      <w:r w:rsidRPr="0041262C">
                        <w:rPr>
                          <w:rFonts w:ascii="Helvetica" w:hAnsi="Helvetica" w:cs="Helvetica"/>
                          <w:color w:val="000000" w:themeColor="text1"/>
                          <w:kern w:val="24"/>
                          <w:sz w:val="15"/>
                          <w:szCs w:val="15"/>
                        </w:rPr>
                        <w:t xml:space="preserve">Grey area in interpretation, where cabinet could be included or absent from the standard. </w:t>
                      </w:r>
                    </w:p>
                  </w:txbxContent>
                </v:textbox>
              </v:shape>
            </w:pict>
          </mc:Fallback>
        </mc:AlternateContent>
      </w:r>
      <w:r>
        <w:object w:dxaOrig="12582" w:dyaOrig="10345" w14:anchorId="170DA3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Confusion in the test method (the Standard AS 173) arises because of conflicting instructions on how to define storage cabinets." style="width:482.5pt;height:396.45pt" o:ole="">
            <v:imagedata r:id="rId40" o:title=""/>
          </v:shape>
          <o:OLEObject Type="Embed" ProgID="Visio.Drawing.11" ShapeID="_x0000_i1029" DrawAspect="Content" ObjectID="_1573903533" r:id="rId41"/>
        </w:object>
      </w:r>
    </w:p>
    <w:p w14:paraId="668D4E4F" w14:textId="77777777" w:rsidR="00197B9C" w:rsidRDefault="00197B9C" w:rsidP="00197B9C">
      <w:pPr>
        <w:pStyle w:val="E3BodyText"/>
      </w:pPr>
    </w:p>
    <w:p w14:paraId="56022526" w14:textId="77777777" w:rsidR="00197B9C" w:rsidRDefault="00197B9C" w:rsidP="00197B9C">
      <w:pPr>
        <w:pStyle w:val="E3BodyText"/>
      </w:pPr>
    </w:p>
    <w:p w14:paraId="2B57F47A" w14:textId="057A3717" w:rsidR="00197B9C" w:rsidRPr="002B26ED" w:rsidRDefault="00197B9C" w:rsidP="00D6184A">
      <w:pPr>
        <w:pStyle w:val="E3BodyText"/>
        <w:jc w:val="both"/>
      </w:pPr>
      <w:r w:rsidRPr="002B26ED">
        <w:t xml:space="preserve">The “intended situation of use” exemption was written into AS 1731 because storage cabinets made up only a small part of the market for refrigerated </w:t>
      </w:r>
      <w:r>
        <w:t xml:space="preserve">commercial </w:t>
      </w:r>
      <w:r w:rsidRPr="002B26ED">
        <w:t>cabinets at the time the standard was created. However, this is no longer the position – they now make up 20% of the market for refrigerated commercial cabinets.</w:t>
      </w:r>
      <w:r w:rsidRPr="002B26ED">
        <w:rPr>
          <w:rStyle w:val="FootnoteReference"/>
        </w:rPr>
        <w:footnoteReference w:id="22"/>
      </w:r>
      <w:r w:rsidRPr="002B26ED">
        <w:t xml:space="preserve"> This means that a sizeable share of the refrigerated commercial cabinet market </w:t>
      </w:r>
      <w:r w:rsidR="0022771E">
        <w:t>is</w:t>
      </w:r>
      <w:r w:rsidRPr="002B26ED">
        <w:t xml:space="preserve"> unregulated and not subject to any energy efficiency requirements.  </w:t>
      </w:r>
    </w:p>
    <w:p w14:paraId="178FA558" w14:textId="77777777" w:rsidR="00197B9C" w:rsidRPr="002B26ED" w:rsidRDefault="00197B9C" w:rsidP="00D6184A">
      <w:pPr>
        <w:pStyle w:val="E3BodyText"/>
        <w:jc w:val="both"/>
      </w:pPr>
      <w:r w:rsidRPr="0041262C">
        <w:lastRenderedPageBreak/>
        <w:t>Modelling estimates provided for this RIS indicate that in 2020, approximately 2</w:t>
      </w:r>
      <w:r>
        <w:t>2</w:t>
      </w:r>
      <w:r w:rsidRPr="0041262C">
        <w:t>,000 ‘storage’ cabinets will be sold in Australia and New Zealand. Because of the ‘intended</w:t>
      </w:r>
      <w:r w:rsidRPr="002B26ED">
        <w:t xml:space="preserve"> situation of use’ exclusion, the majority of those storage cabinets may be exempt from, and therefore not comply with, the current MEPS.</w:t>
      </w:r>
      <w:r w:rsidRPr="002B26ED">
        <w:rPr>
          <w:color w:val="808080" w:themeColor="background1" w:themeShade="80"/>
        </w:rPr>
        <w:t xml:space="preserve">  </w:t>
      </w:r>
      <w:r w:rsidRPr="002B26ED">
        <w:t>Of the 16 Consultation RIS submissions that specifically mentioned storage cabinets, all but one supported an expansion of measures to cover storage cabinets.</w:t>
      </w:r>
      <w:r w:rsidRPr="002B26ED">
        <w:rPr>
          <w:rStyle w:val="FootnoteReference"/>
        </w:rPr>
        <w:footnoteReference w:id="23"/>
      </w:r>
      <w:r w:rsidRPr="002B26ED">
        <w:t xml:space="preserve"> </w:t>
      </w:r>
    </w:p>
    <w:p w14:paraId="7674412E" w14:textId="77777777" w:rsidR="00197B9C" w:rsidRPr="002B26ED" w:rsidRDefault="00197B9C" w:rsidP="00D6184A">
      <w:pPr>
        <w:pStyle w:val="E3BodyText"/>
        <w:jc w:val="both"/>
      </w:pPr>
      <w:r w:rsidRPr="002B26ED">
        <w:t>Refrigerated storage cabinets have been regulated for efficiency in North America since 2010 and in Europe since 2015.  Refrigerated storage cabinets were the subject of an extensive European Eco-design study in 2011 which found that they comprised around 20% of the market by quantity and had an average estimated 32% energy saving potential per year.</w:t>
      </w:r>
      <w:r w:rsidRPr="002B26ED">
        <w:rPr>
          <w:rStyle w:val="FootnoteReference"/>
        </w:rPr>
        <w:footnoteReference w:id="24"/>
      </w:r>
      <w:r w:rsidRPr="002B26ED">
        <w:t xml:space="preserve">  Significant energy savings could therefore be achieved by regulating storage cabinets. </w:t>
      </w:r>
    </w:p>
    <w:p w14:paraId="3A99B357" w14:textId="77777777" w:rsidR="00197B9C" w:rsidRPr="00B543A1" w:rsidRDefault="00197B9C" w:rsidP="00D6184A">
      <w:pPr>
        <w:pStyle w:val="E3Heading4"/>
        <w:jc w:val="both"/>
      </w:pPr>
      <w:r w:rsidRPr="00B543A1">
        <w:t>Minimum Energy Performance Standards</w:t>
      </w:r>
    </w:p>
    <w:p w14:paraId="3581E4FA" w14:textId="77777777" w:rsidR="00197B9C" w:rsidRPr="002B26ED" w:rsidRDefault="00197B9C" w:rsidP="00D6184A">
      <w:pPr>
        <w:pStyle w:val="E3BodyText"/>
        <w:jc w:val="both"/>
      </w:pPr>
      <w:r w:rsidRPr="002B26ED">
        <w:t xml:space="preserve">MEPS no longer </w:t>
      </w:r>
      <w:r>
        <w:t>serve</w:t>
      </w:r>
      <w:r w:rsidRPr="002B26ED">
        <w:t xml:space="preserve"> the market as well as </w:t>
      </w:r>
      <w:r>
        <w:t>they</w:t>
      </w:r>
      <w:r w:rsidRPr="002B26ED">
        <w:t xml:space="preserve"> once did</w:t>
      </w:r>
      <w:r>
        <w:t xml:space="preserve"> because the</w:t>
      </w:r>
      <w:r w:rsidRPr="007F5DD3">
        <w:t xml:space="preserve"> MEPS levels </w:t>
      </w:r>
      <w:r>
        <w:t>have not been updated since 2003</w:t>
      </w:r>
      <w:r w:rsidRPr="002B26ED">
        <w:t xml:space="preserve">.  </w:t>
      </w:r>
      <w:r>
        <w:t xml:space="preserve"> The average efficiency of commercial refrigeration remains clustered around the existing levels and there is no longer any market transformation occurring under the status quo.</w:t>
      </w:r>
    </w:p>
    <w:p w14:paraId="533A1287" w14:textId="3CA02660" w:rsidR="00197B9C" w:rsidRPr="002B26ED" w:rsidRDefault="00197B9C" w:rsidP="00D6184A">
      <w:pPr>
        <w:pStyle w:val="E3BodyText"/>
        <w:jc w:val="both"/>
      </w:pPr>
      <w:r w:rsidRPr="002B26ED">
        <w:t>Sales data from New Zealand</w:t>
      </w:r>
      <w:r>
        <w:t xml:space="preserve"> </w:t>
      </w:r>
      <w:r w:rsidR="0022771E">
        <w:t>(</w:t>
      </w:r>
      <w:r w:rsidRPr="0041262C">
        <w:rPr>
          <w:b/>
        </w:rPr>
        <w:t>Figure 10</w:t>
      </w:r>
      <w:r w:rsidR="0022771E">
        <w:rPr>
          <w:b/>
        </w:rPr>
        <w:t>)</w:t>
      </w:r>
      <w:r>
        <w:rPr>
          <w:b/>
        </w:rPr>
        <w:t xml:space="preserve"> </w:t>
      </w:r>
      <w:r>
        <w:t>below</w:t>
      </w:r>
      <w:r w:rsidRPr="002B26ED">
        <w:t xml:space="preserve"> </w:t>
      </w:r>
      <w:r>
        <w:t xml:space="preserve">shows </w:t>
      </w:r>
      <w:r w:rsidRPr="002B26ED">
        <w:t xml:space="preserve">sales weighted average efficiency for </w:t>
      </w:r>
      <w:r>
        <w:t xml:space="preserve">three of the four </w:t>
      </w:r>
      <w:r w:rsidRPr="002B26ED">
        <w:t>most common</w:t>
      </w:r>
      <w:r>
        <w:t xml:space="preserve"> product</w:t>
      </w:r>
      <w:r w:rsidRPr="002B26ED">
        <w:t xml:space="preserve"> classes is approaching or surpassing the current HEPS levels</w:t>
      </w:r>
      <w:r>
        <w:t>, which indicates a</w:t>
      </w:r>
      <w:r w:rsidRPr="002B26ED">
        <w:t xml:space="preserve"> need for more stringent MEPS </w:t>
      </w:r>
      <w:r>
        <w:t>that</w:t>
      </w:r>
      <w:r w:rsidRPr="002B26ED">
        <w:t xml:space="preserve"> reflect the actual efficiency of cabinets in the market.</w:t>
      </w:r>
      <w:r>
        <w:t xml:space="preserve"> </w:t>
      </w:r>
    </w:p>
    <w:p w14:paraId="78AFAA03" w14:textId="77777777" w:rsidR="00863204" w:rsidRDefault="00863204" w:rsidP="00197B9C">
      <w:pPr>
        <w:pStyle w:val="E3Figuretitles"/>
        <w:spacing w:before="360" w:after="360"/>
      </w:pPr>
      <w:bookmarkStart w:id="87" w:name="_Toc494142478"/>
    </w:p>
    <w:p w14:paraId="65710614" w14:textId="77777777" w:rsidR="00863204" w:rsidRDefault="00863204" w:rsidP="00197B9C">
      <w:pPr>
        <w:pStyle w:val="E3Figuretitles"/>
        <w:spacing w:before="360" w:after="360"/>
      </w:pPr>
    </w:p>
    <w:p w14:paraId="64B92914" w14:textId="77777777" w:rsidR="00863204" w:rsidRDefault="00863204" w:rsidP="00197B9C">
      <w:pPr>
        <w:pStyle w:val="E3Figuretitles"/>
        <w:spacing w:before="360" w:after="360"/>
      </w:pPr>
    </w:p>
    <w:p w14:paraId="0FB4EFD6" w14:textId="1032837C" w:rsidR="00863204" w:rsidRDefault="00863204" w:rsidP="00197B9C">
      <w:pPr>
        <w:pStyle w:val="E3Figuretitles"/>
        <w:spacing w:before="360" w:after="360"/>
      </w:pPr>
    </w:p>
    <w:p w14:paraId="7CEAED9B" w14:textId="77777777" w:rsidR="00243B70" w:rsidRDefault="00243B70" w:rsidP="00197B9C">
      <w:pPr>
        <w:pStyle w:val="E3Figuretitles"/>
        <w:spacing w:before="360" w:after="360"/>
      </w:pPr>
    </w:p>
    <w:p w14:paraId="4E6B7124" w14:textId="77777777" w:rsidR="00C22857" w:rsidRDefault="00C22857" w:rsidP="00A929F6">
      <w:pPr>
        <w:pStyle w:val="E3Figuretitles"/>
      </w:pPr>
    </w:p>
    <w:p w14:paraId="0AE03EBC" w14:textId="77777777" w:rsidR="00C22857" w:rsidRDefault="00C22857" w:rsidP="00A929F6">
      <w:pPr>
        <w:pStyle w:val="E3Figuretitles"/>
      </w:pPr>
    </w:p>
    <w:p w14:paraId="75E5985C" w14:textId="39A87C4A" w:rsidR="00197B9C" w:rsidRPr="00A929F6" w:rsidRDefault="00197B9C" w:rsidP="00A929F6">
      <w:pPr>
        <w:pStyle w:val="E3Figuretitles"/>
      </w:pPr>
      <w:r w:rsidRPr="00A929F6">
        <w:t xml:space="preserve">Figure 10: Sales weighted average efficiency (NZ data) for the most popular cabinet </w:t>
      </w:r>
      <w:r w:rsidRPr="009F0EE0">
        <w:t>classes.</w:t>
      </w:r>
      <w:bookmarkEnd w:id="87"/>
    </w:p>
    <w:p w14:paraId="04130107" w14:textId="77777777" w:rsidR="00197B9C" w:rsidRDefault="00197B9C" w:rsidP="00197B9C">
      <w:pPr>
        <w:pStyle w:val="E3BodyText"/>
      </w:pPr>
      <w:r>
        <w:rPr>
          <w:noProof/>
          <w:lang w:val="en-AU" w:eastAsia="en-AU"/>
        </w:rPr>
        <w:drawing>
          <wp:inline distT="0" distB="0" distL="0" distR="0" wp14:anchorId="25266749" wp14:editId="6928ACA3">
            <wp:extent cx="5537606" cy="2923574"/>
            <wp:effectExtent l="0" t="0" r="6350" b="0"/>
            <wp:docPr id="39" name="Picture 39" descr="Although efficiency of cabinets has improved over time, the efficiency level specified in the standard was not a very stong stretch target. Most cabinets now out perform levels shown. " title="Sales weighted efficiency of New Zealand beverage chi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44526" cy="2927227"/>
                    </a:xfrm>
                    <a:prstGeom prst="rect">
                      <a:avLst/>
                    </a:prstGeom>
                    <a:noFill/>
                  </pic:spPr>
                </pic:pic>
              </a:graphicData>
            </a:graphic>
          </wp:inline>
        </w:drawing>
      </w:r>
    </w:p>
    <w:p w14:paraId="681B29E7" w14:textId="77777777" w:rsidR="00197B9C" w:rsidRDefault="00197B9C" w:rsidP="00197B9C">
      <w:pPr>
        <w:pStyle w:val="E3BodyText"/>
      </w:pPr>
      <w:r>
        <w:rPr>
          <w:noProof/>
          <w:lang w:val="en-AU" w:eastAsia="en-AU"/>
        </w:rPr>
        <w:drawing>
          <wp:inline distT="0" distB="0" distL="0" distR="0" wp14:anchorId="5737EFC0" wp14:editId="4D9367AF">
            <wp:extent cx="5493385" cy="2865059"/>
            <wp:effectExtent l="0" t="0" r="0" b="0"/>
            <wp:docPr id="40" name="Picture 40" descr="The efficiency of these cabinets has always been far above the high efficiency levels stated in the Standard - the high efficiency level is therfore no longer a useful number and needs to be revised. " title="Sales weighted efficiency of New Zealand open low chi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97621" cy="2867268"/>
                    </a:xfrm>
                    <a:prstGeom prst="rect">
                      <a:avLst/>
                    </a:prstGeom>
                    <a:noFill/>
                  </pic:spPr>
                </pic:pic>
              </a:graphicData>
            </a:graphic>
          </wp:inline>
        </w:drawing>
      </w:r>
    </w:p>
    <w:p w14:paraId="7523843E" w14:textId="77777777" w:rsidR="00197B9C" w:rsidRDefault="00197B9C" w:rsidP="00197B9C">
      <w:pPr>
        <w:pStyle w:val="E3BodyText"/>
      </w:pPr>
      <w:r>
        <w:rPr>
          <w:noProof/>
          <w:lang w:val="en-AU" w:eastAsia="en-AU"/>
        </w:rPr>
        <w:lastRenderedPageBreak/>
        <w:drawing>
          <wp:inline distT="0" distB="0" distL="0" distR="0" wp14:anchorId="400B8794" wp14:editId="62C6B26E">
            <wp:extent cx="5494351" cy="2885728"/>
            <wp:effectExtent l="0" t="0" r="0" b="0"/>
            <wp:docPr id="41" name="Picture 41" descr="The efficiency of this type of cabinet have decreased then increased to return to similar levels as when MEPS were first introduced. Overall - little change in efficiency. " title="Sales weighted efficiency of New Zealand unlit open remote chi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02569" cy="2890044"/>
                    </a:xfrm>
                    <a:prstGeom prst="rect">
                      <a:avLst/>
                    </a:prstGeom>
                    <a:noFill/>
                  </pic:spPr>
                </pic:pic>
              </a:graphicData>
            </a:graphic>
          </wp:inline>
        </w:drawing>
      </w:r>
    </w:p>
    <w:p w14:paraId="6E952BFE" w14:textId="77777777" w:rsidR="00197B9C" w:rsidRDefault="00197B9C" w:rsidP="00197B9C">
      <w:pPr>
        <w:pStyle w:val="E3BodyText"/>
      </w:pPr>
      <w:r>
        <w:rPr>
          <w:noProof/>
          <w:lang w:val="en-AU" w:eastAsia="en-AU"/>
        </w:rPr>
        <w:drawing>
          <wp:inline distT="0" distB="0" distL="0" distR="0" wp14:anchorId="2C3E3166" wp14:editId="7FAC83B4">
            <wp:extent cx="5499961" cy="2968831"/>
            <wp:effectExtent l="0" t="0" r="5715" b="3175"/>
            <wp:docPr id="42" name="Picture 42" descr="The efficiency of these models has steadily improved since the year 2009 so that these units are now above their high efficiency level." title="Sales weighted efficiency of New Zealand remote, lit, open cabi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11182" cy="2974888"/>
                    </a:xfrm>
                    <a:prstGeom prst="rect">
                      <a:avLst/>
                    </a:prstGeom>
                    <a:noFill/>
                  </pic:spPr>
                </pic:pic>
              </a:graphicData>
            </a:graphic>
          </wp:inline>
        </w:drawing>
      </w:r>
    </w:p>
    <w:p w14:paraId="5AA5D40E" w14:textId="77777777" w:rsidR="00863204" w:rsidRDefault="00863204" w:rsidP="00197B9C">
      <w:pPr>
        <w:pStyle w:val="E3BodyText"/>
      </w:pPr>
    </w:p>
    <w:p w14:paraId="6BC597A5" w14:textId="4FCC220C" w:rsidR="00197B9C" w:rsidRPr="00E434B5" w:rsidRDefault="00197B9C" w:rsidP="00D6184A">
      <w:pPr>
        <w:pStyle w:val="E3BodyText"/>
        <w:jc w:val="both"/>
        <w:rPr>
          <w:highlight w:val="yellow"/>
        </w:rPr>
      </w:pPr>
      <w:r w:rsidRPr="002B26ED">
        <w:t xml:space="preserve">New Zealand </w:t>
      </w:r>
      <w:r>
        <w:t>sales data</w:t>
      </w:r>
      <w:r w:rsidRPr="002B26ED">
        <w:t xml:space="preserve"> </w:t>
      </w:r>
      <w:r>
        <w:t xml:space="preserve">also shows new models entering the market at a slower rate than you would expect to see in a market where there was already sufficient </w:t>
      </w:r>
      <w:r w:rsidRPr="002B26ED">
        <w:t xml:space="preserve">incentive to </w:t>
      </w:r>
      <w:r>
        <w:t xml:space="preserve">raise product efficiency.  </w:t>
      </w:r>
      <w:r w:rsidRPr="002B26ED">
        <w:t>Of the units sold in 2015</w:t>
      </w:r>
      <w:r>
        <w:t>,</w:t>
      </w:r>
      <w:r w:rsidRPr="002B26ED">
        <w:t xml:space="preserve"> 28% were models registered before 2007 and only 12% were models registered in the last three years. By comparison, 40% of domestic fridge freezers sold </w:t>
      </w:r>
      <w:r>
        <w:t xml:space="preserve">in the same year </w:t>
      </w:r>
      <w:r w:rsidRPr="002B26ED">
        <w:t xml:space="preserve">were </w:t>
      </w:r>
      <w:r>
        <w:t xml:space="preserve">from </w:t>
      </w:r>
      <w:r w:rsidRPr="002B26ED">
        <w:t>models registered in the last three year</w:t>
      </w:r>
      <w:r>
        <w:t xml:space="preserve">s. </w:t>
      </w:r>
      <w:r w:rsidRPr="002B26ED">
        <w:t>If</w:t>
      </w:r>
      <w:r w:rsidRPr="000362D1">
        <w:t xml:space="preserve"> </w:t>
      </w:r>
      <w:r>
        <w:t>there was sufficient motivation to raise</w:t>
      </w:r>
      <w:r w:rsidRPr="002B26ED">
        <w:t xml:space="preserve"> </w:t>
      </w:r>
      <w:r>
        <w:t>efficiencies beyond the current minimum</w:t>
      </w:r>
      <w:r w:rsidRPr="002B26ED">
        <w:t xml:space="preserve">, sales of </w:t>
      </w:r>
      <w:r>
        <w:t>commercial refrigeration units could be expected to</w:t>
      </w:r>
      <w:r w:rsidRPr="002B26ED">
        <w:t xml:space="preserve"> </w:t>
      </w:r>
      <w:r>
        <w:t>fall along similar lines</w:t>
      </w:r>
      <w:r w:rsidRPr="002B26ED">
        <w:t xml:space="preserve">. </w:t>
      </w:r>
      <w:r>
        <w:t>Notably, the efficiency levels for domestic fridges have been updated since they were first introduced, whereas</w:t>
      </w:r>
      <w:r w:rsidR="0022771E">
        <w:t xml:space="preserve"> the</w:t>
      </w:r>
      <w:r>
        <w:t xml:space="preserve"> levels for commercial refrigeration have not.</w:t>
      </w:r>
      <w:r w:rsidRPr="00E434B5">
        <w:rPr>
          <w:highlight w:val="yellow"/>
        </w:rPr>
        <w:t xml:space="preserve"> </w:t>
      </w:r>
    </w:p>
    <w:p w14:paraId="16579632" w14:textId="690C1D45" w:rsidR="00197B9C" w:rsidRPr="002B26ED" w:rsidRDefault="00197B9C" w:rsidP="00A97BF6">
      <w:pPr>
        <w:pStyle w:val="E3BodyText"/>
        <w:jc w:val="both"/>
      </w:pPr>
      <w:r>
        <w:t xml:space="preserve">Sales </w:t>
      </w:r>
      <w:r w:rsidRPr="002B26ED">
        <w:t xml:space="preserve">analysis </w:t>
      </w:r>
      <w:r w:rsidR="0022771E">
        <w:t xml:space="preserve">of </w:t>
      </w:r>
      <w:r>
        <w:t>the top-</w:t>
      </w:r>
      <w:r w:rsidRPr="002B26ED">
        <w:t xml:space="preserve">selling cabinet type in </w:t>
      </w:r>
      <w:r>
        <w:t xml:space="preserve">New Zealand in </w:t>
      </w:r>
      <w:r w:rsidRPr="002B26ED">
        <w:t>2015</w:t>
      </w:r>
      <w:r>
        <w:t xml:space="preserve"> is shown in </w:t>
      </w:r>
      <w:r w:rsidRPr="008921DA">
        <w:rPr>
          <w:b/>
          <w:sz w:val="22"/>
          <w:szCs w:val="22"/>
        </w:rPr>
        <w:t>Figure 11</w:t>
      </w:r>
      <w:r>
        <w:t xml:space="preserve"> </w:t>
      </w:r>
      <w:r w:rsidRPr="002B26ED">
        <w:t>below</w:t>
      </w:r>
      <w:r>
        <w:t>.</w:t>
      </w:r>
      <w:r w:rsidRPr="002B26ED">
        <w:t xml:space="preserve"> </w:t>
      </w:r>
      <w:r>
        <w:t>The lack of any correlation between</w:t>
      </w:r>
      <w:r w:rsidRPr="002B26ED">
        <w:t xml:space="preserve"> price </w:t>
      </w:r>
      <w:r>
        <w:t xml:space="preserve">and efficiency suggests that efficiency is not </w:t>
      </w:r>
      <w:r>
        <w:lastRenderedPageBreak/>
        <w:t xml:space="preserve">valued in the market.  There are also no trends linking sales volumes with energy efficiency, which suggests that the efficiency of products (and hence their total cost of ownership) is not driving demand under the status quo.  </w:t>
      </w:r>
      <w:r w:rsidRPr="002B26ED">
        <w:t xml:space="preserve"> </w:t>
      </w:r>
    </w:p>
    <w:p w14:paraId="3929BC61" w14:textId="77777777" w:rsidR="00197B9C" w:rsidRPr="00A929F6" w:rsidRDefault="00197B9C" w:rsidP="00A929F6">
      <w:pPr>
        <w:pStyle w:val="E3Figuretitles"/>
      </w:pPr>
      <w:bookmarkStart w:id="88" w:name="_Toc494142479"/>
      <w:r w:rsidRPr="00A929F6">
        <w:t>Figure 11: Analysis of sales, price &amp; efficiency of the most purchased cabinet type in New Zealand, 2015</w:t>
      </w:r>
      <w:bookmarkEnd w:id="88"/>
      <w:r w:rsidRPr="00A929F6">
        <w:t xml:space="preserve">  </w:t>
      </w:r>
      <w:r w:rsidRPr="00A929F6">
        <w:br/>
      </w:r>
    </w:p>
    <w:p w14:paraId="112CA245" w14:textId="77777777" w:rsidR="00197B9C" w:rsidRDefault="00197B9C" w:rsidP="00197B9C">
      <w:pPr>
        <w:pStyle w:val="E3BodyText"/>
      </w:pPr>
      <w:r w:rsidRPr="001A389D">
        <w:rPr>
          <w:noProof/>
          <w:lang w:val="en-AU" w:eastAsia="en-AU"/>
        </w:rPr>
        <w:drawing>
          <wp:inline distT="0" distB="0" distL="0" distR="0" wp14:anchorId="561645A4" wp14:editId="711FE4E4">
            <wp:extent cx="6120765" cy="3138170"/>
            <wp:effectExtent l="0" t="0" r="0" b="5080"/>
            <wp:docPr id="254" name="Picture 254" descr="This grapic shows the multiple numbers of cabinets of this type and where they sit relative to MEPS and the high efficiency peformance levels. The graphic shows that all models are easily passing MEPS and most are also outperforming HEPS. This suggests that the MEPS levels is too low when compared to available technology." title="Analysis of the most purchased integral cabinet types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3138170"/>
                    </a:xfrm>
                    <a:prstGeom prst="rect">
                      <a:avLst/>
                    </a:prstGeom>
                    <a:noFill/>
                    <a:ln>
                      <a:noFill/>
                    </a:ln>
                  </pic:spPr>
                </pic:pic>
              </a:graphicData>
            </a:graphic>
          </wp:inline>
        </w:drawing>
      </w:r>
    </w:p>
    <w:p w14:paraId="7859DA0D" w14:textId="2F3CEFF0" w:rsidR="00197B9C" w:rsidRDefault="00197B9C" w:rsidP="00D6184A">
      <w:pPr>
        <w:pStyle w:val="E3BodyText"/>
        <w:jc w:val="both"/>
      </w:pPr>
      <w:r w:rsidRPr="00812F70">
        <w:rPr>
          <w:b/>
        </w:rPr>
        <w:t xml:space="preserve">Notes on Figure </w:t>
      </w:r>
      <w:r>
        <w:rPr>
          <w:b/>
        </w:rPr>
        <w:t>11</w:t>
      </w:r>
      <w:r>
        <w:t xml:space="preserve">: </w:t>
      </w:r>
      <w:r w:rsidRPr="006F62F2">
        <w:t xml:space="preserve">These are self-contained beverage cabinets (product class IVC4 M1 – Integral Vertical Chiller type 4, with a temperature range of +5 to -1oC). </w:t>
      </w:r>
      <w:r>
        <w:t xml:space="preserve"> As there are</w:t>
      </w:r>
      <w:r w:rsidRPr="006F62F2">
        <w:t xml:space="preserve"> many sub-types </w:t>
      </w:r>
      <w:r>
        <w:t xml:space="preserve">under this category, </w:t>
      </w:r>
      <w:r w:rsidRPr="006F62F2">
        <w:t>the sample size is limited.</w:t>
      </w:r>
      <w:r w:rsidRPr="009352A6">
        <w:t xml:space="preserve"> </w:t>
      </w:r>
      <w:r>
        <w:t xml:space="preserve">There is some variation in storage capacity and door configuration between the models shown but this does not affect the analysis. </w:t>
      </w:r>
      <w:r w:rsidRPr="006F62F2">
        <w:t>The HEPS level</w:t>
      </w:r>
      <w:r>
        <w:t xml:space="preserve"> is shown by</w:t>
      </w:r>
      <w:r w:rsidR="0022771E">
        <w:t xml:space="preserve"> the</w:t>
      </w:r>
      <w:r w:rsidRPr="006F62F2">
        <w:t xml:space="preserve"> green </w:t>
      </w:r>
      <w:r w:rsidR="0022771E" w:rsidRPr="006F62F2">
        <w:t>d</w:t>
      </w:r>
      <w:r w:rsidR="0022771E">
        <w:t>ashed</w:t>
      </w:r>
      <w:r w:rsidR="0022771E" w:rsidRPr="006F62F2">
        <w:t xml:space="preserve"> </w:t>
      </w:r>
      <w:r w:rsidRPr="006F62F2">
        <w:t xml:space="preserve">line </w:t>
      </w:r>
      <w:r w:rsidR="0022771E">
        <w:t xml:space="preserve">near the center </w:t>
      </w:r>
      <w:r>
        <w:t>and</w:t>
      </w:r>
      <w:r w:rsidR="0022771E">
        <w:t xml:space="preserve"> the level </w:t>
      </w:r>
      <w:r w:rsidR="0022771E" w:rsidRPr="006F62F2">
        <w:t>MEPS</w:t>
      </w:r>
      <w:r w:rsidRPr="006F62F2">
        <w:t xml:space="preserve"> is shown in red at</w:t>
      </w:r>
      <w:r w:rsidR="0022771E">
        <w:t xml:space="preserve"> the</w:t>
      </w:r>
      <w:r w:rsidRPr="006F62F2">
        <w:t xml:space="preserve"> far right</w:t>
      </w:r>
      <w:r>
        <w:t xml:space="preserve">.  </w:t>
      </w:r>
      <w:r w:rsidRPr="006F62F2">
        <w:t>Prices are shown for the models plotted in red. Relative positions are shown here because the scales of the axis have been removed to protect confidentiality.</w:t>
      </w:r>
    </w:p>
    <w:p w14:paraId="2A0F0C46" w14:textId="4FCD8B86" w:rsidR="00197B9C" w:rsidRDefault="00197B9C" w:rsidP="00D6184A">
      <w:pPr>
        <w:pStyle w:val="E3BodyText"/>
        <w:jc w:val="both"/>
      </w:pPr>
      <w:r>
        <w:t>In summary m</w:t>
      </w:r>
      <w:r w:rsidRPr="002B26ED">
        <w:t xml:space="preserve">ore stringent MEPS are required to keep </w:t>
      </w:r>
      <w:r>
        <w:t>raising</w:t>
      </w:r>
      <w:r w:rsidRPr="002B26ED">
        <w:t xml:space="preserve"> the </w:t>
      </w:r>
      <w:r>
        <w:t xml:space="preserve">energy performance of the </w:t>
      </w:r>
      <w:r w:rsidRPr="002B26ED">
        <w:t xml:space="preserve">least efficient cabinets </w:t>
      </w:r>
      <w:r>
        <w:t>and</w:t>
      </w:r>
      <w:r w:rsidR="0022771E">
        <w:t xml:space="preserve"> to</w:t>
      </w:r>
      <w:r w:rsidRPr="002B26ED">
        <w:t xml:space="preserve"> achieve </w:t>
      </w:r>
      <w:r w:rsidR="0022771E">
        <w:t>greater</w:t>
      </w:r>
      <w:r w:rsidRPr="002B26ED">
        <w:t xml:space="preserve"> </w:t>
      </w:r>
      <w:r>
        <w:t xml:space="preserve">energy </w:t>
      </w:r>
      <w:r w:rsidRPr="002B26ED">
        <w:t>savings. All proposed regulatory options</w:t>
      </w:r>
      <w:r>
        <w:t xml:space="preserve"> outlined in this RIS</w:t>
      </w:r>
      <w:r w:rsidRPr="002B26ED">
        <w:t xml:space="preserve"> therefore incorporate </w:t>
      </w:r>
      <w:r>
        <w:t>increases to the</w:t>
      </w:r>
      <w:r w:rsidRPr="002B26ED">
        <w:t xml:space="preserve"> current MEPS levels.</w:t>
      </w:r>
      <w:r>
        <w:t xml:space="preserve"> </w:t>
      </w:r>
    </w:p>
    <w:p w14:paraId="1E56B478" w14:textId="77777777" w:rsidR="00197B9C" w:rsidRPr="00B543A1" w:rsidRDefault="00197B9C" w:rsidP="00D6184A">
      <w:pPr>
        <w:pStyle w:val="E3Heading4"/>
        <w:jc w:val="both"/>
      </w:pPr>
      <w:r w:rsidRPr="00B543A1">
        <w:t>Summary</w:t>
      </w:r>
    </w:p>
    <w:p w14:paraId="7F562DAA" w14:textId="20333955" w:rsidR="00197B9C" w:rsidRDefault="00197B9C" w:rsidP="00D6184A">
      <w:pPr>
        <w:pStyle w:val="E3BodyText"/>
        <w:jc w:val="both"/>
      </w:pPr>
      <w:r w:rsidRPr="002B26ED">
        <w:t xml:space="preserve">All </w:t>
      </w:r>
      <w:r>
        <w:t>the r</w:t>
      </w:r>
      <w:r w:rsidRPr="002B26ED">
        <w:t>egulatory options</w:t>
      </w:r>
      <w:r>
        <w:t xml:space="preserve"> presented</w:t>
      </w:r>
      <w:r w:rsidRPr="002B26ED">
        <w:t xml:space="preserve"> in this RIS </w:t>
      </w:r>
      <w:r>
        <w:t xml:space="preserve">seek to </w:t>
      </w:r>
      <w:r w:rsidR="0022771E">
        <w:t xml:space="preserve">resolve </w:t>
      </w:r>
      <w:r>
        <w:t xml:space="preserve">the issues identified with the current regulation in order to reduce business compliance costs, </w:t>
      </w:r>
      <w:r w:rsidR="0022771E">
        <w:t xml:space="preserve">increase </w:t>
      </w:r>
      <w:r>
        <w:t>compliance, raise the efficiency of products in line with what is now achievable, and increase the range of products available on the local market</w:t>
      </w:r>
      <w:r w:rsidRPr="002B26ED">
        <w:t>.</w:t>
      </w:r>
      <w:r>
        <w:t xml:space="preserve"> </w:t>
      </w:r>
    </w:p>
    <w:p w14:paraId="3BC30EA7" w14:textId="77777777" w:rsidR="00863204" w:rsidRDefault="00863204" w:rsidP="00197B9C">
      <w:pPr>
        <w:pStyle w:val="E3Heading2"/>
      </w:pPr>
      <w:bookmarkStart w:id="89" w:name="_Toc494897961"/>
      <w:bookmarkStart w:id="90" w:name="_Toc494955757"/>
      <w:bookmarkStart w:id="91" w:name="_Toc494959565"/>
      <w:bookmarkStart w:id="92" w:name="_Toc494972691"/>
      <w:bookmarkStart w:id="93" w:name="_Toc494973878"/>
      <w:bookmarkStart w:id="94" w:name="_Toc494974567"/>
    </w:p>
    <w:p w14:paraId="6682135B" w14:textId="77777777" w:rsidR="00863204" w:rsidRDefault="00863204" w:rsidP="00197B9C">
      <w:pPr>
        <w:pStyle w:val="E3Heading2"/>
      </w:pPr>
    </w:p>
    <w:p w14:paraId="2822DD4D" w14:textId="7CEDA58D" w:rsidR="00197B9C" w:rsidRDefault="00197B9C" w:rsidP="00120A42">
      <w:pPr>
        <w:pStyle w:val="E3Heading2"/>
        <w:spacing w:after="360"/>
        <w:contextualSpacing w:val="0"/>
      </w:pPr>
      <w:bookmarkStart w:id="95" w:name="_Toc500151791"/>
      <w:r w:rsidRPr="00197B9C">
        <w:lastRenderedPageBreak/>
        <w:t>Information failures</w:t>
      </w:r>
      <w:bookmarkEnd w:id="89"/>
      <w:bookmarkEnd w:id="90"/>
      <w:bookmarkEnd w:id="91"/>
      <w:bookmarkEnd w:id="92"/>
      <w:bookmarkEnd w:id="93"/>
      <w:bookmarkEnd w:id="94"/>
      <w:bookmarkEnd w:id="95"/>
    </w:p>
    <w:p w14:paraId="5C90A744" w14:textId="77777777" w:rsidR="00197B9C" w:rsidRPr="002B26ED" w:rsidRDefault="00197B9C" w:rsidP="00D6184A">
      <w:pPr>
        <w:pStyle w:val="E3BodyText"/>
        <w:jc w:val="both"/>
      </w:pPr>
      <w:r>
        <w:t>I</w:t>
      </w:r>
      <w:r w:rsidRPr="00113916">
        <w:t>nformation failures</w:t>
      </w:r>
      <w:r w:rsidRPr="002B26ED">
        <w:t xml:space="preserve"> may prevent buyers from making informed decisions about energy efficiency when making their cabinet selections. Information about energy efficiency may be unavailable, difficult to access, or difficult to verify, reducing its value to buyers.</w:t>
      </w:r>
    </w:p>
    <w:p w14:paraId="346DC2CE" w14:textId="7D38F317" w:rsidR="00197B9C" w:rsidRPr="002B26ED" w:rsidRDefault="00197B9C" w:rsidP="00D6184A">
      <w:pPr>
        <w:pStyle w:val="E3BodyText"/>
        <w:jc w:val="both"/>
      </w:pPr>
      <w:r w:rsidRPr="002B26ED">
        <w:t xml:space="preserve">In any market, buyers should be able to research all relevant factors that help them to buy the product that is best suited to their needs. In the case of refrigerated commercial cabinets, this </w:t>
      </w:r>
      <w:r>
        <w:t>should include</w:t>
      </w:r>
      <w:r w:rsidRPr="002B26ED">
        <w:t xml:space="preserve"> energy use</w:t>
      </w:r>
      <w:r>
        <w:t xml:space="preserve"> and</w:t>
      </w:r>
      <w:r w:rsidR="0022771E">
        <w:t xml:space="preserve"> the</w:t>
      </w:r>
      <w:r w:rsidRPr="002B26ED">
        <w:t xml:space="preserve"> whole-of-life cost </w:t>
      </w:r>
      <w:r>
        <w:t>alongside other</w:t>
      </w:r>
      <w:r w:rsidRPr="002B26ED">
        <w:t xml:space="preserve"> factors such as</w:t>
      </w:r>
      <w:r w:rsidR="0022771E">
        <w:t xml:space="preserve"> price,</w:t>
      </w:r>
      <w:r w:rsidRPr="002B26ED">
        <w:t xml:space="preserve"> cabinet size, appearance, and quality. </w:t>
      </w:r>
    </w:p>
    <w:p w14:paraId="71D73046" w14:textId="77777777" w:rsidR="00197B9C" w:rsidRPr="002B26ED" w:rsidRDefault="00197B9C" w:rsidP="00D6184A">
      <w:pPr>
        <w:pStyle w:val="E3BodyText"/>
        <w:jc w:val="both"/>
      </w:pPr>
      <w:r w:rsidRPr="002B26ED">
        <w:t>However, there are costs associated with obtaining</w:t>
      </w:r>
      <w:r>
        <w:t xml:space="preserve"> this</w:t>
      </w:r>
      <w:r w:rsidRPr="002B26ED">
        <w:t xml:space="preserve"> information, and most buyers will make a decision when they feel they have sufficient information on which to choose between different models on offer. Where information on any particular aspect, such as whole-of-life cost, is missing</w:t>
      </w:r>
      <w:r>
        <w:t xml:space="preserve"> or difficult to obtain or comprehend</w:t>
      </w:r>
      <w:r w:rsidRPr="002B26ED">
        <w:t xml:space="preserve">, buyers will use rules of thumb, such as knowledge of past purchases, to help them decide. </w:t>
      </w:r>
    </w:p>
    <w:p w14:paraId="6763ECA8" w14:textId="682B244E" w:rsidR="00197B9C" w:rsidRDefault="00197B9C" w:rsidP="00D6184A">
      <w:pPr>
        <w:pStyle w:val="E3BodyText"/>
        <w:jc w:val="both"/>
      </w:pPr>
      <w:r>
        <w:t>Buyers in the commercial refrigeration market</w:t>
      </w:r>
      <w:r w:rsidRPr="002B26ED">
        <w:t xml:space="preserve"> may </w:t>
      </w:r>
      <w:r>
        <w:t>not be aware</w:t>
      </w:r>
      <w:r w:rsidRPr="002B26ED">
        <w:t xml:space="preserve"> </w:t>
      </w:r>
      <w:r>
        <w:t>of the</w:t>
      </w:r>
      <w:r w:rsidRPr="002B26ED">
        <w:t xml:space="preserve"> significant </w:t>
      </w:r>
      <w:r>
        <w:t xml:space="preserve">savings they can make </w:t>
      </w:r>
      <w:r w:rsidRPr="002B26ED">
        <w:t>by choosing a more efficient cabinet. For example, the capital cost of a typical supermarket display cabinet is only 24% of its lifetime cost, so 76% of the expense of owning a refrigerated cabinet goes on running it</w:t>
      </w:r>
      <w:r>
        <w:t>.</w:t>
      </w:r>
      <w:r w:rsidRPr="002B26ED">
        <w:rPr>
          <w:rStyle w:val="FootnoteReference"/>
        </w:rPr>
        <w:footnoteReference w:id="25"/>
      </w:r>
      <w:r>
        <w:t xml:space="preserve"> B</w:t>
      </w:r>
      <w:r w:rsidRPr="002B26ED">
        <w:t xml:space="preserve">uyers </w:t>
      </w:r>
      <w:r>
        <w:t xml:space="preserve">may therefore be </w:t>
      </w:r>
      <w:r w:rsidRPr="002B26ED">
        <w:t>paying more than they need to over the lifetime of the product.</w:t>
      </w:r>
    </w:p>
    <w:p w14:paraId="260B1A3C" w14:textId="5A1CA78A" w:rsidR="00197B9C" w:rsidRPr="002B26ED" w:rsidRDefault="00197B9C" w:rsidP="00D6184A">
      <w:pPr>
        <w:pStyle w:val="E3BodyText"/>
        <w:jc w:val="both"/>
      </w:pPr>
      <w:r w:rsidRPr="002B26ED">
        <w:t xml:space="preserve">Feedback </w:t>
      </w:r>
      <w:r>
        <w:t>during consultation on the product profile and</w:t>
      </w:r>
      <w:r w:rsidR="0022771E">
        <w:t xml:space="preserve"> the</w:t>
      </w:r>
      <w:r>
        <w:t xml:space="preserve"> Consultation RIS </w:t>
      </w:r>
      <w:r w:rsidRPr="002B26ED">
        <w:t>confirm</w:t>
      </w:r>
      <w:r>
        <w:t xml:space="preserve">s </w:t>
      </w:r>
      <w:r w:rsidRPr="002B26ED">
        <w:t xml:space="preserve">that </w:t>
      </w:r>
      <w:r>
        <w:t>commercial refrigeration products are not promoted and sold</w:t>
      </w:r>
      <w:r w:rsidRPr="002E1F2D">
        <w:t xml:space="preserve"> </w:t>
      </w:r>
      <w:r>
        <w:t xml:space="preserve">on the basis of their </w:t>
      </w:r>
      <w:r w:rsidRPr="002B26ED">
        <w:t xml:space="preserve">energy </w:t>
      </w:r>
      <w:r>
        <w:t>use and operating costs</w:t>
      </w:r>
      <w:r w:rsidRPr="002B26ED">
        <w:t>. Both suppliers and manufacturers</w:t>
      </w:r>
      <w:r>
        <w:t xml:space="preserve"> have</w:t>
      </w:r>
      <w:r w:rsidRPr="002B26ED">
        <w:t xml:space="preserve"> indicated that they sell certain types of cabinets into ‘type-price’ brackets which do not differentiate between their respective efficienc</w:t>
      </w:r>
      <w:r>
        <w:t>ies</w:t>
      </w:r>
      <w:r w:rsidRPr="002B26ED">
        <w:t xml:space="preserve">. </w:t>
      </w:r>
    </w:p>
    <w:p w14:paraId="12FA3110" w14:textId="185445DB" w:rsidR="00197B9C" w:rsidRDefault="00197B9C" w:rsidP="00D6184A">
      <w:pPr>
        <w:pStyle w:val="E3BodyText"/>
        <w:jc w:val="both"/>
      </w:pPr>
      <w:r>
        <w:t>It was nonetheless</w:t>
      </w:r>
      <w:r w:rsidRPr="002B26ED">
        <w:t xml:space="preserve"> suggested that </w:t>
      </w:r>
      <w:r>
        <w:t>information on annual</w:t>
      </w:r>
      <w:r w:rsidRPr="002B26ED">
        <w:t xml:space="preserve"> running costs </w:t>
      </w:r>
      <w:r>
        <w:t>is accessible to</w:t>
      </w:r>
      <w:r w:rsidRPr="002B26ED">
        <w:t xml:space="preserve"> buyers.</w:t>
      </w:r>
      <w:r>
        <w:t xml:space="preserve">  However,</w:t>
      </w:r>
      <w:r w:rsidRPr="002B26ED">
        <w:t xml:space="preserve"> </w:t>
      </w:r>
      <w:r>
        <w:t>i</w:t>
      </w:r>
      <w:r w:rsidRPr="002B26ED">
        <w:t>n a website search of 56 Australian supplier websites, only 17 made any mention of energy efficiency. These ranged from statements about efficient LED-lighting for fridges; types of glazing; additions to refrigerants and adjectives such as high, outstanding or quality refrigerating efficiency or low energy consumption. Only seven companies promoted the energy efficiency of their cabinets, or identified ways to meet their emissions targets or improve their refrigeration systems.</w:t>
      </w:r>
      <w:r w:rsidRPr="007A5346">
        <w:rPr>
          <w:rStyle w:val="FootnoteReference"/>
        </w:rPr>
        <w:footnoteReference w:id="26"/>
      </w:r>
      <w:r w:rsidRPr="002B26ED">
        <w:t xml:space="preserve"> </w:t>
      </w:r>
    </w:p>
    <w:p w14:paraId="5A1B08B7" w14:textId="0BA9A3D4" w:rsidR="00197B9C" w:rsidRPr="002B26ED" w:rsidRDefault="00197B9C" w:rsidP="00D6184A">
      <w:pPr>
        <w:pStyle w:val="E3BodyText"/>
        <w:jc w:val="both"/>
      </w:pPr>
      <w:r>
        <w:lastRenderedPageBreak/>
        <w:t>While the Energy Rating database</w:t>
      </w:r>
      <w:r>
        <w:rPr>
          <w:rStyle w:val="FootnoteReference"/>
        </w:rPr>
        <w:footnoteReference w:id="27"/>
      </w:r>
      <w:r>
        <w:t xml:space="preserve"> is a potential source of information to consumers on whole-of-life costs</w:t>
      </w:r>
      <w:r w:rsidRPr="002B26ED">
        <w:t xml:space="preserve">, </w:t>
      </w:r>
      <w:r>
        <w:t>it does not currently provide an easy way to identify or compare the energy efficiency of different purchase options or calculate their running costs. Moreover, s</w:t>
      </w:r>
      <w:r w:rsidRPr="002B26ED">
        <w:t xml:space="preserve">earching the database for a specific cabinet type can be </w:t>
      </w:r>
      <w:r>
        <w:t xml:space="preserve">a </w:t>
      </w:r>
      <w:r w:rsidRPr="002B26ED">
        <w:t>time consuming process for b</w:t>
      </w:r>
      <w:r>
        <w:t>uyers and requires them</w:t>
      </w:r>
      <w:r w:rsidRPr="002B26ED">
        <w:t xml:space="preserve"> to have an understanding of the </w:t>
      </w:r>
      <w:r w:rsidR="0022771E">
        <w:t>s</w:t>
      </w:r>
      <w:r w:rsidRPr="002B26ED">
        <w:t xml:space="preserve">tandard to know what type of cabinet they are searching for. </w:t>
      </w:r>
      <w:r>
        <w:t xml:space="preserve"> Plus, due to the limited scope of the current MEPS, a number of</w:t>
      </w:r>
      <w:r w:rsidRPr="002B26ED">
        <w:t xml:space="preserve"> cabinet </w:t>
      </w:r>
      <w:r>
        <w:t>types</w:t>
      </w:r>
      <w:r w:rsidRPr="002B26ED">
        <w:t xml:space="preserve"> on the market are </w:t>
      </w:r>
      <w:r>
        <w:t xml:space="preserve">not </w:t>
      </w:r>
      <w:r w:rsidRPr="002B26ED">
        <w:t>required to be registered</w:t>
      </w:r>
      <w:r>
        <w:t xml:space="preserve"> and thus do not appear on the database.</w:t>
      </w:r>
    </w:p>
    <w:p w14:paraId="7F73B475" w14:textId="77777777" w:rsidR="00120A42" w:rsidRDefault="00120A42" w:rsidP="00D6184A">
      <w:pPr>
        <w:pStyle w:val="E3Heading4"/>
        <w:jc w:val="both"/>
      </w:pPr>
    </w:p>
    <w:p w14:paraId="221710BE" w14:textId="14DEF52D" w:rsidR="00197B9C" w:rsidRPr="0041262C" w:rsidRDefault="00197B9C" w:rsidP="00D6184A">
      <w:pPr>
        <w:pStyle w:val="E3Heading4"/>
        <w:jc w:val="both"/>
      </w:pPr>
      <w:r w:rsidRPr="0041262C">
        <w:t>Low uptake of high efficiency standards</w:t>
      </w:r>
    </w:p>
    <w:p w14:paraId="69EA1B98" w14:textId="77777777" w:rsidR="00197B9C" w:rsidRDefault="00197B9C" w:rsidP="00D6184A">
      <w:pPr>
        <w:pStyle w:val="E3BodyText"/>
        <w:jc w:val="both"/>
      </w:pPr>
      <w:r>
        <w:t>Although a voluntary high efficiency performance standard (HEPS) has been in place since MEPS were first introduced in 2004, few suppliers have taken up option to certify and promote their products as meeting HEPS.</w:t>
      </w:r>
    </w:p>
    <w:p w14:paraId="55317680" w14:textId="77777777" w:rsidR="00197B9C" w:rsidRPr="002B26ED" w:rsidRDefault="00197B9C" w:rsidP="00D6184A">
      <w:pPr>
        <w:pStyle w:val="E3BodyText"/>
        <w:jc w:val="both"/>
      </w:pPr>
      <w:r>
        <w:t xml:space="preserve">In </w:t>
      </w:r>
      <w:r w:rsidRPr="002B26ED">
        <w:t>2015 the class IVC1 M2 (semi-vertical, self-contained display cabinets at M2 temperature class) had approximately 40 models registered in the Energy rating database. Eighty-four percent of these registrations actually met HEPS levels but only half were identified as such by suppliers. This may indicate that only half of the suppliers were aware that a HEPS declaration applied to their cabinets or that suppliers saw little advantage in seeking to identify and register their models as meeting HEPS levels.</w:t>
      </w:r>
      <w:r>
        <w:t xml:space="preserve"> It may also be a consequence of the problems applying the relevant standard, as discussed earlier in this section.</w:t>
      </w:r>
    </w:p>
    <w:p w14:paraId="659BF5FF" w14:textId="77777777" w:rsidR="00197B9C" w:rsidRDefault="00197B9C" w:rsidP="00D6184A">
      <w:pPr>
        <w:pStyle w:val="E3BodyText"/>
        <w:jc w:val="both"/>
      </w:pPr>
      <w:r>
        <w:t xml:space="preserve">If </w:t>
      </w:r>
      <w:r w:rsidRPr="002B26ED">
        <w:t xml:space="preserve">HEPS </w:t>
      </w:r>
      <w:r>
        <w:t>was functioning effectively as a way to</w:t>
      </w:r>
      <w:r w:rsidRPr="002B26ED">
        <w:t xml:space="preserve"> promot</w:t>
      </w:r>
      <w:r>
        <w:t>e</w:t>
      </w:r>
      <w:r w:rsidRPr="002B26ED">
        <w:t xml:space="preserve"> </w:t>
      </w:r>
      <w:r>
        <w:t xml:space="preserve">high </w:t>
      </w:r>
      <w:r w:rsidRPr="002B26ED">
        <w:t xml:space="preserve">efficiency </w:t>
      </w:r>
      <w:r>
        <w:t>products and</w:t>
      </w:r>
      <w:r w:rsidRPr="002B26ED">
        <w:t xml:space="preserve"> influence buyer </w:t>
      </w:r>
      <w:r w:rsidRPr="002B26ED">
        <w:rPr>
          <w:lang w:val="en-NZ"/>
        </w:rPr>
        <w:t>behaviour</w:t>
      </w:r>
      <w:r>
        <w:rPr>
          <w:lang w:val="en-NZ"/>
        </w:rPr>
        <w:t>, it could</w:t>
      </w:r>
      <w:r w:rsidRPr="002B26ED">
        <w:t xml:space="preserve"> result in </w:t>
      </w:r>
      <w:r>
        <w:t xml:space="preserve">significant </w:t>
      </w:r>
      <w:r w:rsidRPr="002B26ED">
        <w:t>reduc</w:t>
      </w:r>
      <w:r>
        <w:t>tions in</w:t>
      </w:r>
      <w:r w:rsidRPr="002B26ED">
        <w:t xml:space="preserve"> energy use over time. Looking at NZ sales data, every buyer of an IVC1 M2 class cabinet that selects a HEPS-compliant model could save approximately NZD $820 every year ($9,100 over the cabinet’s lifetime) compared with one that merely passes MEPS. There are likely to be similar benefits for Australian buyers based on market share and cabinet type.</w:t>
      </w:r>
    </w:p>
    <w:p w14:paraId="2B392E40" w14:textId="77777777" w:rsidR="00197B9C" w:rsidRDefault="00197B9C" w:rsidP="00D6184A">
      <w:pPr>
        <w:pStyle w:val="E3BodyText"/>
        <w:jc w:val="both"/>
      </w:pPr>
      <w:r>
        <w:t>However, the current difficulties with the standard, outdated levels, and low uptake mean that the HEPS is not performing as intended.</w:t>
      </w:r>
    </w:p>
    <w:p w14:paraId="07586B32" w14:textId="77777777" w:rsidR="00120A42" w:rsidRPr="00105013" w:rsidRDefault="00120A42" w:rsidP="00D6184A">
      <w:pPr>
        <w:pStyle w:val="E3BodyText"/>
        <w:jc w:val="both"/>
        <w:rPr>
          <w:b/>
        </w:rPr>
      </w:pPr>
    </w:p>
    <w:p w14:paraId="3D2F2DAE" w14:textId="27DAF3D7" w:rsidR="00197B9C" w:rsidRPr="0041262C" w:rsidRDefault="00197B9C" w:rsidP="005875E7">
      <w:pPr>
        <w:pStyle w:val="E3Heading2"/>
      </w:pPr>
      <w:bookmarkStart w:id="96" w:name="_Toc500151792"/>
      <w:r w:rsidRPr="0041262C">
        <w:t>Market failures</w:t>
      </w:r>
      <w:bookmarkEnd w:id="96"/>
    </w:p>
    <w:p w14:paraId="55F830D8" w14:textId="59DBCDEA" w:rsidR="00197B9C" w:rsidRPr="00105013" w:rsidRDefault="00197B9C" w:rsidP="005875E7">
      <w:pPr>
        <w:pStyle w:val="E3Heading4"/>
        <w:rPr>
          <w:sz w:val="20"/>
        </w:rPr>
      </w:pPr>
      <w:r w:rsidRPr="00325BAE">
        <w:rPr>
          <w:rFonts w:eastAsia="Times New Roman"/>
        </w:rPr>
        <w:t>Split i</w:t>
      </w:r>
      <w:r w:rsidRPr="0038423B">
        <w:t>ncentives</w:t>
      </w:r>
    </w:p>
    <w:p w14:paraId="2D76B6FF" w14:textId="178AFBD8" w:rsidR="00197B9C" w:rsidRPr="002B26ED" w:rsidRDefault="00197B9C" w:rsidP="00D6184A">
      <w:pPr>
        <w:pStyle w:val="E3BodyText"/>
        <w:jc w:val="both"/>
      </w:pPr>
      <w:r>
        <w:t xml:space="preserve">Split </w:t>
      </w:r>
      <w:r w:rsidRPr="002B26ED">
        <w:t xml:space="preserve">incentives </w:t>
      </w:r>
      <w:r>
        <w:t>occur</w:t>
      </w:r>
      <w:r w:rsidRPr="002B26ED">
        <w:t xml:space="preserve"> when the person who pays for the running of an appliance is not involved in the decision to buy </w:t>
      </w:r>
      <w:r w:rsidR="008A2F7E">
        <w:t>that appliance</w:t>
      </w:r>
      <w:r w:rsidRPr="002B26ED">
        <w:t xml:space="preserve">. A typical example occurs where companies hire out or courtesy-supply branded product-specific fridges but do not pay for the </w:t>
      </w:r>
      <w:r w:rsidRPr="002B26ED">
        <w:lastRenderedPageBreak/>
        <w:t xml:space="preserve">electricity. In this situation there is little incentive for companies to </w:t>
      </w:r>
      <w:r w:rsidRPr="002B26ED">
        <w:rPr>
          <w:lang w:val="en-NZ"/>
        </w:rPr>
        <w:t>maximise</w:t>
      </w:r>
      <w:r w:rsidRPr="002B26ED">
        <w:t xml:space="preserve"> the energy efficiency of their fridges for hire.</w:t>
      </w:r>
    </w:p>
    <w:p w14:paraId="3E571706" w14:textId="77777777" w:rsidR="00197B9C" w:rsidRPr="002B26ED" w:rsidRDefault="00197B9C" w:rsidP="00D6184A">
      <w:pPr>
        <w:pStyle w:val="E3BodyText"/>
        <w:jc w:val="both"/>
      </w:pPr>
      <w:r w:rsidRPr="002B26ED">
        <w:t xml:space="preserve">All remote </w:t>
      </w:r>
      <w:r>
        <w:t xml:space="preserve">refrigerated </w:t>
      </w:r>
      <w:r w:rsidRPr="002B26ED">
        <w:t xml:space="preserve">display cabinets and many integral (self-contained) </w:t>
      </w:r>
      <w:r>
        <w:t xml:space="preserve">refrigerated </w:t>
      </w:r>
      <w:r w:rsidRPr="002B26ED">
        <w:t xml:space="preserve">display cabinets must be installed by a licensed refrigerant handler. The use of specialist suppliers </w:t>
      </w:r>
      <w:r>
        <w:t>places further limitations on</w:t>
      </w:r>
      <w:r w:rsidRPr="002B26ED">
        <w:t xml:space="preserve"> the equipment purchase decision. </w:t>
      </w:r>
    </w:p>
    <w:p w14:paraId="2E1B1879" w14:textId="77777777" w:rsidR="00197B9C" w:rsidRDefault="00197B9C" w:rsidP="00D6184A">
      <w:pPr>
        <w:pStyle w:val="E3BodyText"/>
        <w:jc w:val="both"/>
      </w:pPr>
      <w:r w:rsidRPr="002B26ED">
        <w:t xml:space="preserve">In response to questions in the Consultation RIS about whether buyers or users actively considered energy use, one industry body stated that “significant sectors of the buying community are focused on initial capital cost outlay as the single major selection criteria.” One submission suggested that “some of the biggest end users have professional buyers who receive their incentives based on capital cost reduction. Therefore, even though their employer would make substantial savings by adopting the high efficiency range, they may ignore it and go for the normal efficiency models to reduce the initial purchase price. By comparison, individual bar owners </w:t>
      </w:r>
      <w:r>
        <w:t xml:space="preserve">[who </w:t>
      </w:r>
      <w:r w:rsidRPr="002B26ED">
        <w:t>pay the electricity bill</w:t>
      </w:r>
      <w:r>
        <w:t>]</w:t>
      </w:r>
      <w:r w:rsidRPr="002B26ED">
        <w:t xml:space="preserve"> often buy the superficially more expensive, high efficiency version and they find it an easy and obvious choice to make.</w:t>
      </w:r>
      <w:r>
        <w:t>”</w:t>
      </w:r>
    </w:p>
    <w:p w14:paraId="6086A4E2" w14:textId="49EC47D6" w:rsidR="00197B9C" w:rsidRPr="002B26ED" w:rsidRDefault="00197B9C" w:rsidP="00D6184A">
      <w:pPr>
        <w:pStyle w:val="E3BodyText"/>
        <w:jc w:val="both"/>
      </w:pPr>
      <w:r w:rsidRPr="002B26ED">
        <w:t xml:space="preserve"> </w:t>
      </w:r>
      <w:r w:rsidR="00F063FD">
        <w:t xml:space="preserve">The industry body </w:t>
      </w:r>
      <w:r w:rsidRPr="002B26ED">
        <w:t>went on to explain that there are “global procurement systems where the vendor is not allowed to meet or speak to the buyer which are not conducive to making detailed arguments about lifetime and efficiency. E- Auctions being the worst example. We did gain one major contract, never having met the buyer nor even spoken to them on the phone.”</w:t>
      </w:r>
    </w:p>
    <w:p w14:paraId="28706485" w14:textId="1C2242D3" w:rsidR="00197B9C" w:rsidRDefault="008A2F7E" w:rsidP="00D6184A">
      <w:pPr>
        <w:pStyle w:val="E3BodyText"/>
        <w:jc w:val="both"/>
        <w:rPr>
          <w:b/>
          <w:sz w:val="22"/>
          <w:szCs w:val="22"/>
        </w:rPr>
      </w:pPr>
      <w:r>
        <w:t xml:space="preserve">Resolving some of the </w:t>
      </w:r>
      <w:r w:rsidR="00197B9C">
        <w:t xml:space="preserve">issues with the current regulation </w:t>
      </w:r>
      <w:r w:rsidR="00197B9C" w:rsidRPr="002B26ED">
        <w:t xml:space="preserve">would </w:t>
      </w:r>
      <w:r>
        <w:t>help</w:t>
      </w:r>
      <w:r w:rsidR="00197B9C">
        <w:t xml:space="preserve"> to </w:t>
      </w:r>
      <w:r w:rsidR="00197B9C" w:rsidRPr="002B26ED">
        <w:t>reduce the effect of split-incentives in the market.</w:t>
      </w:r>
    </w:p>
    <w:p w14:paraId="7ACD03CD" w14:textId="77777777" w:rsidR="00197B9C" w:rsidRPr="0041262C" w:rsidRDefault="00197B9C" w:rsidP="00D6184A">
      <w:pPr>
        <w:pStyle w:val="E3Heading4"/>
        <w:jc w:val="both"/>
      </w:pPr>
      <w:r w:rsidRPr="00325BAE">
        <w:rPr>
          <w:rFonts w:eastAsia="Times New Roman"/>
        </w:rPr>
        <w:t>Negative externalities</w:t>
      </w:r>
      <w:r w:rsidRPr="0041262C">
        <w:t xml:space="preserve"> </w:t>
      </w:r>
      <w:r w:rsidRPr="0038423B">
        <w:t>associated with the electricity price</w:t>
      </w:r>
    </w:p>
    <w:p w14:paraId="2617C63C" w14:textId="06FE5430" w:rsidR="00197B9C" w:rsidRPr="002B26ED" w:rsidRDefault="00197B9C" w:rsidP="00D6184A">
      <w:pPr>
        <w:pStyle w:val="E3BodyText"/>
        <w:jc w:val="both"/>
      </w:pPr>
      <w:r w:rsidRPr="002B26ED" w:rsidDel="00636FB8">
        <w:t>B</w:t>
      </w:r>
      <w:r w:rsidRPr="002B26ED">
        <w:t>uyer behaviour</w:t>
      </w:r>
      <w:r w:rsidRPr="002B26ED" w:rsidDel="00636FB8">
        <w:t xml:space="preserve"> ha</w:t>
      </w:r>
      <w:r w:rsidRPr="002B26ED">
        <w:t>s</w:t>
      </w:r>
      <w:r w:rsidRPr="002B26ED" w:rsidDel="00636FB8">
        <w:t xml:space="preserve"> a consequence o</w:t>
      </w:r>
      <w:r w:rsidRPr="002B26ED">
        <w:t>n others.  There are s</w:t>
      </w:r>
      <w:r w:rsidRPr="002B26ED" w:rsidDel="00636FB8">
        <w:t xml:space="preserve">ignificant greenhouse gas and </w:t>
      </w:r>
      <w:r w:rsidRPr="002B26ED">
        <w:t xml:space="preserve">other atmospheric </w:t>
      </w:r>
      <w:r w:rsidRPr="002B26ED" w:rsidDel="00636FB8">
        <w:t>emissions (</w:t>
      </w:r>
      <w:r w:rsidRPr="002B26ED">
        <w:t>including n</w:t>
      </w:r>
      <w:r w:rsidRPr="002B26ED" w:rsidDel="00636FB8">
        <w:t>itrogen oxide</w:t>
      </w:r>
      <w:r w:rsidRPr="002B26ED">
        <w:t xml:space="preserve"> and s</w:t>
      </w:r>
      <w:r w:rsidRPr="002B26ED" w:rsidDel="00636FB8">
        <w:t xml:space="preserve">ulphur oxide) </w:t>
      </w:r>
      <w:r w:rsidR="008A2F7E">
        <w:t>that</w:t>
      </w:r>
      <w:r w:rsidRPr="002B26ED">
        <w:t xml:space="preserve"> are </w:t>
      </w:r>
      <w:r w:rsidRPr="002B26ED" w:rsidDel="00636FB8">
        <w:t>produced from generating and using electricity (</w:t>
      </w:r>
      <w:r w:rsidRPr="002B26ED">
        <w:t xml:space="preserve">particularly </w:t>
      </w:r>
      <w:r w:rsidRPr="002B26ED" w:rsidDel="00636FB8">
        <w:t xml:space="preserve">in Australia, less so in New Zealand </w:t>
      </w:r>
      <w:r w:rsidRPr="002B26ED">
        <w:t xml:space="preserve">due to </w:t>
      </w:r>
      <w:r w:rsidRPr="002B26ED" w:rsidDel="00636FB8">
        <w:t>the significant hydro/renewable component)</w:t>
      </w:r>
      <w:r w:rsidRPr="002B26ED">
        <w:t>.</w:t>
      </w:r>
      <w:r w:rsidRPr="002B26ED">
        <w:rPr>
          <w:rStyle w:val="FootnoteReference"/>
        </w:rPr>
        <w:footnoteReference w:id="28"/>
      </w:r>
      <w:r w:rsidRPr="002B26ED" w:rsidDel="00636FB8">
        <w:t xml:space="preserve"> </w:t>
      </w:r>
      <w:r>
        <w:t xml:space="preserve"> However, buyers do not tend to take this into account when purchasing</w:t>
      </w:r>
      <w:r w:rsidR="008A2F7E">
        <w:t xml:space="preserve"> a refrigerated display cabinet.</w:t>
      </w:r>
      <w:r>
        <w:t xml:space="preserve"> </w:t>
      </w:r>
    </w:p>
    <w:p w14:paraId="5F47165A" w14:textId="3442B5CA" w:rsidR="00197B9C" w:rsidRDefault="00197B9C" w:rsidP="00D6184A">
      <w:pPr>
        <w:pStyle w:val="E3BodyText"/>
        <w:jc w:val="both"/>
        <w:rPr>
          <w:b/>
          <w:sz w:val="28"/>
          <w:szCs w:val="28"/>
        </w:rPr>
      </w:pPr>
      <w:r w:rsidRPr="002B26ED" w:rsidDel="00636FB8">
        <w:t xml:space="preserve">In the absence of </w:t>
      </w:r>
      <w:r w:rsidRPr="002B26ED">
        <w:t xml:space="preserve">regulatory measures </w:t>
      </w:r>
      <w:r w:rsidR="008A2F7E">
        <w:t>to incorporate</w:t>
      </w:r>
      <w:r w:rsidRPr="002B26ED">
        <w:t xml:space="preserve"> the total environmental cost of electricity use</w:t>
      </w:r>
      <w:r w:rsidR="009B0616">
        <w:t xml:space="preserve"> in the price for electricity</w:t>
      </w:r>
      <w:r w:rsidRPr="002B26ED" w:rsidDel="00636FB8">
        <w:t xml:space="preserve">, </w:t>
      </w:r>
      <w:r>
        <w:t xml:space="preserve">measures to promote the sales of more efficient commercial refrigeration products would act to reduce </w:t>
      </w:r>
      <w:r w:rsidR="009B0616">
        <w:t>the electricity</w:t>
      </w:r>
      <w:r>
        <w:t xml:space="preserve"> consumption and associated emissions attributed to commercial refrigeration</w:t>
      </w:r>
      <w:r w:rsidR="009B0616">
        <w:t>.</w:t>
      </w:r>
      <w:r w:rsidRPr="002B26ED">
        <w:t xml:space="preserve"> </w:t>
      </w:r>
    </w:p>
    <w:p w14:paraId="45316252" w14:textId="77777777" w:rsidR="00197B9C" w:rsidRPr="0041262C" w:rsidRDefault="00197B9C" w:rsidP="00D6184A">
      <w:pPr>
        <w:pStyle w:val="E3Heading2"/>
        <w:spacing w:line="360" w:lineRule="auto"/>
        <w:jc w:val="both"/>
        <w:rPr>
          <w:rFonts w:ascii="Georgia" w:hAnsi="Georgia"/>
          <w:sz w:val="24"/>
        </w:rPr>
      </w:pPr>
      <w:bookmarkStart w:id="97" w:name="_Toc494897962"/>
      <w:bookmarkStart w:id="98" w:name="_Toc494955758"/>
      <w:bookmarkStart w:id="99" w:name="_Toc494959566"/>
      <w:bookmarkStart w:id="100" w:name="_Toc494972692"/>
      <w:bookmarkStart w:id="101" w:name="_Toc494973879"/>
      <w:bookmarkStart w:id="102" w:name="_Toc494974568"/>
      <w:bookmarkStart w:id="103" w:name="_Toc500151793"/>
      <w:r w:rsidRPr="0041262C">
        <w:rPr>
          <w:rFonts w:ascii="Georgia" w:hAnsi="Georgia"/>
          <w:sz w:val="24"/>
        </w:rPr>
        <w:lastRenderedPageBreak/>
        <w:t>Conclusion</w:t>
      </w:r>
      <w:bookmarkEnd w:id="97"/>
      <w:bookmarkEnd w:id="98"/>
      <w:bookmarkEnd w:id="99"/>
      <w:bookmarkEnd w:id="100"/>
      <w:bookmarkEnd w:id="101"/>
      <w:bookmarkEnd w:id="102"/>
      <w:bookmarkEnd w:id="103"/>
    </w:p>
    <w:p w14:paraId="1295C5A6" w14:textId="7E44E23E" w:rsidR="00197B9C" w:rsidRPr="002B26ED" w:rsidRDefault="00197B9C" w:rsidP="00D6184A">
      <w:pPr>
        <w:pStyle w:val="E3BodyText"/>
        <w:jc w:val="both"/>
      </w:pPr>
      <w:r w:rsidRPr="002B26ED">
        <w:t>There are fundamental problems with the regulation of refrigerated commercial cabinets:</w:t>
      </w:r>
    </w:p>
    <w:p w14:paraId="16CC2D53" w14:textId="5C66D9C0" w:rsidR="00197B9C" w:rsidRDefault="00197B9C" w:rsidP="00D6184A">
      <w:pPr>
        <w:pStyle w:val="E3Bullets"/>
        <w:jc w:val="both"/>
      </w:pPr>
      <w:r w:rsidRPr="009111B2">
        <w:t xml:space="preserve">Regulatory failures arising from the current standard AS 1731, which does not align with international standards although Australia and New Zealand import most of their refrigerated commercial cabinets; is complex and difficult to apply; excludes storage cabinets although these make up around one fifth of sales; and sets MEPS at levels </w:t>
      </w:r>
      <w:r w:rsidR="009B0616">
        <w:t>that</w:t>
      </w:r>
      <w:r w:rsidR="009B0616" w:rsidRPr="009111B2">
        <w:t xml:space="preserve"> </w:t>
      </w:r>
      <w:r w:rsidRPr="009111B2">
        <w:t>are too low to achieve their intended purpose.</w:t>
      </w:r>
    </w:p>
    <w:p w14:paraId="2BC292D8" w14:textId="77777777" w:rsidR="009B0616" w:rsidRPr="009111B2" w:rsidRDefault="009B0616" w:rsidP="00D6184A">
      <w:pPr>
        <w:pStyle w:val="E3Bullets"/>
        <w:numPr>
          <w:ilvl w:val="0"/>
          <w:numId w:val="0"/>
        </w:numPr>
        <w:ind w:left="227"/>
        <w:jc w:val="both"/>
      </w:pPr>
    </w:p>
    <w:p w14:paraId="31F38F96" w14:textId="09A36D17" w:rsidR="00197B9C" w:rsidRDefault="00197B9C" w:rsidP="00D6184A">
      <w:pPr>
        <w:pStyle w:val="E3Bullets"/>
        <w:jc w:val="both"/>
      </w:pPr>
      <w:r w:rsidRPr="009111B2">
        <w:t xml:space="preserve">Information failures caused by a lack of available information about the relative energy consumption of commercial refrigeration products available on the market, which </w:t>
      </w:r>
      <w:r w:rsidR="009B0616">
        <w:t>prevents</w:t>
      </w:r>
      <w:r w:rsidR="009B0616" w:rsidRPr="009111B2">
        <w:t xml:space="preserve"> </w:t>
      </w:r>
      <w:r w:rsidRPr="009111B2">
        <w:t xml:space="preserve">buyers from knowing the total ownership and environmental costs of </w:t>
      </w:r>
      <w:r w:rsidR="009B0616">
        <w:t>refrigerated display and storage cabinets</w:t>
      </w:r>
    </w:p>
    <w:p w14:paraId="7F7C8D76" w14:textId="77777777" w:rsidR="009B0616" w:rsidRDefault="009B0616" w:rsidP="00D6184A">
      <w:pPr>
        <w:pStyle w:val="ListParagraph"/>
        <w:jc w:val="both"/>
      </w:pPr>
    </w:p>
    <w:p w14:paraId="67D83D70" w14:textId="154F5BE3" w:rsidR="00197B9C" w:rsidRPr="00D6184A" w:rsidRDefault="00197B9C" w:rsidP="00D6184A">
      <w:pPr>
        <w:pStyle w:val="E3Bullets"/>
      </w:pPr>
      <w:r w:rsidRPr="00D6184A">
        <w:t>Market failures stemming from split-incentives in the commercial cabinet supply chain which mean that the buyer may not be the end-user and may not prioritise whole-of-life costs, and an electricity price that does not reflect the total environment costs of using electricity.</w:t>
      </w:r>
    </w:p>
    <w:p w14:paraId="6DB9EA9F" w14:textId="77777777" w:rsidR="00197B9C" w:rsidRDefault="00197B9C" w:rsidP="00D6184A">
      <w:pPr>
        <w:jc w:val="both"/>
      </w:pPr>
    </w:p>
    <w:p w14:paraId="23C8E36C" w14:textId="77777777" w:rsidR="003616D8" w:rsidRDefault="003616D8" w:rsidP="00D6184A">
      <w:pPr>
        <w:jc w:val="both"/>
      </w:pPr>
    </w:p>
    <w:p w14:paraId="6CC973A2" w14:textId="77777777" w:rsidR="003616D8" w:rsidRDefault="003616D8" w:rsidP="00D6184A">
      <w:pPr>
        <w:jc w:val="both"/>
      </w:pPr>
    </w:p>
    <w:p w14:paraId="0766000C" w14:textId="77777777" w:rsidR="003616D8" w:rsidRDefault="003616D8" w:rsidP="00D6184A">
      <w:pPr>
        <w:jc w:val="both"/>
      </w:pPr>
    </w:p>
    <w:p w14:paraId="48707ED0" w14:textId="77777777" w:rsidR="00120A42" w:rsidRDefault="00120A42" w:rsidP="00D6184A">
      <w:pPr>
        <w:jc w:val="both"/>
      </w:pPr>
    </w:p>
    <w:p w14:paraId="1EBDC5A2" w14:textId="77777777" w:rsidR="00120A42" w:rsidRDefault="00120A42" w:rsidP="00D6184A">
      <w:pPr>
        <w:jc w:val="both"/>
      </w:pPr>
    </w:p>
    <w:p w14:paraId="7153AA0C" w14:textId="77777777" w:rsidR="00120A42" w:rsidRDefault="00120A42" w:rsidP="00D6184A">
      <w:pPr>
        <w:jc w:val="both"/>
      </w:pPr>
    </w:p>
    <w:p w14:paraId="31AF722A" w14:textId="77777777" w:rsidR="00120A42" w:rsidRDefault="00120A42" w:rsidP="00D6184A">
      <w:pPr>
        <w:jc w:val="both"/>
      </w:pPr>
    </w:p>
    <w:p w14:paraId="32BB8D00" w14:textId="77777777" w:rsidR="00120A42" w:rsidRDefault="00120A42" w:rsidP="00D6184A">
      <w:pPr>
        <w:jc w:val="both"/>
      </w:pPr>
    </w:p>
    <w:p w14:paraId="601D0760" w14:textId="77777777" w:rsidR="00120A42" w:rsidRDefault="00120A42" w:rsidP="00D6184A">
      <w:pPr>
        <w:jc w:val="both"/>
      </w:pPr>
    </w:p>
    <w:p w14:paraId="54B0C790" w14:textId="77777777" w:rsidR="00120A42" w:rsidRDefault="00120A42" w:rsidP="00D6184A">
      <w:pPr>
        <w:jc w:val="both"/>
      </w:pPr>
    </w:p>
    <w:p w14:paraId="100FA2C8" w14:textId="77777777" w:rsidR="00120A42" w:rsidRDefault="00120A42" w:rsidP="00D6184A">
      <w:pPr>
        <w:jc w:val="both"/>
      </w:pPr>
    </w:p>
    <w:p w14:paraId="6F1C78F0" w14:textId="77777777" w:rsidR="003616D8" w:rsidRDefault="003616D8" w:rsidP="00D6184A">
      <w:pPr>
        <w:jc w:val="both"/>
      </w:pPr>
    </w:p>
    <w:p w14:paraId="106AB60C" w14:textId="77777777" w:rsidR="00197B9C" w:rsidRDefault="00197B9C" w:rsidP="00D6184A">
      <w:pPr>
        <w:jc w:val="both"/>
      </w:pPr>
    </w:p>
    <w:p w14:paraId="68D6AD91" w14:textId="77777777" w:rsidR="000B53C0" w:rsidRDefault="000B53C0" w:rsidP="00197B9C"/>
    <w:p w14:paraId="0ECD9142" w14:textId="77777777" w:rsidR="005875E7" w:rsidRDefault="005875E7" w:rsidP="00197B9C"/>
    <w:p w14:paraId="7F4A54EF" w14:textId="77777777" w:rsidR="005875E7" w:rsidRDefault="005875E7" w:rsidP="00197B9C"/>
    <w:p w14:paraId="61A94B5C" w14:textId="77777777" w:rsidR="005875E7" w:rsidRDefault="005875E7" w:rsidP="00197B9C"/>
    <w:p w14:paraId="36BCF00C" w14:textId="77777777" w:rsidR="005875E7" w:rsidRDefault="005875E7" w:rsidP="00197B9C"/>
    <w:p w14:paraId="0951DE38" w14:textId="77777777" w:rsidR="005875E7" w:rsidRDefault="005875E7" w:rsidP="00197B9C"/>
    <w:p w14:paraId="24C6C65D" w14:textId="77777777" w:rsidR="005875E7" w:rsidRDefault="005875E7" w:rsidP="00197B9C"/>
    <w:p w14:paraId="5F4C1DA4" w14:textId="2049686A" w:rsidR="005875E7" w:rsidRDefault="005875E7" w:rsidP="00197B9C"/>
    <w:p w14:paraId="446E2C45" w14:textId="55E70B3F" w:rsidR="005875E7" w:rsidRDefault="005875E7" w:rsidP="00197B9C"/>
    <w:p w14:paraId="7883FA48" w14:textId="39FB7FA3" w:rsidR="005875E7" w:rsidRDefault="00863204" w:rsidP="00382D94">
      <w:pPr>
        <w:pStyle w:val="E3ChapterTitle"/>
        <w:numPr>
          <w:ilvl w:val="0"/>
          <w:numId w:val="72"/>
        </w:numPr>
      </w:pPr>
      <w:bookmarkStart w:id="104" w:name="_Toc500151794"/>
      <w:r>
        <w:rPr>
          <w:noProof/>
          <w:lang w:eastAsia="en-AU"/>
        </w:rPr>
        <w:drawing>
          <wp:anchor distT="0" distB="0" distL="114300" distR="114300" simplePos="0" relativeHeight="251658254" behindDoc="1" locked="1" layoutInCell="1" allowOverlap="1" wp14:anchorId="76D96BFB" wp14:editId="5BAE9426">
            <wp:simplePos x="0" y="0"/>
            <wp:positionH relativeFrom="margin">
              <wp:posOffset>-285750</wp:posOffset>
            </wp:positionH>
            <wp:positionV relativeFrom="margin">
              <wp:align>top</wp:align>
            </wp:positionV>
            <wp:extent cx="6124575" cy="1800225"/>
            <wp:effectExtent l="0" t="0" r="9525" b="9525"/>
            <wp:wrapNone/>
            <wp:docPr id="4"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25"/>
                    <a:stretch>
                      <a:fillRect/>
                    </a:stretch>
                  </pic:blipFill>
                  <pic:spPr>
                    <a:xfrm>
                      <a:off x="0" y="0"/>
                      <a:ext cx="6124575" cy="1800225"/>
                    </a:xfrm>
                    <a:prstGeom prst="rect">
                      <a:avLst/>
                    </a:prstGeom>
                  </pic:spPr>
                </pic:pic>
              </a:graphicData>
            </a:graphic>
          </wp:anchor>
        </w:drawing>
      </w:r>
      <w:r w:rsidR="005875E7">
        <w:rPr>
          <w:noProof/>
          <w:lang w:eastAsia="en-AU"/>
        </w:rPr>
        <w:drawing>
          <wp:anchor distT="0" distB="0" distL="114300" distR="114300" simplePos="0" relativeHeight="251658244" behindDoc="1" locked="1" layoutInCell="1" allowOverlap="1" wp14:anchorId="6DB315BA" wp14:editId="0A556919">
            <wp:simplePos x="0" y="0"/>
            <wp:positionH relativeFrom="margin">
              <wp:posOffset>-285750</wp:posOffset>
            </wp:positionH>
            <wp:positionV relativeFrom="margin">
              <wp:align>top</wp:align>
            </wp:positionV>
            <wp:extent cx="6124575" cy="1800225"/>
            <wp:effectExtent l="0" t="0" r="9525" b="9525"/>
            <wp:wrapNone/>
            <wp:docPr id="20"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25"/>
                    <a:stretch>
                      <a:fillRect/>
                    </a:stretch>
                  </pic:blipFill>
                  <pic:spPr>
                    <a:xfrm>
                      <a:off x="0" y="0"/>
                      <a:ext cx="6124575" cy="1800225"/>
                    </a:xfrm>
                    <a:prstGeom prst="rect">
                      <a:avLst/>
                    </a:prstGeom>
                  </pic:spPr>
                </pic:pic>
              </a:graphicData>
            </a:graphic>
          </wp:anchor>
        </w:drawing>
      </w:r>
      <w:r w:rsidR="005875E7">
        <w:t>Objective</w:t>
      </w:r>
      <w:bookmarkEnd w:id="104"/>
    </w:p>
    <w:p w14:paraId="0C4BD0DF" w14:textId="264B0112" w:rsidR="005875E7" w:rsidRDefault="005875E7" w:rsidP="003616D8">
      <w:pPr>
        <w:pStyle w:val="E3Heading2"/>
        <w:spacing w:after="240"/>
        <w:contextualSpacing w:val="0"/>
        <w:jc w:val="both"/>
      </w:pPr>
      <w:bookmarkStart w:id="105" w:name="_Toc500151795"/>
      <w:r w:rsidRPr="005875E7">
        <w:t>Why is government action needed?</w:t>
      </w:r>
      <w:bookmarkEnd w:id="105"/>
    </w:p>
    <w:p w14:paraId="5398A280" w14:textId="52F3BDA3" w:rsidR="005875E7" w:rsidRPr="00066675" w:rsidRDefault="005875E7" w:rsidP="00D6184A">
      <w:pPr>
        <w:pStyle w:val="E3BodyText"/>
        <w:jc w:val="both"/>
      </w:pPr>
      <w:r>
        <w:t>The current regulations impede the supply and purchase of energy efficient commercial</w:t>
      </w:r>
      <w:r w:rsidR="009B0616">
        <w:t xml:space="preserve"> refrigeration</w:t>
      </w:r>
      <w:r>
        <w:t xml:space="preserve"> cabinets and prevent significant electricity savings and reduced emissions: </w:t>
      </w:r>
      <w:r w:rsidRPr="00066675">
        <w:t xml:space="preserve"> </w:t>
      </w:r>
    </w:p>
    <w:p w14:paraId="219ED7C7" w14:textId="77777777" w:rsidR="005875E7" w:rsidRPr="009111B2" w:rsidRDefault="005875E7" w:rsidP="00D6184A">
      <w:pPr>
        <w:pStyle w:val="E3Bullets"/>
        <w:jc w:val="both"/>
      </w:pPr>
      <w:r w:rsidRPr="009111B2">
        <w:t>The current Standard AS 1731 is complex, making it confusing for industry and difficult to interpret.</w:t>
      </w:r>
    </w:p>
    <w:p w14:paraId="65C8A783" w14:textId="1600C6CA" w:rsidR="005875E7" w:rsidRPr="009111B2" w:rsidRDefault="005875E7" w:rsidP="00D6184A">
      <w:pPr>
        <w:pStyle w:val="E3Bullets"/>
        <w:jc w:val="both"/>
      </w:pPr>
      <w:r w:rsidRPr="009111B2">
        <w:t xml:space="preserve">The AS 1731 standard is limited in scope and does not apply to the majority of storage cabinets (used for food storage and catering purposes) which </w:t>
      </w:r>
      <w:r w:rsidR="00437A0A">
        <w:t xml:space="preserve">are about 20% </w:t>
      </w:r>
      <w:r w:rsidRPr="009111B2">
        <w:t>of the commercial cabinet market.</w:t>
      </w:r>
    </w:p>
    <w:p w14:paraId="5DCF2B99" w14:textId="36D6E61C" w:rsidR="005875E7" w:rsidRPr="009111B2" w:rsidRDefault="005875E7" w:rsidP="00D6184A">
      <w:pPr>
        <w:pStyle w:val="E3Bullets"/>
        <w:jc w:val="both"/>
      </w:pPr>
      <w:r w:rsidRPr="009111B2">
        <w:t>MEPS which do not align with the internationally accepted standards</w:t>
      </w:r>
      <w:r w:rsidR="009B0616">
        <w:t>,</w:t>
      </w:r>
    </w:p>
    <w:p w14:paraId="6FC872B5" w14:textId="486418B4" w:rsidR="005875E7" w:rsidRPr="009111B2" w:rsidRDefault="005875E7" w:rsidP="00D6184A">
      <w:pPr>
        <w:pStyle w:val="E3Bullets"/>
        <w:jc w:val="both"/>
      </w:pPr>
      <w:r w:rsidRPr="009111B2">
        <w:t>The current system does not provide meaningful information about which cabinets are</w:t>
      </w:r>
      <w:r w:rsidR="009B0616">
        <w:t xml:space="preserve"> the</w:t>
      </w:r>
      <w:r w:rsidRPr="009111B2">
        <w:t xml:space="preserve"> most efficient. </w:t>
      </w:r>
    </w:p>
    <w:p w14:paraId="77E579B2" w14:textId="77777777" w:rsidR="005875E7" w:rsidRPr="00066675" w:rsidRDefault="005875E7" w:rsidP="00D6184A">
      <w:pPr>
        <w:pStyle w:val="E3Bullets"/>
        <w:jc w:val="both"/>
      </w:pPr>
      <w:r w:rsidRPr="009111B2">
        <w:t>A lack of awareness about energy efficiency - information about relative energy efficiency is either not available at all, or is not readily accessible by buyers – resulting in a lack of awareness of the comparative energy efficiency of different cabinet options and the potential</w:t>
      </w:r>
      <w:r w:rsidRPr="00066675">
        <w:t xml:space="preserve"> consequences (higher running costs, impact on energy use).</w:t>
      </w:r>
      <w:r>
        <w:t xml:space="preserve"> </w:t>
      </w:r>
    </w:p>
    <w:p w14:paraId="73AA27EA" w14:textId="77777777" w:rsidR="00D6184A" w:rsidRDefault="00D6184A" w:rsidP="00D6184A">
      <w:pPr>
        <w:pStyle w:val="E3Heading2"/>
        <w:jc w:val="both"/>
      </w:pPr>
      <w:bookmarkStart w:id="106" w:name="_Toc494897964"/>
      <w:bookmarkStart w:id="107" w:name="_Toc494955760"/>
      <w:bookmarkStart w:id="108" w:name="_Toc494959568"/>
      <w:bookmarkStart w:id="109" w:name="_Toc494972694"/>
      <w:bookmarkStart w:id="110" w:name="_Toc494973881"/>
      <w:bookmarkStart w:id="111" w:name="_Toc494974570"/>
    </w:p>
    <w:p w14:paraId="397A89E4" w14:textId="0EEEA12E" w:rsidR="005875E7" w:rsidRPr="005875E7" w:rsidRDefault="005875E7" w:rsidP="00D6184A">
      <w:pPr>
        <w:pStyle w:val="E3Heading2"/>
        <w:contextualSpacing w:val="0"/>
        <w:jc w:val="both"/>
      </w:pPr>
      <w:bookmarkStart w:id="112" w:name="_Toc500151796"/>
      <w:r w:rsidRPr="005875E7">
        <w:t>The role of Government</w:t>
      </w:r>
      <w:bookmarkEnd w:id="106"/>
      <w:bookmarkEnd w:id="107"/>
      <w:bookmarkEnd w:id="108"/>
      <w:bookmarkEnd w:id="109"/>
      <w:bookmarkEnd w:id="110"/>
      <w:bookmarkEnd w:id="111"/>
      <w:bookmarkEnd w:id="112"/>
    </w:p>
    <w:p w14:paraId="2D08BCC8" w14:textId="77777777" w:rsidR="005875E7" w:rsidRPr="00EF0924" w:rsidRDefault="005875E7" w:rsidP="00D6184A">
      <w:pPr>
        <w:spacing w:before="240"/>
        <w:jc w:val="both"/>
        <w:rPr>
          <w:rFonts w:cs="Arial"/>
          <w:sz w:val="24"/>
        </w:rPr>
      </w:pPr>
      <w:r w:rsidRPr="00EF0924">
        <w:rPr>
          <w:rFonts w:cs="Arial"/>
          <w:sz w:val="24"/>
        </w:rPr>
        <w:t>Despite proven, cost-effective opportunities to reduce energy use, a large portion of potential savings are not realised for various reasons, including:</w:t>
      </w:r>
    </w:p>
    <w:p w14:paraId="433F0D0A" w14:textId="77777777" w:rsidR="005875E7" w:rsidRPr="00F20882" w:rsidRDefault="005875E7" w:rsidP="00D6184A">
      <w:pPr>
        <w:pStyle w:val="E3Bullets"/>
        <w:jc w:val="both"/>
      </w:pPr>
      <w:r w:rsidRPr="00F20882">
        <w:t>A lack of information (delivered at the right time and in the right way).</w:t>
      </w:r>
    </w:p>
    <w:p w14:paraId="64E3FDF1" w14:textId="77777777" w:rsidR="005875E7" w:rsidRPr="00F20882" w:rsidRDefault="005875E7" w:rsidP="00D6184A">
      <w:pPr>
        <w:pStyle w:val="E3Bullets"/>
        <w:jc w:val="both"/>
      </w:pPr>
      <w:r w:rsidRPr="00F20882">
        <w:t>A lack of awareness by energy users and decision-makers about why they should act (the size and nature of the opportunity, including true lifetime costs and benefits), and what action is best for them, and how they can access the information they need to make informed decisions.</w:t>
      </w:r>
    </w:p>
    <w:p w14:paraId="1991E111" w14:textId="77777777" w:rsidR="005875E7" w:rsidRPr="00F20882" w:rsidRDefault="005875E7" w:rsidP="00D6184A">
      <w:pPr>
        <w:pStyle w:val="E3Bullets"/>
        <w:jc w:val="both"/>
      </w:pPr>
      <w:r w:rsidRPr="00F20882">
        <w:t>A lack of capability – people, skills, and processes – to take effective action.</w:t>
      </w:r>
    </w:p>
    <w:p w14:paraId="0C740CD7" w14:textId="77777777" w:rsidR="005875E7" w:rsidRPr="00F20882" w:rsidRDefault="005875E7" w:rsidP="00D6184A">
      <w:pPr>
        <w:pStyle w:val="E3Bullets"/>
        <w:jc w:val="both"/>
      </w:pPr>
      <w:r w:rsidRPr="00F20882">
        <w:t>Low prioritisation of energy efficiency above other, more pressing issues – such as production deadlines, health and safety issues, or day-to-day business pressures.</w:t>
      </w:r>
    </w:p>
    <w:p w14:paraId="5B1D4867" w14:textId="77777777" w:rsidR="005875E7" w:rsidRDefault="005875E7" w:rsidP="00D6184A">
      <w:pPr>
        <w:pStyle w:val="E3Bullets"/>
        <w:jc w:val="both"/>
      </w:pPr>
      <w:r w:rsidRPr="00F20882">
        <w:t>Capital constraints – which mean that a business perceives that it cannot afford to take on the up-front costs of an energy efficiency measure, even one with a short pay-back period.</w:t>
      </w:r>
    </w:p>
    <w:p w14:paraId="42E479C5" w14:textId="77777777" w:rsidR="00120A42" w:rsidRPr="00F20882" w:rsidRDefault="00120A42" w:rsidP="00120A42">
      <w:pPr>
        <w:pStyle w:val="E3Bullets"/>
        <w:numPr>
          <w:ilvl w:val="0"/>
          <w:numId w:val="0"/>
        </w:numPr>
        <w:ind w:left="227"/>
        <w:jc w:val="both"/>
      </w:pPr>
    </w:p>
    <w:p w14:paraId="30ED28DB" w14:textId="549D9CC0" w:rsidR="00D6184A" w:rsidRPr="00D6184A" w:rsidRDefault="005875E7" w:rsidP="003616D8">
      <w:pPr>
        <w:pStyle w:val="E3Heading2"/>
        <w:spacing w:before="240"/>
        <w:contextualSpacing w:val="0"/>
        <w:jc w:val="both"/>
      </w:pPr>
      <w:bookmarkStart w:id="113" w:name="_Toc500151797"/>
      <w:bookmarkStart w:id="114" w:name="_Toc494897965"/>
      <w:bookmarkStart w:id="115" w:name="_Toc494955761"/>
      <w:bookmarkStart w:id="116" w:name="_Toc494959569"/>
      <w:bookmarkStart w:id="117" w:name="_Toc494972695"/>
      <w:bookmarkStart w:id="118" w:name="_Toc494973882"/>
      <w:bookmarkStart w:id="119" w:name="_Toc494974571"/>
      <w:r w:rsidRPr="005875E7">
        <w:lastRenderedPageBreak/>
        <w:t>Policy options</w:t>
      </w:r>
      <w:bookmarkEnd w:id="113"/>
      <w:r w:rsidRPr="005875E7">
        <w:t xml:space="preserve"> </w:t>
      </w:r>
      <w:bookmarkEnd w:id="114"/>
      <w:bookmarkEnd w:id="115"/>
      <w:bookmarkEnd w:id="116"/>
      <w:bookmarkEnd w:id="117"/>
      <w:bookmarkEnd w:id="118"/>
      <w:bookmarkEnd w:id="119"/>
    </w:p>
    <w:p w14:paraId="0BDC4EAA" w14:textId="3819B9F4" w:rsidR="005875E7" w:rsidRPr="00066675" w:rsidRDefault="005875E7" w:rsidP="00D6184A">
      <w:pPr>
        <w:pStyle w:val="E3BodyText"/>
        <w:jc w:val="both"/>
      </w:pPr>
      <w:r w:rsidRPr="00066675">
        <w:t>The policy options presented in this RIS are directed at improving the average energy efficiency of refrigerated commercial cabinets sold into the Australian and New Zealand and keeping businesses competitive with overseas markets</w:t>
      </w:r>
      <w:r w:rsidR="002D6F66">
        <w:t>. They are intended to</w:t>
      </w:r>
      <w:r w:rsidRPr="00066675">
        <w:t>:</w:t>
      </w:r>
    </w:p>
    <w:p w14:paraId="1DC27BBE" w14:textId="77777777" w:rsidR="005875E7" w:rsidRPr="00F20882" w:rsidRDefault="005875E7" w:rsidP="00D6184A">
      <w:pPr>
        <w:pStyle w:val="E3Bullets"/>
        <w:jc w:val="both"/>
      </w:pPr>
      <w:r w:rsidRPr="00F20882">
        <w:t xml:space="preserve">Encourage more efficient refrigerated cabinets to enter the stock, with efficient new technologies becoming main stream within the industry. </w:t>
      </w:r>
    </w:p>
    <w:p w14:paraId="4911F367" w14:textId="4DFF84BB" w:rsidR="005875E7" w:rsidRPr="00F20882" w:rsidRDefault="005875E7" w:rsidP="00D6184A">
      <w:pPr>
        <w:pStyle w:val="E3Bullets"/>
        <w:jc w:val="both"/>
      </w:pPr>
      <w:r w:rsidRPr="00F20882">
        <w:t>Enable buyers</w:t>
      </w:r>
      <w:r w:rsidR="002D6F66">
        <w:t xml:space="preserve"> and </w:t>
      </w:r>
      <w:r w:rsidRPr="00F20882">
        <w:t xml:space="preserve">users to identify efficient units and have confidence in their cabinet selections. </w:t>
      </w:r>
    </w:p>
    <w:p w14:paraId="50B385EB" w14:textId="67D9E87B" w:rsidR="005875E7" w:rsidRPr="00F20882" w:rsidRDefault="005875E7" w:rsidP="00D6184A">
      <w:pPr>
        <w:pStyle w:val="E3Bullets"/>
        <w:jc w:val="both"/>
      </w:pPr>
      <w:r w:rsidRPr="00F20882">
        <w:t xml:space="preserve">Reduce the cost of compliance for suppliers.  </w:t>
      </w:r>
    </w:p>
    <w:p w14:paraId="12255780" w14:textId="77777777" w:rsidR="005875E7" w:rsidRPr="00F20882" w:rsidRDefault="005875E7" w:rsidP="00D6184A">
      <w:pPr>
        <w:pStyle w:val="E3Bullets"/>
        <w:jc w:val="both"/>
      </w:pPr>
      <w:r w:rsidRPr="00F20882">
        <w:t xml:space="preserve">Keep the local market competitive with worldwide trends. </w:t>
      </w:r>
    </w:p>
    <w:p w14:paraId="3D9A75C8" w14:textId="77777777" w:rsidR="005875E7" w:rsidRPr="00F20882" w:rsidRDefault="005875E7" w:rsidP="00D6184A">
      <w:pPr>
        <w:pStyle w:val="E3Bullets"/>
        <w:jc w:val="both"/>
      </w:pPr>
      <w:r w:rsidRPr="00F20882">
        <w:t>Improve energy efficiency and thereby reduce greenhouse gas emissions, which will help both countries meet climate related commitments.</w:t>
      </w:r>
    </w:p>
    <w:p w14:paraId="69A560E8" w14:textId="77777777" w:rsidR="005875E7" w:rsidRDefault="005875E7" w:rsidP="00D6184A">
      <w:pPr>
        <w:pStyle w:val="E3Bullets"/>
        <w:numPr>
          <w:ilvl w:val="1"/>
          <w:numId w:val="3"/>
        </w:numPr>
        <w:autoSpaceDE/>
        <w:autoSpaceDN/>
        <w:adjustRightInd/>
        <w:spacing w:before="240" w:after="240" w:line="278" w:lineRule="auto"/>
        <w:jc w:val="both"/>
      </w:pPr>
      <w:r w:rsidRPr="00AC7259">
        <w:t xml:space="preserve">For New Zealand, the policy proposals seek to promote and improve the efficient use of energy, which is a priority under the </w:t>
      </w:r>
      <w:r w:rsidRPr="00AC7259">
        <w:rPr>
          <w:i/>
        </w:rPr>
        <w:t xml:space="preserve">New Zealand Energy Strategy 2011-2021 </w:t>
      </w:r>
      <w:r w:rsidRPr="00AC7259">
        <w:t xml:space="preserve">and the </w:t>
      </w:r>
      <w:r w:rsidRPr="00AC7259">
        <w:rPr>
          <w:i/>
        </w:rPr>
        <w:t>New Zealand Energy Efficienc</w:t>
      </w:r>
      <w:r>
        <w:rPr>
          <w:i/>
        </w:rPr>
        <w:t>y and Conservation Strategy 2017-2022.</w:t>
      </w:r>
      <w:r w:rsidRPr="00AC7259">
        <w:rPr>
          <w:i/>
        </w:rPr>
        <w:t xml:space="preserve"> </w:t>
      </w:r>
      <w:r w:rsidRPr="00AC7259">
        <w:t xml:space="preserve">The proposals also contribute to the New Zealand Government’s post-2020 climate change target to reduce greenhouse gas emissions to 30 per cent below 2005 levels by 2030. In addition, they contribute to the </w:t>
      </w:r>
      <w:r w:rsidRPr="00AC7259">
        <w:rPr>
          <w:i/>
        </w:rPr>
        <w:t xml:space="preserve">Business Growth Agenda’s </w:t>
      </w:r>
      <w:r w:rsidRPr="00AC7259">
        <w:t>objective of promoting energy efficiency and the use of renewable energy to build a more competitive and productive economy.</w:t>
      </w:r>
    </w:p>
    <w:p w14:paraId="088389AA" w14:textId="77777777" w:rsidR="005875E7" w:rsidRDefault="005875E7" w:rsidP="00D6184A">
      <w:pPr>
        <w:pStyle w:val="E3Bullets"/>
        <w:numPr>
          <w:ilvl w:val="0"/>
          <w:numId w:val="0"/>
        </w:numPr>
        <w:spacing w:before="240" w:after="240"/>
        <w:ind w:left="1080"/>
        <w:jc w:val="both"/>
      </w:pPr>
    </w:p>
    <w:p w14:paraId="3944E905" w14:textId="1DC3A863" w:rsidR="005875E7" w:rsidRDefault="005875E7" w:rsidP="00D6184A">
      <w:pPr>
        <w:pStyle w:val="E3Bullets"/>
        <w:numPr>
          <w:ilvl w:val="1"/>
          <w:numId w:val="3"/>
        </w:numPr>
        <w:autoSpaceDE/>
        <w:autoSpaceDN/>
        <w:adjustRightInd/>
        <w:spacing w:before="240" w:after="240" w:line="278" w:lineRule="auto"/>
        <w:jc w:val="both"/>
      </w:pPr>
      <w:r>
        <w:t>The policy objectives also contribute to the COAG Energy Council’s National Energy Productivity Plan.  This plan aims to improve Australia’s productivity by 40 per cent by 2030, to increase the economic benefit from each unit of energy consumed.  Improving the regulations will also contribute to the Australian Government’s target to reduce greenhouse gas emissions to 26 to 28 percent below 2005 levels by 2030.</w:t>
      </w:r>
    </w:p>
    <w:p w14:paraId="23AC2961" w14:textId="77777777" w:rsidR="005875E7" w:rsidRPr="00C620B0" w:rsidRDefault="005875E7" w:rsidP="00D6184A">
      <w:pPr>
        <w:pStyle w:val="E3Bullets"/>
        <w:numPr>
          <w:ilvl w:val="0"/>
          <w:numId w:val="0"/>
        </w:numPr>
        <w:spacing w:before="240" w:after="240"/>
        <w:jc w:val="both"/>
      </w:pPr>
    </w:p>
    <w:p w14:paraId="1EBC296F" w14:textId="62A51603" w:rsidR="005875E7" w:rsidRPr="00F20882" w:rsidRDefault="002D6F66" w:rsidP="00D6184A">
      <w:pPr>
        <w:pStyle w:val="E3Bullets"/>
        <w:jc w:val="both"/>
      </w:pPr>
      <w:r>
        <w:t>The options proposed in the next section would</w:t>
      </w:r>
      <w:r w:rsidRPr="00066675">
        <w:t xml:space="preserve"> </w:t>
      </w:r>
      <w:r w:rsidR="003B0025">
        <w:t>help to</w:t>
      </w:r>
      <w:r w:rsidR="00437A0A">
        <w:t xml:space="preserve"> </w:t>
      </w:r>
      <w:r w:rsidR="005875E7" w:rsidRPr="00F20882">
        <w:t xml:space="preserve">curb growth in energy demand thereby deferring the need to invest in new energy supply infrastructure. In addition </w:t>
      </w:r>
      <w:r w:rsidR="003B0025">
        <w:t xml:space="preserve">these options </w:t>
      </w:r>
      <w:r w:rsidR="005875E7" w:rsidRPr="00F20882">
        <w:t xml:space="preserve">would help New Zealand to meet most of its stationary energy needs from renewable or low emissions energy sources. </w:t>
      </w:r>
    </w:p>
    <w:p w14:paraId="338E4DD5" w14:textId="724A5617" w:rsidR="005875E7" w:rsidRPr="00F20882" w:rsidRDefault="003B0025" w:rsidP="00D6184A">
      <w:pPr>
        <w:pStyle w:val="E3Bullets"/>
        <w:jc w:val="both"/>
      </w:pPr>
      <w:r>
        <w:t xml:space="preserve"> The proposed options would also help e</w:t>
      </w:r>
      <w:r w:rsidR="005875E7" w:rsidRPr="00F20882">
        <w:t>nsure that regulation remains relevant and effective over time.</w:t>
      </w:r>
    </w:p>
    <w:p w14:paraId="754CBB4B" w14:textId="77777777" w:rsidR="005875E7" w:rsidRDefault="005875E7" w:rsidP="00D6184A">
      <w:pPr>
        <w:tabs>
          <w:tab w:val="left" w:pos="1185"/>
        </w:tabs>
        <w:jc w:val="both"/>
        <w:rPr>
          <w:szCs w:val="19"/>
        </w:rPr>
      </w:pPr>
      <w:r>
        <w:rPr>
          <w:szCs w:val="19"/>
        </w:rPr>
        <w:br w:type="page"/>
      </w:r>
    </w:p>
    <w:p w14:paraId="1BBA2110" w14:textId="77777777" w:rsidR="005875E7" w:rsidRDefault="005875E7" w:rsidP="005875E7">
      <w:pPr>
        <w:tabs>
          <w:tab w:val="left" w:pos="1185"/>
        </w:tabs>
        <w:rPr>
          <w:szCs w:val="19"/>
        </w:rPr>
      </w:pPr>
    </w:p>
    <w:p w14:paraId="4E931D2E" w14:textId="77777777" w:rsidR="005875E7" w:rsidRDefault="005875E7" w:rsidP="005875E7">
      <w:pPr>
        <w:tabs>
          <w:tab w:val="left" w:pos="1185"/>
        </w:tabs>
        <w:rPr>
          <w:szCs w:val="19"/>
        </w:rPr>
      </w:pPr>
    </w:p>
    <w:p w14:paraId="7CD35AA7" w14:textId="77777777" w:rsidR="005875E7" w:rsidRDefault="005875E7" w:rsidP="00382D94">
      <w:pPr>
        <w:pStyle w:val="E3ChapterTitle"/>
        <w:numPr>
          <w:ilvl w:val="0"/>
          <w:numId w:val="72"/>
        </w:numPr>
      </w:pPr>
      <w:bookmarkStart w:id="120" w:name="_Toc500151798"/>
      <w:r>
        <w:t>Options</w:t>
      </w:r>
      <w:r>
        <w:rPr>
          <w:noProof/>
          <w:lang w:eastAsia="en-AU"/>
        </w:rPr>
        <w:drawing>
          <wp:anchor distT="0" distB="0" distL="114300" distR="114300" simplePos="0" relativeHeight="251658245" behindDoc="1" locked="1" layoutInCell="1" allowOverlap="1" wp14:anchorId="35C3E4A1" wp14:editId="5E0ED1EC">
            <wp:simplePos x="0" y="0"/>
            <wp:positionH relativeFrom="margin">
              <wp:align>left</wp:align>
            </wp:positionH>
            <wp:positionV relativeFrom="margin">
              <wp:posOffset>-304800</wp:posOffset>
            </wp:positionV>
            <wp:extent cx="6124575" cy="1800225"/>
            <wp:effectExtent l="0" t="0" r="9525" b="9525"/>
            <wp:wrapNone/>
            <wp:docPr id="21"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25"/>
                    <a:stretch>
                      <a:fillRect/>
                    </a:stretch>
                  </pic:blipFill>
                  <pic:spPr>
                    <a:xfrm>
                      <a:off x="0" y="0"/>
                      <a:ext cx="6124575" cy="1800225"/>
                    </a:xfrm>
                    <a:prstGeom prst="rect">
                      <a:avLst/>
                    </a:prstGeom>
                  </pic:spPr>
                </pic:pic>
              </a:graphicData>
            </a:graphic>
          </wp:anchor>
        </w:drawing>
      </w:r>
      <w:bookmarkEnd w:id="120"/>
      <w:r>
        <w:tab/>
      </w:r>
    </w:p>
    <w:p w14:paraId="4EE14DC6" w14:textId="71C23054" w:rsidR="005875E7" w:rsidRPr="00066675" w:rsidRDefault="005875E7" w:rsidP="00D6184A">
      <w:pPr>
        <w:pStyle w:val="E3BodyText"/>
        <w:jc w:val="both"/>
      </w:pPr>
      <w:r>
        <w:t xml:space="preserve">This RIS considers policy options to achieve the objectives and </w:t>
      </w:r>
      <w:r w:rsidR="0053786F">
        <w:t xml:space="preserve">resolve </w:t>
      </w:r>
      <w:r>
        <w:t xml:space="preserve">the problems identified with the current regulations. </w:t>
      </w:r>
      <w:r w:rsidRPr="00066675">
        <w:t xml:space="preserve">The policy proposals incorporate </w:t>
      </w:r>
      <w:r w:rsidR="0053786F">
        <w:t>b</w:t>
      </w:r>
      <w:r w:rsidRPr="00066675">
        <w:t xml:space="preserve">usiness as </w:t>
      </w:r>
      <w:r w:rsidR="0053786F">
        <w:t>u</w:t>
      </w:r>
      <w:r w:rsidRPr="00066675">
        <w:t xml:space="preserve">sual (BAU), regulatory and non-regulatory options. The </w:t>
      </w:r>
      <w:r>
        <w:t xml:space="preserve">addition </w:t>
      </w:r>
      <w:r w:rsidRPr="00066675">
        <w:t xml:space="preserve">of </w:t>
      </w:r>
      <w:r>
        <w:t>voluntary online labelling to all regulatory options is also considered.</w:t>
      </w:r>
    </w:p>
    <w:p w14:paraId="34718CEE" w14:textId="092D846B" w:rsidR="005875E7" w:rsidRPr="00066675" w:rsidRDefault="005875E7" w:rsidP="00D6184A">
      <w:pPr>
        <w:pStyle w:val="E3BodyText"/>
        <w:jc w:val="both"/>
      </w:pPr>
      <w:r w:rsidRPr="00066675">
        <w:t xml:space="preserve">In many countries, policy interventions such as MEPS and energy labelling have been effective at tackling market failures and yielding significant </w:t>
      </w:r>
      <w:r w:rsidR="0053786F" w:rsidRPr="00066675">
        <w:t>benefits</w:t>
      </w:r>
      <w:r w:rsidR="0053786F">
        <w:t xml:space="preserve"> for</w:t>
      </w:r>
      <w:r w:rsidRPr="00066675">
        <w:t xml:space="preserve"> consumers and businesses compared </w:t>
      </w:r>
      <w:r w:rsidR="0053786F">
        <w:t>with the</w:t>
      </w:r>
      <w:r w:rsidRPr="00066675">
        <w:t xml:space="preserve"> costs</w:t>
      </w:r>
      <w:r w:rsidR="0053786F">
        <w:t xml:space="preserve"> of these measures  the</w:t>
      </w:r>
      <w:r w:rsidRPr="00066675">
        <w:t xml:space="preserve"> and burden</w:t>
      </w:r>
      <w:r w:rsidR="0053786F">
        <w:t xml:space="preserve"> they place</w:t>
      </w:r>
      <w:r w:rsidRPr="00066675">
        <w:t xml:space="preserve"> on industry.  </w:t>
      </w:r>
    </w:p>
    <w:p w14:paraId="033864CD" w14:textId="323DA1E3" w:rsidR="005875E7" w:rsidRPr="00066675" w:rsidRDefault="005875E7" w:rsidP="00D6184A">
      <w:pPr>
        <w:pStyle w:val="E3BodyText"/>
        <w:jc w:val="both"/>
      </w:pPr>
      <w:r w:rsidRPr="00066675">
        <w:t xml:space="preserve">MEPS are typically mandatory because regulation, with good compliance, delivers certainty and consistent outcomes for businesses and consumers.  Voluntary agreements and other alternatives to MEPS appear successful only in specific circumstances, such as when markets are dominated by a limited number of domestic manufacturers, with similar (high) technical </w:t>
      </w:r>
      <w:r w:rsidR="0053786F" w:rsidRPr="00066675">
        <w:t>competen</w:t>
      </w:r>
      <w:r w:rsidR="0053786F">
        <w:t>ce</w:t>
      </w:r>
      <w:r w:rsidR="0053786F" w:rsidRPr="00066675">
        <w:t xml:space="preserve"> </w:t>
      </w:r>
      <w:r w:rsidRPr="00066675">
        <w:t>and incentives to develop energy efficient products.</w:t>
      </w:r>
    </w:p>
    <w:p w14:paraId="257FB3E3" w14:textId="77777777" w:rsidR="005875E7" w:rsidRDefault="005875E7" w:rsidP="00D6184A">
      <w:pPr>
        <w:pStyle w:val="E3BodyText"/>
        <w:jc w:val="both"/>
      </w:pPr>
      <w:r w:rsidRPr="00066675">
        <w:t xml:space="preserve">All </w:t>
      </w:r>
      <w:r>
        <w:t xml:space="preserve">proposed </w:t>
      </w:r>
      <w:r w:rsidRPr="00066675">
        <w:t xml:space="preserve">regulatory options include adopting </w:t>
      </w:r>
      <w:r>
        <w:t xml:space="preserve">the </w:t>
      </w:r>
      <w:r w:rsidRPr="00066675">
        <w:t xml:space="preserve">ISO </w:t>
      </w:r>
      <w:r>
        <w:t xml:space="preserve">23953 Standard </w:t>
      </w:r>
      <w:r w:rsidRPr="00066675">
        <w:t xml:space="preserve">for </w:t>
      </w:r>
      <w:r>
        <w:t>r</w:t>
      </w:r>
      <w:r w:rsidRPr="00066675">
        <w:t xml:space="preserve">efrigerated display cabinets </w:t>
      </w:r>
      <w:r>
        <w:t>and beverage cabinets</w:t>
      </w:r>
      <w:r w:rsidRPr="00066675">
        <w:t>, and European test methods for storage cabinets and other cabinet</w:t>
      </w:r>
      <w:r>
        <w:t xml:space="preserve"> types (ice-cream and</w:t>
      </w:r>
      <w:r w:rsidRPr="00066675">
        <w:t xml:space="preserve"> gelato</w:t>
      </w:r>
      <w:r>
        <w:t>), from 1 December 2019.</w:t>
      </w:r>
      <w:r w:rsidRPr="00066675">
        <w:t xml:space="preserve"> </w:t>
      </w:r>
    </w:p>
    <w:p w14:paraId="2F24D3C6" w14:textId="77777777" w:rsidR="005875E7" w:rsidRDefault="005875E7" w:rsidP="00D6184A">
      <w:pPr>
        <w:pStyle w:val="E3BodyText"/>
        <w:jc w:val="both"/>
      </w:pPr>
      <w:r w:rsidRPr="00066675">
        <w:t>If adopted</w:t>
      </w:r>
      <w:r>
        <w:t xml:space="preserve"> these S</w:t>
      </w:r>
      <w:r w:rsidRPr="00066675">
        <w:t>tandards would cover a much wider range of refrigeration equipment that perform</w:t>
      </w:r>
      <w:r>
        <w:t>s</w:t>
      </w:r>
      <w:r w:rsidRPr="00066675">
        <w:t xml:space="preserve"> similar functions and </w:t>
      </w:r>
      <w:r>
        <w:t xml:space="preserve">has </w:t>
      </w:r>
      <w:r w:rsidRPr="00066675">
        <w:t xml:space="preserve">similar characteristics to those already regulated in Australia and New Zealand. Regulatory options also include developing </w:t>
      </w:r>
      <w:r>
        <w:t xml:space="preserve">Australian and New Zealand </w:t>
      </w:r>
      <w:r w:rsidRPr="00066675">
        <w:t xml:space="preserve">MEPS levels for this </w:t>
      </w:r>
      <w:r>
        <w:t xml:space="preserve">broader </w:t>
      </w:r>
      <w:r w:rsidRPr="00066675">
        <w:t xml:space="preserve">range of cabinets </w:t>
      </w:r>
      <w:r>
        <w:t xml:space="preserve">which </w:t>
      </w:r>
      <w:r w:rsidRPr="00066675">
        <w:t>align with the European Commission MEPS levels (EC MEPS)</w:t>
      </w:r>
      <w:r>
        <w:t>.</w:t>
      </w:r>
      <w:r w:rsidRPr="00066675">
        <w:rPr>
          <w:rStyle w:val="FootnoteReference"/>
        </w:rPr>
        <w:footnoteReference w:id="29"/>
      </w:r>
    </w:p>
    <w:p w14:paraId="57BCB115" w14:textId="48AB47D5" w:rsidR="00D6184A" w:rsidRDefault="003616D8" w:rsidP="003616D8">
      <w:pPr>
        <w:pStyle w:val="E3BodyText"/>
        <w:jc w:val="both"/>
      </w:pPr>
      <w:r>
        <w:t xml:space="preserve"> </w:t>
      </w:r>
    </w:p>
    <w:p w14:paraId="7704531B" w14:textId="417DB9D3" w:rsidR="005875E7" w:rsidRDefault="005875E7" w:rsidP="00D6184A">
      <w:pPr>
        <w:pStyle w:val="E3Heading2"/>
        <w:jc w:val="both"/>
      </w:pPr>
      <w:bookmarkStart w:id="121" w:name="_Toc500151799"/>
      <w:r w:rsidRPr="0041262C">
        <w:t>Policy options under consideration</w:t>
      </w:r>
      <w:bookmarkEnd w:id="121"/>
    </w:p>
    <w:p w14:paraId="7BF53747" w14:textId="71682B6D" w:rsidR="005875E7" w:rsidRPr="00066675" w:rsidRDefault="005875E7" w:rsidP="00D6184A">
      <w:pPr>
        <w:pStyle w:val="E3Bullets"/>
        <w:numPr>
          <w:ilvl w:val="0"/>
          <w:numId w:val="0"/>
        </w:numPr>
        <w:jc w:val="both"/>
      </w:pPr>
      <w:r w:rsidRPr="00066675">
        <w:rPr>
          <w:b/>
        </w:rPr>
        <w:t xml:space="preserve">Option 1 </w:t>
      </w:r>
      <w:r w:rsidRPr="00066675">
        <w:t>is</w:t>
      </w:r>
      <w:r w:rsidRPr="00105013">
        <w:t xml:space="preserve"> </w:t>
      </w:r>
      <w:r w:rsidR="00155F28">
        <w:t>Business as u</w:t>
      </w:r>
      <w:r w:rsidRPr="0009059E">
        <w:t>sual (BAU):</w:t>
      </w:r>
      <w:r w:rsidRPr="00066675">
        <w:rPr>
          <w:b/>
        </w:rPr>
        <w:t xml:space="preserve"> </w:t>
      </w:r>
      <w:r w:rsidRPr="00066675">
        <w:t>no changes to the existing requirements.</w:t>
      </w:r>
    </w:p>
    <w:p w14:paraId="0956A465" w14:textId="77777777" w:rsidR="005875E7" w:rsidRPr="00066675" w:rsidRDefault="005875E7" w:rsidP="00D6184A">
      <w:pPr>
        <w:pStyle w:val="E3Bullets"/>
        <w:numPr>
          <w:ilvl w:val="0"/>
          <w:numId w:val="0"/>
        </w:numPr>
        <w:ind w:left="227" w:hanging="227"/>
        <w:jc w:val="both"/>
      </w:pPr>
    </w:p>
    <w:p w14:paraId="5BED6512" w14:textId="77777777" w:rsidR="005875E7" w:rsidRDefault="005875E7" w:rsidP="00D6184A">
      <w:pPr>
        <w:pStyle w:val="E3Bullets"/>
        <w:numPr>
          <w:ilvl w:val="0"/>
          <w:numId w:val="0"/>
        </w:numPr>
        <w:jc w:val="both"/>
      </w:pPr>
      <w:r w:rsidRPr="00066675">
        <w:rPr>
          <w:b/>
        </w:rPr>
        <w:lastRenderedPageBreak/>
        <w:t xml:space="preserve">Option 2 </w:t>
      </w:r>
      <w:r>
        <w:t xml:space="preserve">involves </w:t>
      </w:r>
      <w:r w:rsidRPr="00066675">
        <w:t xml:space="preserve">adopting the ISO and EN test methods but setting local MEPS levels for Australia and New Zealand to improve the least efficient </w:t>
      </w:r>
      <w:r w:rsidRPr="00066675">
        <w:rPr>
          <w:b/>
        </w:rPr>
        <w:t>10%</w:t>
      </w:r>
      <w:r w:rsidRPr="00066675">
        <w:t xml:space="preserve"> of cabinets, in groups similar to those proposed by the E</w:t>
      </w:r>
      <w:r>
        <w:t>C MEPS process. Online energy rating information is added</w:t>
      </w:r>
      <w:r w:rsidRPr="00066675">
        <w:t xml:space="preserve">. </w:t>
      </w:r>
      <w:r>
        <w:t xml:space="preserve">A “deemed to comply” method of compliance is also included for low volume products. </w:t>
      </w:r>
    </w:p>
    <w:p w14:paraId="3D4B4E16" w14:textId="77777777" w:rsidR="005875E7" w:rsidRPr="00066675" w:rsidRDefault="005875E7" w:rsidP="00D6184A">
      <w:pPr>
        <w:pStyle w:val="E3Bullets"/>
        <w:numPr>
          <w:ilvl w:val="0"/>
          <w:numId w:val="0"/>
        </w:numPr>
        <w:jc w:val="both"/>
      </w:pPr>
    </w:p>
    <w:p w14:paraId="0CFF8713" w14:textId="77777777" w:rsidR="005875E7" w:rsidRDefault="005875E7" w:rsidP="00D6184A">
      <w:pPr>
        <w:pStyle w:val="E3Bullets"/>
        <w:numPr>
          <w:ilvl w:val="0"/>
          <w:numId w:val="0"/>
        </w:numPr>
        <w:jc w:val="both"/>
      </w:pPr>
      <w:r w:rsidRPr="00066675">
        <w:rPr>
          <w:b/>
        </w:rPr>
        <w:t xml:space="preserve">Option 3 </w:t>
      </w:r>
      <w:r>
        <w:t xml:space="preserve">looks at </w:t>
      </w:r>
      <w:r w:rsidRPr="00066675">
        <w:t xml:space="preserve">adopting the ISO and EN test methods but setting local MEPS levels for Australia and New Zealand to improve the least efficient </w:t>
      </w:r>
      <w:r w:rsidRPr="00066675">
        <w:rPr>
          <w:b/>
        </w:rPr>
        <w:t>30%</w:t>
      </w:r>
      <w:r w:rsidRPr="00066675">
        <w:t xml:space="preserve"> of cabinets, in groups similar to those proposed by the EC MEPS proc</w:t>
      </w:r>
      <w:r>
        <w:t>ess. Online energy rating information</w:t>
      </w:r>
      <w:r w:rsidRPr="00066675">
        <w:t xml:space="preserve"> is</w:t>
      </w:r>
      <w:r>
        <w:t xml:space="preserve"> added</w:t>
      </w:r>
      <w:r w:rsidRPr="00066675">
        <w:t>.</w:t>
      </w:r>
      <w:r w:rsidRPr="00CE6C5A">
        <w:t xml:space="preserve"> </w:t>
      </w:r>
      <w:r>
        <w:t xml:space="preserve">A “deemed to comply” method of compliance is also included for low volume products. </w:t>
      </w:r>
    </w:p>
    <w:p w14:paraId="41ED98A7" w14:textId="77777777" w:rsidR="005875E7" w:rsidRPr="00066675" w:rsidRDefault="005875E7" w:rsidP="00D6184A">
      <w:pPr>
        <w:pStyle w:val="E3Bullets"/>
        <w:numPr>
          <w:ilvl w:val="0"/>
          <w:numId w:val="0"/>
        </w:numPr>
        <w:jc w:val="both"/>
      </w:pPr>
    </w:p>
    <w:p w14:paraId="530613B6" w14:textId="4EEBEB9C" w:rsidR="005875E7" w:rsidRDefault="005875E7" w:rsidP="00D6184A">
      <w:pPr>
        <w:pStyle w:val="E3Bullets"/>
        <w:numPr>
          <w:ilvl w:val="0"/>
          <w:numId w:val="0"/>
        </w:numPr>
        <w:jc w:val="both"/>
      </w:pPr>
      <w:r w:rsidRPr="00066675">
        <w:rPr>
          <w:b/>
        </w:rPr>
        <w:t>Option 4</w:t>
      </w:r>
      <w:r>
        <w:t xml:space="preserve">involves </w:t>
      </w:r>
      <w:r w:rsidRPr="00066675">
        <w:t xml:space="preserve">adopting the ISO and EN test methods and </w:t>
      </w:r>
      <w:r>
        <w:t xml:space="preserve">developing AU/NZ MEPS which align with or are similar to published or draft </w:t>
      </w:r>
      <w:r w:rsidRPr="00066675">
        <w:t>EC MEPS levels (posed per group)</w:t>
      </w:r>
      <w:r>
        <w:t>, modelled from 201</w:t>
      </w:r>
      <w:r w:rsidR="0042071D">
        <w:t>9</w:t>
      </w:r>
      <w:r w:rsidRPr="00066675">
        <w:t>.</w:t>
      </w:r>
      <w:r>
        <w:rPr>
          <w:rStyle w:val="FootnoteReference"/>
        </w:rPr>
        <w:footnoteReference w:id="30"/>
      </w:r>
      <w:r w:rsidRPr="00066675">
        <w:t xml:space="preserve"> Overall this approach affects approximately </w:t>
      </w:r>
      <w:r>
        <w:t>25</w:t>
      </w:r>
      <w:r w:rsidRPr="00066675">
        <w:t xml:space="preserve">% of </w:t>
      </w:r>
      <w:r>
        <w:t>registrations</w:t>
      </w:r>
      <w:r w:rsidRPr="00066675">
        <w:t xml:space="preserve"> but some types are more affected than others</w:t>
      </w:r>
      <w:r w:rsidR="0053786F">
        <w:t xml:space="preserve">. </w:t>
      </w:r>
      <w:r>
        <w:t>Online energy rating</w:t>
      </w:r>
      <w:r w:rsidRPr="00066675">
        <w:t xml:space="preserve"> </w:t>
      </w:r>
      <w:r>
        <w:t xml:space="preserve">information </w:t>
      </w:r>
      <w:r w:rsidRPr="00066675">
        <w:t xml:space="preserve">is </w:t>
      </w:r>
      <w:r>
        <w:t xml:space="preserve">added. A “deemed to comply” method of compliance is also included for low volume products. </w:t>
      </w:r>
    </w:p>
    <w:p w14:paraId="47194BF1" w14:textId="77777777" w:rsidR="005875E7" w:rsidRDefault="005875E7" w:rsidP="00D6184A">
      <w:pPr>
        <w:pStyle w:val="E3Bullets"/>
        <w:numPr>
          <w:ilvl w:val="0"/>
          <w:numId w:val="0"/>
        </w:numPr>
        <w:jc w:val="both"/>
      </w:pPr>
    </w:p>
    <w:p w14:paraId="3083392A" w14:textId="77777777" w:rsidR="005875E7" w:rsidRPr="00066675" w:rsidRDefault="005875E7" w:rsidP="00D6184A">
      <w:pPr>
        <w:pStyle w:val="E3Bullets"/>
        <w:numPr>
          <w:ilvl w:val="0"/>
          <w:numId w:val="0"/>
        </w:numPr>
        <w:jc w:val="both"/>
      </w:pPr>
      <w:r w:rsidRPr="00066675">
        <w:rPr>
          <w:b/>
        </w:rPr>
        <w:t xml:space="preserve">Option 5 </w:t>
      </w:r>
      <w:r w:rsidRPr="00066675">
        <w:t>considers the alternative of non-regulatory intervention</w:t>
      </w:r>
      <w:r>
        <w:t xml:space="preserve"> in addition to BAU.</w:t>
      </w:r>
      <w:r w:rsidRPr="00604A58">
        <w:rPr>
          <w:rStyle w:val="FootnoteReference"/>
          <w:rFonts w:eastAsia="Times New Roman" w:cs="Arial"/>
          <w:bCs/>
          <w:lang w:val="en-NZ" w:eastAsia="en-NZ"/>
        </w:rPr>
        <w:footnoteReference w:id="31"/>
      </w:r>
    </w:p>
    <w:p w14:paraId="44CB6358" w14:textId="3C5E9BE8" w:rsidR="005875E7" w:rsidRPr="008B1E8F" w:rsidRDefault="005875E7" w:rsidP="00497702">
      <w:pPr>
        <w:pStyle w:val="E3Bullets"/>
        <w:numPr>
          <w:ilvl w:val="0"/>
          <w:numId w:val="0"/>
        </w:numPr>
        <w:contextualSpacing w:val="0"/>
        <w:jc w:val="both"/>
        <w:rPr>
          <w:b/>
          <w:noProof/>
        </w:rPr>
      </w:pPr>
      <w:r w:rsidRPr="00066675">
        <w:t xml:space="preserve">The options are summarised in </w:t>
      </w:r>
      <w:r w:rsidRPr="00A9678F">
        <w:rPr>
          <w:b/>
        </w:rPr>
        <w:fldChar w:fldCharType="begin"/>
      </w:r>
      <w:r w:rsidRPr="0009059E">
        <w:rPr>
          <w:b/>
        </w:rPr>
        <w:instrText xml:space="preserve"> REF _Ref449960435 \h  \* MERGEFORMAT </w:instrText>
      </w:r>
      <w:r w:rsidRPr="00A9678F">
        <w:rPr>
          <w:b/>
        </w:rPr>
      </w:r>
      <w:r w:rsidRPr="00A9678F">
        <w:rPr>
          <w:b/>
        </w:rPr>
        <w:fldChar w:fldCharType="separate"/>
      </w:r>
      <w:r w:rsidR="00D51B4B" w:rsidRPr="00D51B4B">
        <w:rPr>
          <w:b/>
          <w:noProof/>
        </w:rPr>
        <w:t>Table</w:t>
      </w:r>
      <w:r w:rsidR="00D51B4B" w:rsidRPr="00D51B4B">
        <w:rPr>
          <w:b/>
          <w:sz w:val="22"/>
          <w:szCs w:val="22"/>
        </w:rPr>
        <w:t xml:space="preserve"> 3</w:t>
      </w:r>
      <w:r w:rsidRPr="00A9678F">
        <w:rPr>
          <w:b/>
        </w:rPr>
        <w:fldChar w:fldCharType="end"/>
      </w:r>
      <w:r w:rsidRPr="008B1E8F">
        <w:rPr>
          <w:b/>
        </w:rPr>
        <w:t xml:space="preserve"> </w:t>
      </w:r>
      <w:r w:rsidRPr="008B1E8F">
        <w:t>below.</w:t>
      </w:r>
    </w:p>
    <w:p w14:paraId="49AF030E" w14:textId="0811901E" w:rsidR="005875E7" w:rsidRPr="004C3E41" w:rsidRDefault="005875E7" w:rsidP="00497702">
      <w:pPr>
        <w:pStyle w:val="E3TableTitles"/>
        <w:spacing w:before="120"/>
        <w:jc w:val="both"/>
      </w:pPr>
      <w:bookmarkStart w:id="122" w:name="_Ref449960435"/>
      <w:bookmarkStart w:id="123" w:name="_Toc449708959"/>
      <w:bookmarkStart w:id="124" w:name="_Ref449960375"/>
      <w:bookmarkStart w:id="125" w:name="_Ref449960379"/>
      <w:bookmarkStart w:id="126" w:name="_Toc449968523"/>
      <w:bookmarkStart w:id="127" w:name="_Toc494142453"/>
      <w:bookmarkStart w:id="128" w:name="_Toc500159653"/>
      <w:r w:rsidRPr="004C3E41">
        <w:t xml:space="preserve">Table </w:t>
      </w:r>
      <w:r w:rsidRPr="004C3E41">
        <w:fldChar w:fldCharType="begin"/>
      </w:r>
      <w:r w:rsidRPr="004C3E41">
        <w:instrText xml:space="preserve"> SEQ Table \* ARABIC </w:instrText>
      </w:r>
      <w:r w:rsidRPr="004C3E41">
        <w:fldChar w:fldCharType="separate"/>
      </w:r>
      <w:r w:rsidR="00D51B4B">
        <w:rPr>
          <w:noProof/>
        </w:rPr>
        <w:t>3</w:t>
      </w:r>
      <w:r w:rsidRPr="004C3E41">
        <w:fldChar w:fldCharType="end"/>
      </w:r>
      <w:bookmarkEnd w:id="122"/>
      <w:r w:rsidRPr="004C3E41">
        <w:t>: Summary</w:t>
      </w:r>
      <w:bookmarkEnd w:id="123"/>
      <w:bookmarkEnd w:id="124"/>
      <w:bookmarkEnd w:id="125"/>
      <w:bookmarkEnd w:id="126"/>
      <w:r w:rsidRPr="004C3E41">
        <w:t xml:space="preserve"> of policy options</w:t>
      </w:r>
      <w:bookmarkEnd w:id="127"/>
      <w:bookmarkEnd w:id="128"/>
    </w:p>
    <w:tbl>
      <w:tblPr>
        <w:tblpPr w:leftFromText="180" w:rightFromText="180" w:vertAnchor="text" w:horzAnchor="margin" w:tblpY="158"/>
        <w:tblOverlap w:val="never"/>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1369"/>
        <w:gridCol w:w="1417"/>
        <w:gridCol w:w="1276"/>
        <w:gridCol w:w="1276"/>
        <w:gridCol w:w="1276"/>
      </w:tblGrid>
      <w:tr w:rsidR="005875E7" w:rsidRPr="00C30B82" w14:paraId="10C01DD4" w14:textId="77777777" w:rsidTr="005875E7">
        <w:trPr>
          <w:trHeight w:val="397"/>
        </w:trPr>
        <w:tc>
          <w:tcPr>
            <w:tcW w:w="3200" w:type="dxa"/>
            <w:shd w:val="clear" w:color="000000" w:fill="000000"/>
            <w:vAlign w:val="center"/>
            <w:hideMark/>
          </w:tcPr>
          <w:p w14:paraId="5A1512FD" w14:textId="77777777" w:rsidR="005875E7" w:rsidRPr="004C3DDD" w:rsidRDefault="005875E7" w:rsidP="005875E7">
            <w:pPr>
              <w:spacing w:after="0" w:line="240" w:lineRule="auto"/>
              <w:rPr>
                <w:rFonts w:ascii="Helvetica" w:eastAsia="Times New Roman" w:hAnsi="Helvetica" w:cs="Helvetica"/>
                <w:b/>
                <w:color w:val="FFFFFF"/>
                <w:sz w:val="15"/>
                <w:szCs w:val="15"/>
                <w:lang w:val="en-NZ" w:eastAsia="en-NZ"/>
              </w:rPr>
            </w:pPr>
            <w:r w:rsidRPr="004C3DDD">
              <w:rPr>
                <w:rFonts w:ascii="Helvetica" w:eastAsia="Times New Roman" w:hAnsi="Helvetica" w:cs="Helvetica"/>
                <w:b/>
                <w:color w:val="FFFFFF"/>
                <w:sz w:val="15"/>
                <w:szCs w:val="15"/>
                <w:lang w:val="en-NZ" w:eastAsia="en-NZ"/>
              </w:rPr>
              <w:t>Option</w:t>
            </w:r>
          </w:p>
        </w:tc>
        <w:tc>
          <w:tcPr>
            <w:tcW w:w="1369" w:type="dxa"/>
            <w:shd w:val="clear" w:color="auto" w:fill="auto"/>
            <w:vAlign w:val="center"/>
            <w:hideMark/>
          </w:tcPr>
          <w:p w14:paraId="75866B1E" w14:textId="77777777" w:rsidR="005875E7" w:rsidRPr="004C3DDD" w:rsidRDefault="005875E7" w:rsidP="005875E7">
            <w:pPr>
              <w:spacing w:after="0" w:line="240" w:lineRule="auto"/>
              <w:rPr>
                <w:rFonts w:ascii="Helvetica" w:eastAsia="Times New Roman" w:hAnsi="Helvetica" w:cs="Helvetica"/>
                <w:b/>
                <w:color w:val="000000"/>
                <w:sz w:val="15"/>
                <w:szCs w:val="15"/>
                <w:lang w:val="en-NZ" w:eastAsia="en-NZ"/>
              </w:rPr>
            </w:pPr>
            <w:r w:rsidRPr="004C3DDD">
              <w:rPr>
                <w:rFonts w:ascii="Helvetica" w:eastAsia="Times New Roman" w:hAnsi="Helvetica" w:cs="Helvetica"/>
                <w:b/>
                <w:color w:val="000000"/>
                <w:sz w:val="15"/>
                <w:szCs w:val="15"/>
                <w:lang w:val="en-NZ" w:eastAsia="en-NZ"/>
              </w:rPr>
              <w:t>Option 1 – BAU</w:t>
            </w:r>
          </w:p>
        </w:tc>
        <w:tc>
          <w:tcPr>
            <w:tcW w:w="1417" w:type="dxa"/>
            <w:shd w:val="clear" w:color="000000" w:fill="EEECE1"/>
            <w:vAlign w:val="center"/>
            <w:hideMark/>
          </w:tcPr>
          <w:p w14:paraId="40C85DBA" w14:textId="77777777" w:rsidR="005875E7" w:rsidRPr="004C3DDD" w:rsidRDefault="005875E7" w:rsidP="005875E7">
            <w:pPr>
              <w:spacing w:after="0" w:line="240" w:lineRule="auto"/>
              <w:rPr>
                <w:rFonts w:ascii="Helvetica" w:eastAsia="Times New Roman" w:hAnsi="Helvetica" w:cs="Helvetica"/>
                <w:b/>
                <w:color w:val="000000"/>
                <w:sz w:val="15"/>
                <w:szCs w:val="15"/>
                <w:lang w:val="en-NZ" w:eastAsia="en-NZ"/>
              </w:rPr>
            </w:pPr>
            <w:r w:rsidRPr="004C3DDD">
              <w:rPr>
                <w:rFonts w:ascii="Helvetica" w:eastAsia="Times New Roman" w:hAnsi="Helvetica" w:cs="Helvetica"/>
                <w:b/>
                <w:color w:val="000000"/>
                <w:sz w:val="15"/>
                <w:szCs w:val="15"/>
                <w:lang w:val="en-NZ" w:eastAsia="en-NZ"/>
              </w:rPr>
              <w:t>Option 2 –EN and ISO test methods,    AU/NZ MEPS 10%,</w:t>
            </w:r>
          </w:p>
          <w:p w14:paraId="61C07DE9" w14:textId="77777777" w:rsidR="005875E7" w:rsidRPr="004C3DDD" w:rsidRDefault="005875E7" w:rsidP="005875E7">
            <w:pPr>
              <w:spacing w:after="0" w:line="240" w:lineRule="auto"/>
              <w:rPr>
                <w:rFonts w:ascii="Helvetica" w:eastAsia="Times New Roman" w:hAnsi="Helvetica" w:cs="Helvetica"/>
                <w:b/>
                <w:color w:val="000000"/>
                <w:sz w:val="15"/>
                <w:szCs w:val="15"/>
                <w:lang w:val="en-NZ" w:eastAsia="en-NZ"/>
              </w:rPr>
            </w:pPr>
            <w:r w:rsidRPr="004C3DDD">
              <w:rPr>
                <w:rFonts w:ascii="Helvetica" w:eastAsia="Times New Roman" w:hAnsi="Helvetica" w:cs="Helvetica"/>
                <w:b/>
                <w:color w:val="000000"/>
                <w:sz w:val="15"/>
                <w:szCs w:val="15"/>
                <w:lang w:val="en-NZ" w:eastAsia="en-NZ"/>
              </w:rPr>
              <w:t xml:space="preserve">Vol labelling  </w:t>
            </w:r>
          </w:p>
        </w:tc>
        <w:tc>
          <w:tcPr>
            <w:tcW w:w="1276" w:type="dxa"/>
            <w:shd w:val="clear" w:color="000000" w:fill="EEECE1"/>
            <w:vAlign w:val="center"/>
          </w:tcPr>
          <w:p w14:paraId="30AB4F94" w14:textId="77777777" w:rsidR="005875E7" w:rsidRPr="004C3DDD" w:rsidRDefault="005875E7" w:rsidP="005875E7">
            <w:pPr>
              <w:spacing w:after="0" w:line="240" w:lineRule="auto"/>
              <w:rPr>
                <w:rFonts w:ascii="Helvetica" w:eastAsia="Times New Roman" w:hAnsi="Helvetica" w:cs="Helvetica"/>
                <w:b/>
                <w:color w:val="000000"/>
                <w:sz w:val="15"/>
                <w:szCs w:val="15"/>
                <w:lang w:val="en-NZ" w:eastAsia="en-NZ"/>
              </w:rPr>
            </w:pPr>
            <w:r w:rsidRPr="004C3DDD">
              <w:rPr>
                <w:rFonts w:ascii="Helvetica" w:hAnsi="Helvetica" w:cs="Helvetica"/>
                <w:b/>
                <w:color w:val="000000"/>
                <w:sz w:val="15"/>
                <w:szCs w:val="15"/>
              </w:rPr>
              <w:t xml:space="preserve">Option 3 </w:t>
            </w:r>
            <w:r w:rsidRPr="004C3DDD">
              <w:rPr>
                <w:rFonts w:ascii="Helvetica" w:eastAsia="Times New Roman" w:hAnsi="Helvetica" w:cs="Helvetica"/>
                <w:b/>
                <w:color w:val="000000"/>
                <w:sz w:val="15"/>
                <w:szCs w:val="15"/>
                <w:lang w:val="en-NZ" w:eastAsia="en-NZ"/>
              </w:rPr>
              <w:t>– EN and ISO test methods,    AU/NZ MEPS 30%,</w:t>
            </w:r>
          </w:p>
          <w:p w14:paraId="3718A4E0" w14:textId="77777777" w:rsidR="005875E7" w:rsidRPr="004C3DDD" w:rsidRDefault="005875E7" w:rsidP="005875E7">
            <w:pPr>
              <w:spacing w:after="0" w:line="240" w:lineRule="auto"/>
              <w:rPr>
                <w:rFonts w:ascii="Helvetica" w:eastAsia="Times New Roman" w:hAnsi="Helvetica" w:cs="Helvetica"/>
                <w:b/>
                <w:color w:val="000000"/>
                <w:sz w:val="15"/>
                <w:szCs w:val="15"/>
                <w:lang w:val="en-NZ" w:eastAsia="en-NZ"/>
              </w:rPr>
            </w:pPr>
            <w:r w:rsidRPr="004C3DDD">
              <w:rPr>
                <w:rFonts w:ascii="Helvetica" w:eastAsia="Times New Roman" w:hAnsi="Helvetica" w:cs="Helvetica"/>
                <w:b/>
                <w:color w:val="000000"/>
                <w:sz w:val="15"/>
                <w:szCs w:val="15"/>
                <w:lang w:val="en-NZ" w:eastAsia="en-NZ"/>
              </w:rPr>
              <w:t xml:space="preserve">Vol labelling  </w:t>
            </w:r>
          </w:p>
        </w:tc>
        <w:tc>
          <w:tcPr>
            <w:tcW w:w="1276" w:type="dxa"/>
            <w:shd w:val="clear" w:color="000000" w:fill="EEECE1"/>
            <w:vAlign w:val="center"/>
            <w:hideMark/>
          </w:tcPr>
          <w:p w14:paraId="477A037C" w14:textId="77777777" w:rsidR="005875E7" w:rsidRPr="004C3DDD" w:rsidRDefault="005875E7" w:rsidP="005875E7">
            <w:pPr>
              <w:spacing w:after="0" w:line="240" w:lineRule="auto"/>
              <w:rPr>
                <w:rFonts w:ascii="Helvetica" w:eastAsia="Times New Roman" w:hAnsi="Helvetica" w:cs="Helvetica"/>
                <w:b/>
                <w:color w:val="000000"/>
                <w:sz w:val="15"/>
                <w:szCs w:val="15"/>
                <w:lang w:val="en-NZ" w:eastAsia="en-NZ"/>
              </w:rPr>
            </w:pPr>
            <w:r w:rsidRPr="004C3DDD">
              <w:rPr>
                <w:rFonts w:ascii="Helvetica" w:eastAsia="Times New Roman" w:hAnsi="Helvetica" w:cs="Helvetica"/>
                <w:b/>
                <w:color w:val="000000"/>
                <w:sz w:val="15"/>
                <w:szCs w:val="15"/>
                <w:lang w:val="en-NZ" w:eastAsia="en-NZ"/>
              </w:rPr>
              <w:t>Option 4 (Modified) –  EN and ISO test methods,  EC  MEPS,  Vol labelling</w:t>
            </w:r>
          </w:p>
        </w:tc>
        <w:tc>
          <w:tcPr>
            <w:tcW w:w="1276" w:type="dxa"/>
            <w:shd w:val="clear" w:color="000000" w:fill="EEECE1"/>
          </w:tcPr>
          <w:p w14:paraId="2EE48B48" w14:textId="77777777" w:rsidR="005875E7" w:rsidRPr="004C3DDD" w:rsidRDefault="005875E7" w:rsidP="005875E7">
            <w:pPr>
              <w:spacing w:after="0" w:line="240" w:lineRule="auto"/>
              <w:rPr>
                <w:rFonts w:ascii="Helvetica" w:eastAsia="Times New Roman" w:hAnsi="Helvetica" w:cs="Helvetica"/>
                <w:b/>
                <w:color w:val="000000"/>
                <w:sz w:val="15"/>
                <w:szCs w:val="15"/>
                <w:lang w:val="en-NZ" w:eastAsia="en-NZ"/>
              </w:rPr>
            </w:pPr>
            <w:r w:rsidRPr="004C3DDD">
              <w:rPr>
                <w:rFonts w:ascii="Helvetica" w:eastAsia="Times New Roman" w:hAnsi="Helvetica" w:cs="Helvetica"/>
                <w:b/>
                <w:color w:val="000000"/>
                <w:sz w:val="15"/>
                <w:szCs w:val="15"/>
                <w:lang w:val="en-NZ" w:eastAsia="en-NZ"/>
              </w:rPr>
              <w:t>Option 5 – non-regulatory options</w:t>
            </w:r>
          </w:p>
        </w:tc>
      </w:tr>
      <w:tr w:rsidR="005875E7" w:rsidRPr="00C30B82" w14:paraId="1FC621A2" w14:textId="77777777" w:rsidTr="005875E7">
        <w:trPr>
          <w:trHeight w:val="397"/>
        </w:trPr>
        <w:tc>
          <w:tcPr>
            <w:tcW w:w="3200" w:type="dxa"/>
            <w:shd w:val="clear" w:color="000000" w:fill="000000"/>
            <w:vAlign w:val="center"/>
            <w:hideMark/>
          </w:tcPr>
          <w:p w14:paraId="35450B3C" w14:textId="77777777" w:rsidR="005875E7" w:rsidRPr="004C3DDD" w:rsidRDefault="005875E7" w:rsidP="005875E7">
            <w:pPr>
              <w:spacing w:after="0" w:line="240" w:lineRule="auto"/>
              <w:rPr>
                <w:rFonts w:ascii="Helvetica" w:eastAsia="Times New Roman" w:hAnsi="Helvetica" w:cs="Helvetica"/>
                <w:b/>
                <w:color w:val="FFFFFF"/>
                <w:sz w:val="15"/>
                <w:szCs w:val="15"/>
                <w:lang w:val="en-NZ" w:eastAsia="en-NZ"/>
              </w:rPr>
            </w:pPr>
            <w:r w:rsidRPr="004C3DDD">
              <w:rPr>
                <w:rFonts w:ascii="Helvetica" w:eastAsia="Times New Roman" w:hAnsi="Helvetica" w:cs="Helvetica"/>
                <w:b/>
                <w:color w:val="FFFFFF"/>
                <w:sz w:val="15"/>
                <w:szCs w:val="15"/>
                <w:lang w:val="en-NZ" w:eastAsia="en-NZ"/>
              </w:rPr>
              <w:t>Move to International ISO and EN test methods</w:t>
            </w:r>
          </w:p>
        </w:tc>
        <w:tc>
          <w:tcPr>
            <w:tcW w:w="1369" w:type="dxa"/>
            <w:shd w:val="clear" w:color="auto" w:fill="auto"/>
            <w:vAlign w:val="center"/>
            <w:hideMark/>
          </w:tcPr>
          <w:p w14:paraId="34CCBFA2" w14:textId="77777777" w:rsidR="005875E7" w:rsidRPr="00C30B82" w:rsidRDefault="005875E7" w:rsidP="005875E7">
            <w:pPr>
              <w:spacing w:after="0" w:line="240" w:lineRule="auto"/>
              <w:jc w:val="center"/>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417" w:type="dxa"/>
            <w:shd w:val="clear" w:color="auto" w:fill="auto"/>
            <w:vAlign w:val="center"/>
            <w:hideMark/>
          </w:tcPr>
          <w:p w14:paraId="2DE08497" w14:textId="77777777" w:rsidR="005875E7" w:rsidRPr="00C30B82" w:rsidRDefault="005875E7" w:rsidP="005875E7">
            <w:pPr>
              <w:spacing w:after="0" w:line="240" w:lineRule="auto"/>
              <w:jc w:val="center"/>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276" w:type="dxa"/>
            <w:vAlign w:val="center"/>
          </w:tcPr>
          <w:p w14:paraId="194B6D6C" w14:textId="77777777" w:rsidR="005875E7" w:rsidRPr="00C30B82" w:rsidRDefault="005875E7" w:rsidP="005875E7">
            <w:pPr>
              <w:spacing w:after="0" w:line="240" w:lineRule="auto"/>
              <w:jc w:val="center"/>
              <w:rPr>
                <w:rFonts w:ascii="Wingdings" w:eastAsia="Times New Roman" w:hAnsi="Wingdings" w:cs="Calibri"/>
                <w:b/>
                <w:bCs/>
                <w:color w:val="000000"/>
                <w:sz w:val="15"/>
                <w:szCs w:val="15"/>
                <w:lang w:val="en-NZ" w:eastAsia="en-NZ"/>
              </w:rPr>
            </w:pPr>
            <w:r>
              <w:rPr>
                <w:rFonts w:ascii="Wingdings" w:hAnsi="Wingdings" w:cs="Calibri"/>
                <w:b/>
                <w:bCs/>
                <w:color w:val="000000"/>
                <w:sz w:val="15"/>
                <w:szCs w:val="15"/>
              </w:rPr>
              <w:t></w:t>
            </w:r>
          </w:p>
        </w:tc>
        <w:tc>
          <w:tcPr>
            <w:tcW w:w="1276" w:type="dxa"/>
            <w:shd w:val="clear" w:color="auto" w:fill="auto"/>
            <w:vAlign w:val="center"/>
            <w:hideMark/>
          </w:tcPr>
          <w:p w14:paraId="7DB19688" w14:textId="77777777" w:rsidR="005875E7" w:rsidRPr="00C30B82" w:rsidRDefault="005875E7" w:rsidP="005875E7">
            <w:pPr>
              <w:spacing w:after="0" w:line="240" w:lineRule="auto"/>
              <w:jc w:val="center"/>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276" w:type="dxa"/>
            <w:vAlign w:val="center"/>
          </w:tcPr>
          <w:p w14:paraId="20E8D87E" w14:textId="77777777" w:rsidR="005875E7" w:rsidRPr="00C30B82" w:rsidRDefault="005875E7" w:rsidP="005875E7">
            <w:pPr>
              <w:spacing w:after="0" w:line="240" w:lineRule="auto"/>
              <w:jc w:val="center"/>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r>
      <w:tr w:rsidR="005875E7" w:rsidRPr="00C30B82" w14:paraId="33EDBEBE" w14:textId="77777777" w:rsidTr="005875E7">
        <w:trPr>
          <w:trHeight w:val="397"/>
        </w:trPr>
        <w:tc>
          <w:tcPr>
            <w:tcW w:w="3200" w:type="dxa"/>
            <w:shd w:val="clear" w:color="000000" w:fill="000000"/>
            <w:vAlign w:val="center"/>
            <w:hideMark/>
          </w:tcPr>
          <w:p w14:paraId="0F04FEC0" w14:textId="77777777" w:rsidR="005875E7" w:rsidRPr="004C3DDD" w:rsidRDefault="005875E7" w:rsidP="005875E7">
            <w:pPr>
              <w:spacing w:after="0" w:line="240" w:lineRule="auto"/>
              <w:rPr>
                <w:rFonts w:ascii="Helvetica" w:eastAsia="Times New Roman" w:hAnsi="Helvetica" w:cs="Helvetica"/>
                <w:b/>
                <w:color w:val="FFFFFF"/>
                <w:sz w:val="15"/>
                <w:szCs w:val="15"/>
                <w:lang w:val="en-NZ" w:eastAsia="en-NZ"/>
              </w:rPr>
            </w:pPr>
            <w:r w:rsidRPr="004C3DDD">
              <w:rPr>
                <w:rFonts w:ascii="Helvetica" w:eastAsia="Times New Roman" w:hAnsi="Helvetica" w:cs="Helvetica"/>
                <w:b/>
                <w:color w:val="FFFFFF"/>
                <w:sz w:val="15"/>
                <w:szCs w:val="15"/>
                <w:lang w:val="en-NZ" w:eastAsia="en-NZ"/>
              </w:rPr>
              <w:t>New AU/NZ MEPS levels</w:t>
            </w:r>
          </w:p>
        </w:tc>
        <w:tc>
          <w:tcPr>
            <w:tcW w:w="1369" w:type="dxa"/>
            <w:shd w:val="clear" w:color="auto" w:fill="auto"/>
            <w:vAlign w:val="center"/>
            <w:hideMark/>
          </w:tcPr>
          <w:p w14:paraId="4DADB662" w14:textId="77777777" w:rsidR="005875E7" w:rsidRPr="00C30B82" w:rsidRDefault="005875E7" w:rsidP="005875E7">
            <w:pPr>
              <w:spacing w:after="0" w:line="240" w:lineRule="auto"/>
              <w:jc w:val="center"/>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417" w:type="dxa"/>
            <w:shd w:val="clear" w:color="auto" w:fill="auto"/>
            <w:vAlign w:val="center"/>
            <w:hideMark/>
          </w:tcPr>
          <w:p w14:paraId="1C3AB501" w14:textId="77777777" w:rsidR="005875E7" w:rsidRPr="00C30B82" w:rsidRDefault="005875E7" w:rsidP="005875E7">
            <w:pPr>
              <w:spacing w:after="0" w:line="240" w:lineRule="auto"/>
              <w:jc w:val="center"/>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276" w:type="dxa"/>
            <w:vAlign w:val="center"/>
          </w:tcPr>
          <w:p w14:paraId="133EB451" w14:textId="77777777" w:rsidR="005875E7" w:rsidRPr="00C30B82" w:rsidRDefault="005875E7" w:rsidP="005875E7">
            <w:pPr>
              <w:spacing w:after="0" w:line="240" w:lineRule="auto"/>
              <w:jc w:val="center"/>
              <w:rPr>
                <w:rFonts w:ascii="Wingdings" w:eastAsia="Times New Roman" w:hAnsi="Wingdings" w:cs="Calibri"/>
                <w:b/>
                <w:bCs/>
                <w:color w:val="000000"/>
                <w:sz w:val="15"/>
                <w:szCs w:val="15"/>
                <w:lang w:val="en-NZ" w:eastAsia="en-NZ"/>
              </w:rPr>
            </w:pPr>
            <w:r>
              <w:rPr>
                <w:rFonts w:ascii="Wingdings" w:hAnsi="Wingdings" w:cs="Calibri"/>
                <w:b/>
                <w:bCs/>
                <w:color w:val="000000"/>
                <w:sz w:val="15"/>
                <w:szCs w:val="15"/>
              </w:rPr>
              <w:t></w:t>
            </w:r>
          </w:p>
        </w:tc>
        <w:tc>
          <w:tcPr>
            <w:tcW w:w="1276" w:type="dxa"/>
            <w:shd w:val="clear" w:color="auto" w:fill="auto"/>
            <w:vAlign w:val="center"/>
            <w:hideMark/>
          </w:tcPr>
          <w:p w14:paraId="67984FCE" w14:textId="77777777" w:rsidR="005875E7" w:rsidRPr="00C30B82" w:rsidRDefault="005875E7" w:rsidP="005875E7">
            <w:pPr>
              <w:spacing w:after="0" w:line="240" w:lineRule="auto"/>
              <w:jc w:val="center"/>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276" w:type="dxa"/>
            <w:vAlign w:val="center"/>
          </w:tcPr>
          <w:p w14:paraId="593A7D82" w14:textId="77777777" w:rsidR="005875E7" w:rsidRPr="00C30B82" w:rsidRDefault="005875E7" w:rsidP="005875E7">
            <w:pPr>
              <w:spacing w:after="0" w:line="240" w:lineRule="auto"/>
              <w:jc w:val="center"/>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r>
      <w:tr w:rsidR="005875E7" w:rsidRPr="00C30B82" w14:paraId="5F25181B" w14:textId="77777777" w:rsidTr="005875E7">
        <w:trPr>
          <w:trHeight w:val="397"/>
        </w:trPr>
        <w:tc>
          <w:tcPr>
            <w:tcW w:w="3200" w:type="dxa"/>
            <w:shd w:val="clear" w:color="000000" w:fill="000000"/>
            <w:vAlign w:val="center"/>
            <w:hideMark/>
          </w:tcPr>
          <w:p w14:paraId="42BB42AF" w14:textId="77777777" w:rsidR="005875E7" w:rsidRPr="004C3DDD" w:rsidRDefault="005875E7" w:rsidP="005875E7">
            <w:pPr>
              <w:spacing w:after="0" w:line="240" w:lineRule="auto"/>
              <w:rPr>
                <w:rFonts w:ascii="Helvetica" w:eastAsia="Times New Roman" w:hAnsi="Helvetica" w:cs="Helvetica"/>
                <w:b/>
                <w:color w:val="FFFFFF"/>
                <w:sz w:val="15"/>
                <w:szCs w:val="15"/>
                <w:lang w:val="en-NZ" w:eastAsia="en-NZ"/>
              </w:rPr>
            </w:pPr>
            <w:r w:rsidRPr="004C3DDD">
              <w:rPr>
                <w:rFonts w:ascii="Helvetica" w:eastAsia="Times New Roman" w:hAnsi="Helvetica" w:cs="Helvetica"/>
                <w:b/>
                <w:color w:val="FFFFFF"/>
                <w:sz w:val="15"/>
                <w:szCs w:val="15"/>
                <w:lang w:val="en-NZ" w:eastAsia="en-NZ"/>
              </w:rPr>
              <w:t>EC MEPS levels</w:t>
            </w:r>
          </w:p>
        </w:tc>
        <w:tc>
          <w:tcPr>
            <w:tcW w:w="1369" w:type="dxa"/>
            <w:shd w:val="clear" w:color="auto" w:fill="auto"/>
            <w:vAlign w:val="center"/>
            <w:hideMark/>
          </w:tcPr>
          <w:p w14:paraId="24FA0E3D" w14:textId="77777777" w:rsidR="005875E7" w:rsidRPr="00C30B82" w:rsidRDefault="005875E7" w:rsidP="005875E7">
            <w:pPr>
              <w:spacing w:after="0" w:line="240" w:lineRule="auto"/>
              <w:jc w:val="center"/>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417" w:type="dxa"/>
            <w:shd w:val="clear" w:color="auto" w:fill="auto"/>
            <w:vAlign w:val="center"/>
            <w:hideMark/>
          </w:tcPr>
          <w:p w14:paraId="28010BC2" w14:textId="77777777" w:rsidR="005875E7" w:rsidRPr="00C30B82" w:rsidRDefault="005875E7" w:rsidP="005875E7">
            <w:pPr>
              <w:spacing w:after="0" w:line="240" w:lineRule="auto"/>
              <w:jc w:val="center"/>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276" w:type="dxa"/>
            <w:vAlign w:val="center"/>
          </w:tcPr>
          <w:p w14:paraId="4B2CE3E6" w14:textId="77777777" w:rsidR="005875E7" w:rsidRPr="00C30B82" w:rsidRDefault="005875E7" w:rsidP="005875E7">
            <w:pPr>
              <w:spacing w:after="0" w:line="240" w:lineRule="auto"/>
              <w:jc w:val="center"/>
              <w:rPr>
                <w:rFonts w:ascii="Wingdings" w:eastAsia="Times New Roman" w:hAnsi="Wingdings" w:cs="Calibri"/>
                <w:b/>
                <w:bCs/>
                <w:color w:val="000000"/>
                <w:sz w:val="15"/>
                <w:szCs w:val="15"/>
                <w:lang w:val="en-NZ" w:eastAsia="en-NZ"/>
              </w:rPr>
            </w:pPr>
            <w:r>
              <w:rPr>
                <w:rFonts w:ascii="Wingdings" w:hAnsi="Wingdings" w:cs="Calibri"/>
                <w:b/>
                <w:bCs/>
                <w:color w:val="000000"/>
                <w:sz w:val="15"/>
                <w:szCs w:val="15"/>
              </w:rPr>
              <w:t></w:t>
            </w:r>
          </w:p>
        </w:tc>
        <w:tc>
          <w:tcPr>
            <w:tcW w:w="1276" w:type="dxa"/>
            <w:shd w:val="clear" w:color="auto" w:fill="auto"/>
            <w:vAlign w:val="center"/>
            <w:hideMark/>
          </w:tcPr>
          <w:p w14:paraId="142FC0E7" w14:textId="77777777" w:rsidR="005875E7" w:rsidRPr="00C30B82" w:rsidRDefault="005875E7" w:rsidP="005875E7">
            <w:pPr>
              <w:spacing w:after="0" w:line="240" w:lineRule="auto"/>
              <w:jc w:val="center"/>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276" w:type="dxa"/>
            <w:vAlign w:val="center"/>
          </w:tcPr>
          <w:p w14:paraId="0708294D" w14:textId="77777777" w:rsidR="005875E7" w:rsidRPr="00C30B82" w:rsidRDefault="005875E7" w:rsidP="005875E7">
            <w:pPr>
              <w:spacing w:after="0" w:line="240" w:lineRule="auto"/>
              <w:jc w:val="center"/>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r>
      <w:tr w:rsidR="005875E7" w:rsidRPr="00C30B82" w14:paraId="5248A699" w14:textId="77777777" w:rsidTr="005875E7">
        <w:trPr>
          <w:trHeight w:val="397"/>
        </w:trPr>
        <w:tc>
          <w:tcPr>
            <w:tcW w:w="3200" w:type="dxa"/>
            <w:shd w:val="clear" w:color="000000" w:fill="000000"/>
            <w:vAlign w:val="center"/>
          </w:tcPr>
          <w:p w14:paraId="2D1AB94C" w14:textId="77777777" w:rsidR="005875E7" w:rsidRPr="004C3DDD" w:rsidRDefault="005875E7" w:rsidP="005875E7">
            <w:pPr>
              <w:spacing w:after="0" w:line="240" w:lineRule="auto"/>
              <w:rPr>
                <w:rFonts w:ascii="Helvetica" w:eastAsia="Times New Roman" w:hAnsi="Helvetica" w:cs="Helvetica"/>
                <w:b/>
                <w:color w:val="FFFFFF"/>
                <w:sz w:val="15"/>
                <w:szCs w:val="15"/>
                <w:lang w:val="en-NZ" w:eastAsia="en-NZ"/>
              </w:rPr>
            </w:pPr>
            <w:r w:rsidRPr="004C3DDD">
              <w:rPr>
                <w:rFonts w:ascii="Helvetica" w:eastAsia="Times New Roman" w:hAnsi="Helvetica" w:cs="Helvetica"/>
                <w:b/>
                <w:color w:val="FFFFFF"/>
                <w:sz w:val="15"/>
                <w:szCs w:val="15"/>
                <w:lang w:val="en-NZ" w:eastAsia="en-NZ"/>
              </w:rPr>
              <w:t>Deemed to comply method for low volume products</w:t>
            </w:r>
          </w:p>
        </w:tc>
        <w:tc>
          <w:tcPr>
            <w:tcW w:w="1369" w:type="dxa"/>
            <w:shd w:val="clear" w:color="auto" w:fill="auto"/>
            <w:vAlign w:val="center"/>
          </w:tcPr>
          <w:p w14:paraId="75436B41" w14:textId="77777777" w:rsidR="005875E7" w:rsidRPr="00C30B82" w:rsidRDefault="005875E7" w:rsidP="005875E7">
            <w:pPr>
              <w:spacing w:after="0" w:line="240" w:lineRule="auto"/>
              <w:jc w:val="center"/>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417" w:type="dxa"/>
            <w:shd w:val="clear" w:color="auto" w:fill="auto"/>
            <w:vAlign w:val="center"/>
          </w:tcPr>
          <w:p w14:paraId="367683DE" w14:textId="77777777" w:rsidR="005875E7" w:rsidRPr="00C30B82" w:rsidRDefault="005875E7" w:rsidP="005875E7">
            <w:pPr>
              <w:spacing w:after="0" w:line="240" w:lineRule="auto"/>
              <w:jc w:val="center"/>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276" w:type="dxa"/>
            <w:vAlign w:val="center"/>
          </w:tcPr>
          <w:p w14:paraId="7BAD9ACF" w14:textId="77777777" w:rsidR="005875E7" w:rsidRDefault="005875E7" w:rsidP="005875E7">
            <w:pPr>
              <w:spacing w:after="0" w:line="240" w:lineRule="auto"/>
              <w:jc w:val="center"/>
              <w:rPr>
                <w:rFonts w:ascii="Wingdings" w:hAnsi="Wingdings" w:cs="Calibri"/>
                <w:b/>
                <w:bCs/>
                <w:color w:val="000000"/>
                <w:sz w:val="15"/>
                <w:szCs w:val="15"/>
              </w:rPr>
            </w:pPr>
            <w:r w:rsidRPr="00C30B82">
              <w:rPr>
                <w:rFonts w:ascii="Wingdings" w:eastAsia="Times New Roman" w:hAnsi="Wingdings" w:cs="Calibri"/>
                <w:b/>
                <w:bCs/>
                <w:color w:val="000000"/>
                <w:sz w:val="15"/>
                <w:szCs w:val="15"/>
                <w:lang w:val="en-NZ" w:eastAsia="en-NZ"/>
              </w:rPr>
              <w:t></w:t>
            </w:r>
          </w:p>
        </w:tc>
        <w:tc>
          <w:tcPr>
            <w:tcW w:w="1276" w:type="dxa"/>
            <w:shd w:val="clear" w:color="auto" w:fill="auto"/>
            <w:vAlign w:val="center"/>
          </w:tcPr>
          <w:p w14:paraId="4E18FC1F" w14:textId="77777777" w:rsidR="005875E7" w:rsidRPr="00C30B82" w:rsidRDefault="005875E7" w:rsidP="005875E7">
            <w:pPr>
              <w:spacing w:after="0" w:line="240" w:lineRule="auto"/>
              <w:jc w:val="center"/>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276" w:type="dxa"/>
            <w:vAlign w:val="center"/>
          </w:tcPr>
          <w:p w14:paraId="2F8D1418" w14:textId="77777777" w:rsidR="005875E7" w:rsidRPr="00C30B82" w:rsidRDefault="005875E7" w:rsidP="005875E7">
            <w:pPr>
              <w:spacing w:after="0" w:line="240" w:lineRule="auto"/>
              <w:jc w:val="center"/>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r>
      <w:tr w:rsidR="005875E7" w:rsidRPr="00C30B82" w14:paraId="44B26784" w14:textId="77777777" w:rsidTr="005875E7">
        <w:trPr>
          <w:trHeight w:val="397"/>
        </w:trPr>
        <w:tc>
          <w:tcPr>
            <w:tcW w:w="3200" w:type="dxa"/>
            <w:shd w:val="clear" w:color="000000" w:fill="000000"/>
            <w:vAlign w:val="center"/>
            <w:hideMark/>
          </w:tcPr>
          <w:p w14:paraId="482C192B" w14:textId="77777777" w:rsidR="005875E7" w:rsidRPr="004C3DDD" w:rsidRDefault="005875E7" w:rsidP="005875E7">
            <w:pPr>
              <w:spacing w:after="0" w:line="240" w:lineRule="auto"/>
              <w:rPr>
                <w:rFonts w:ascii="Helvetica" w:eastAsia="Times New Roman" w:hAnsi="Helvetica" w:cs="Helvetica"/>
                <w:b/>
                <w:color w:val="FFFFFF"/>
                <w:sz w:val="15"/>
                <w:szCs w:val="15"/>
                <w:lang w:val="en-NZ" w:eastAsia="en-NZ"/>
              </w:rPr>
            </w:pPr>
            <w:r w:rsidRPr="004C3DDD">
              <w:rPr>
                <w:rFonts w:ascii="Helvetica" w:eastAsia="Times New Roman" w:hAnsi="Helvetica" w:cs="Helvetica"/>
                <w:b/>
                <w:color w:val="FFFFFF"/>
                <w:sz w:val="15"/>
                <w:szCs w:val="15"/>
                <w:lang w:val="en-NZ" w:eastAsia="en-NZ"/>
              </w:rPr>
              <w:t>Online energy rating information</w:t>
            </w:r>
          </w:p>
        </w:tc>
        <w:tc>
          <w:tcPr>
            <w:tcW w:w="1369" w:type="dxa"/>
            <w:shd w:val="clear" w:color="auto" w:fill="auto"/>
            <w:vAlign w:val="center"/>
            <w:hideMark/>
          </w:tcPr>
          <w:p w14:paraId="5ECE5B70" w14:textId="77777777" w:rsidR="005875E7" w:rsidRPr="00C30B82" w:rsidRDefault="005875E7" w:rsidP="005875E7">
            <w:pPr>
              <w:spacing w:after="0" w:line="240" w:lineRule="auto"/>
              <w:jc w:val="center"/>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417" w:type="dxa"/>
            <w:shd w:val="clear" w:color="auto" w:fill="auto"/>
            <w:vAlign w:val="center"/>
            <w:hideMark/>
          </w:tcPr>
          <w:p w14:paraId="2D96C935" w14:textId="77777777" w:rsidR="005875E7" w:rsidRPr="00C30B82" w:rsidRDefault="005875E7" w:rsidP="005875E7">
            <w:pPr>
              <w:spacing w:after="0" w:line="240" w:lineRule="auto"/>
              <w:jc w:val="center"/>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276" w:type="dxa"/>
            <w:vAlign w:val="center"/>
          </w:tcPr>
          <w:p w14:paraId="0CB1B0DA" w14:textId="77777777" w:rsidR="005875E7" w:rsidRPr="00C30B82" w:rsidRDefault="005875E7" w:rsidP="005875E7">
            <w:pPr>
              <w:spacing w:after="0" w:line="240" w:lineRule="auto"/>
              <w:jc w:val="center"/>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276" w:type="dxa"/>
            <w:shd w:val="clear" w:color="auto" w:fill="auto"/>
            <w:vAlign w:val="center"/>
            <w:hideMark/>
          </w:tcPr>
          <w:p w14:paraId="17DA5052" w14:textId="77777777" w:rsidR="005875E7" w:rsidRPr="00C30B82" w:rsidRDefault="005875E7" w:rsidP="005875E7">
            <w:pPr>
              <w:spacing w:after="0" w:line="240" w:lineRule="auto"/>
              <w:jc w:val="center"/>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c>
          <w:tcPr>
            <w:tcW w:w="1276" w:type="dxa"/>
            <w:vAlign w:val="center"/>
          </w:tcPr>
          <w:p w14:paraId="2D482B50" w14:textId="77777777" w:rsidR="005875E7" w:rsidRPr="00C30B82" w:rsidRDefault="005875E7" w:rsidP="005875E7">
            <w:pPr>
              <w:spacing w:after="0" w:line="240" w:lineRule="auto"/>
              <w:jc w:val="center"/>
              <w:rPr>
                <w:rFonts w:ascii="Wingdings" w:eastAsia="Times New Roman" w:hAnsi="Wingdings" w:cs="Calibri"/>
                <w:b/>
                <w:bCs/>
                <w:color w:val="000000"/>
                <w:sz w:val="15"/>
                <w:szCs w:val="15"/>
                <w:lang w:val="en-NZ" w:eastAsia="en-NZ"/>
              </w:rPr>
            </w:pPr>
            <w:r w:rsidRPr="00C30B82">
              <w:rPr>
                <w:rFonts w:ascii="Wingdings" w:eastAsia="Times New Roman" w:hAnsi="Wingdings" w:cs="Calibri"/>
                <w:b/>
                <w:bCs/>
                <w:color w:val="000000"/>
                <w:sz w:val="15"/>
                <w:szCs w:val="15"/>
                <w:lang w:val="en-NZ" w:eastAsia="en-NZ"/>
              </w:rPr>
              <w:t></w:t>
            </w:r>
          </w:p>
        </w:tc>
      </w:tr>
      <w:tr w:rsidR="005875E7" w:rsidRPr="00C30B82" w14:paraId="35B4711F" w14:textId="77777777" w:rsidTr="005875E7">
        <w:trPr>
          <w:trHeight w:val="397"/>
        </w:trPr>
        <w:tc>
          <w:tcPr>
            <w:tcW w:w="3200" w:type="dxa"/>
            <w:shd w:val="clear" w:color="000000" w:fill="000000"/>
            <w:vAlign w:val="center"/>
            <w:hideMark/>
          </w:tcPr>
          <w:p w14:paraId="0B3A096D" w14:textId="77777777" w:rsidR="005875E7" w:rsidRPr="004C3DDD" w:rsidRDefault="005875E7" w:rsidP="005875E7">
            <w:pPr>
              <w:spacing w:after="0" w:line="240" w:lineRule="auto"/>
              <w:rPr>
                <w:rFonts w:ascii="Helvetica" w:eastAsia="Times New Roman" w:hAnsi="Helvetica" w:cs="Helvetica"/>
                <w:b/>
                <w:color w:val="FFFFFF"/>
                <w:sz w:val="15"/>
                <w:szCs w:val="15"/>
                <w:lang w:val="en-NZ" w:eastAsia="en-NZ"/>
              </w:rPr>
            </w:pPr>
            <w:r w:rsidRPr="004C3DDD">
              <w:rPr>
                <w:rFonts w:ascii="Helvetica" w:eastAsia="Times New Roman" w:hAnsi="Helvetica" w:cs="Helvetica"/>
                <w:b/>
                <w:color w:val="FFFFFF"/>
                <w:sz w:val="15"/>
                <w:szCs w:val="15"/>
                <w:lang w:val="en-NZ" w:eastAsia="en-NZ"/>
              </w:rPr>
              <w:t>Modelled date of implementation</w:t>
            </w:r>
          </w:p>
        </w:tc>
        <w:tc>
          <w:tcPr>
            <w:tcW w:w="1369" w:type="dxa"/>
            <w:shd w:val="clear" w:color="auto" w:fill="auto"/>
            <w:vAlign w:val="center"/>
            <w:hideMark/>
          </w:tcPr>
          <w:p w14:paraId="4C883F3D" w14:textId="77777777" w:rsidR="005875E7" w:rsidRPr="004C3DDD" w:rsidRDefault="005875E7" w:rsidP="005875E7">
            <w:pPr>
              <w:spacing w:after="0" w:line="240" w:lineRule="auto"/>
              <w:jc w:val="center"/>
              <w:rPr>
                <w:rFonts w:ascii="Helvetica" w:eastAsia="Times New Roman" w:hAnsi="Helvetica" w:cs="Helvetica"/>
                <w:b/>
                <w:color w:val="000000"/>
                <w:sz w:val="15"/>
                <w:szCs w:val="15"/>
                <w:lang w:val="en-NZ" w:eastAsia="en-NZ"/>
              </w:rPr>
            </w:pPr>
            <w:r w:rsidRPr="004C3DDD">
              <w:rPr>
                <w:rFonts w:ascii="Helvetica" w:eastAsia="Times New Roman" w:hAnsi="Helvetica" w:cs="Helvetica"/>
                <w:b/>
                <w:color w:val="000000"/>
                <w:sz w:val="15"/>
                <w:szCs w:val="15"/>
                <w:lang w:val="en-NZ" w:eastAsia="en-NZ"/>
              </w:rPr>
              <w:t>N/A</w:t>
            </w:r>
          </w:p>
        </w:tc>
        <w:tc>
          <w:tcPr>
            <w:tcW w:w="1417" w:type="dxa"/>
            <w:shd w:val="clear" w:color="auto" w:fill="auto"/>
            <w:vAlign w:val="center"/>
            <w:hideMark/>
          </w:tcPr>
          <w:p w14:paraId="21EEDA2F" w14:textId="77777777" w:rsidR="005875E7" w:rsidRPr="004C3DDD" w:rsidRDefault="005875E7" w:rsidP="005875E7">
            <w:pPr>
              <w:spacing w:after="0" w:line="240" w:lineRule="auto"/>
              <w:jc w:val="center"/>
              <w:rPr>
                <w:rFonts w:ascii="Helvetica" w:eastAsia="Times New Roman" w:hAnsi="Helvetica" w:cs="Helvetica"/>
                <w:b/>
                <w:color w:val="000000"/>
                <w:sz w:val="15"/>
                <w:szCs w:val="15"/>
                <w:lang w:val="en-NZ" w:eastAsia="en-NZ"/>
              </w:rPr>
            </w:pPr>
            <w:r w:rsidRPr="004C3DDD">
              <w:rPr>
                <w:rFonts w:ascii="Helvetica" w:eastAsia="Times New Roman" w:hAnsi="Helvetica" w:cs="Helvetica"/>
                <w:b/>
                <w:color w:val="000000"/>
                <w:sz w:val="15"/>
                <w:szCs w:val="15"/>
                <w:lang w:val="en-NZ" w:eastAsia="en-NZ"/>
              </w:rPr>
              <w:t>2019</w:t>
            </w:r>
          </w:p>
        </w:tc>
        <w:tc>
          <w:tcPr>
            <w:tcW w:w="1276" w:type="dxa"/>
            <w:vAlign w:val="center"/>
          </w:tcPr>
          <w:p w14:paraId="6334FA70" w14:textId="77777777" w:rsidR="005875E7" w:rsidRPr="004C3DDD" w:rsidRDefault="005875E7" w:rsidP="005875E7">
            <w:pPr>
              <w:spacing w:after="0" w:line="240" w:lineRule="auto"/>
              <w:jc w:val="center"/>
              <w:rPr>
                <w:rFonts w:ascii="Helvetica" w:eastAsia="Times New Roman" w:hAnsi="Helvetica" w:cs="Helvetica"/>
                <w:b/>
                <w:color w:val="000000"/>
                <w:sz w:val="15"/>
                <w:szCs w:val="15"/>
                <w:lang w:val="en-NZ" w:eastAsia="en-NZ"/>
              </w:rPr>
            </w:pPr>
            <w:r w:rsidRPr="004C3DDD">
              <w:rPr>
                <w:rFonts w:ascii="Helvetica" w:hAnsi="Helvetica" w:cs="Helvetica"/>
                <w:b/>
                <w:color w:val="000000"/>
                <w:sz w:val="15"/>
                <w:szCs w:val="15"/>
              </w:rPr>
              <w:t>2019</w:t>
            </w:r>
          </w:p>
        </w:tc>
        <w:tc>
          <w:tcPr>
            <w:tcW w:w="1276" w:type="dxa"/>
            <w:shd w:val="clear" w:color="auto" w:fill="auto"/>
            <w:vAlign w:val="center"/>
            <w:hideMark/>
          </w:tcPr>
          <w:p w14:paraId="027891D4" w14:textId="77777777" w:rsidR="005875E7" w:rsidRPr="004C3DDD" w:rsidRDefault="005875E7" w:rsidP="005875E7">
            <w:pPr>
              <w:spacing w:after="0" w:line="240" w:lineRule="auto"/>
              <w:jc w:val="center"/>
              <w:rPr>
                <w:rFonts w:ascii="Helvetica" w:eastAsia="Times New Roman" w:hAnsi="Helvetica" w:cs="Helvetica"/>
                <w:b/>
                <w:color w:val="000000"/>
                <w:sz w:val="15"/>
                <w:szCs w:val="15"/>
                <w:lang w:val="en-NZ" w:eastAsia="en-NZ"/>
              </w:rPr>
            </w:pPr>
            <w:r w:rsidRPr="004C3DDD">
              <w:rPr>
                <w:rFonts w:ascii="Helvetica" w:eastAsia="Times New Roman" w:hAnsi="Helvetica" w:cs="Helvetica"/>
                <w:b/>
                <w:color w:val="000000"/>
                <w:sz w:val="15"/>
                <w:szCs w:val="15"/>
                <w:lang w:val="en-NZ" w:eastAsia="en-NZ"/>
              </w:rPr>
              <w:t>2019</w:t>
            </w:r>
          </w:p>
        </w:tc>
        <w:tc>
          <w:tcPr>
            <w:tcW w:w="1276" w:type="dxa"/>
            <w:vAlign w:val="center"/>
          </w:tcPr>
          <w:p w14:paraId="667F1E25" w14:textId="77777777" w:rsidR="005875E7" w:rsidRPr="004C3DDD" w:rsidRDefault="005875E7" w:rsidP="005875E7">
            <w:pPr>
              <w:spacing w:after="0" w:line="240" w:lineRule="auto"/>
              <w:jc w:val="center"/>
              <w:rPr>
                <w:rFonts w:ascii="Helvetica" w:eastAsia="Times New Roman" w:hAnsi="Helvetica" w:cs="Helvetica"/>
                <w:b/>
                <w:color w:val="000000"/>
                <w:sz w:val="15"/>
                <w:szCs w:val="15"/>
                <w:lang w:val="en-NZ" w:eastAsia="en-NZ"/>
              </w:rPr>
            </w:pPr>
            <w:r w:rsidRPr="004C3DDD">
              <w:rPr>
                <w:rFonts w:ascii="Helvetica" w:eastAsia="Times New Roman" w:hAnsi="Helvetica" w:cs="Helvetica"/>
                <w:b/>
                <w:color w:val="000000"/>
                <w:sz w:val="15"/>
                <w:szCs w:val="15"/>
                <w:lang w:val="en-NZ" w:eastAsia="en-NZ"/>
              </w:rPr>
              <w:t>2019</w:t>
            </w:r>
          </w:p>
        </w:tc>
      </w:tr>
    </w:tbl>
    <w:p w14:paraId="1F817412" w14:textId="77777777" w:rsidR="00A86560" w:rsidRDefault="00A86560" w:rsidP="00AF7405">
      <w:pPr>
        <w:pStyle w:val="E3Heading4"/>
      </w:pPr>
      <w:bookmarkStart w:id="129" w:name="_Toc449708769"/>
    </w:p>
    <w:p w14:paraId="6DEF90BD" w14:textId="77777777" w:rsidR="003616D8" w:rsidRDefault="003616D8" w:rsidP="00A86560">
      <w:pPr>
        <w:pStyle w:val="E3Heading4"/>
        <w:jc w:val="both"/>
      </w:pPr>
    </w:p>
    <w:p w14:paraId="1A90A51D" w14:textId="77777777" w:rsidR="003616D8" w:rsidRDefault="003616D8" w:rsidP="00A86560">
      <w:pPr>
        <w:pStyle w:val="E3Heading4"/>
        <w:jc w:val="both"/>
      </w:pPr>
    </w:p>
    <w:p w14:paraId="3B092B7D" w14:textId="67B4D5F8" w:rsidR="005875E7" w:rsidRPr="0041262C" w:rsidRDefault="005875E7" w:rsidP="00A86560">
      <w:pPr>
        <w:pStyle w:val="E3Heading4"/>
        <w:jc w:val="both"/>
      </w:pPr>
      <w:r w:rsidRPr="0041262C">
        <w:lastRenderedPageBreak/>
        <w:t>European Standards and cabinet groups</w:t>
      </w:r>
    </w:p>
    <w:p w14:paraId="59542097" w14:textId="124195DE" w:rsidR="0053786F" w:rsidRPr="00870AF9" w:rsidRDefault="005875E7" w:rsidP="00A86560">
      <w:pPr>
        <w:pStyle w:val="E3BodyText"/>
        <w:jc w:val="both"/>
      </w:pPr>
      <w:r>
        <w:t xml:space="preserve">The relevant cabinet </w:t>
      </w:r>
      <w:r w:rsidR="00476E74">
        <w:t xml:space="preserve">types </w:t>
      </w:r>
      <w:r>
        <w:t xml:space="preserve">and </w:t>
      </w:r>
      <w:r w:rsidR="0053786F">
        <w:t>s</w:t>
      </w:r>
      <w:r>
        <w:t xml:space="preserve">tandards </w:t>
      </w:r>
      <w:r w:rsidR="0053786F">
        <w:t>are set out</w:t>
      </w:r>
      <w:r>
        <w:t xml:space="preserve"> in </w:t>
      </w:r>
      <w:r>
        <w:rPr>
          <w:b/>
        </w:rPr>
        <w:t xml:space="preserve">Table 4 </w:t>
      </w:r>
      <w:r>
        <w:t>(below).</w:t>
      </w:r>
      <w:r w:rsidR="0053786F">
        <w:t xml:space="preserve">  The table </w:t>
      </w:r>
      <w:r w:rsidR="0053786F" w:rsidRPr="00066675">
        <w:t xml:space="preserve">also </w:t>
      </w:r>
      <w:r w:rsidR="0053786F">
        <w:t>outlines those aspects of the s</w:t>
      </w:r>
      <w:r w:rsidR="0053786F" w:rsidRPr="00066675">
        <w:t xml:space="preserve">tandards that </w:t>
      </w:r>
      <w:r w:rsidR="0053786F">
        <w:t xml:space="preserve">are </w:t>
      </w:r>
      <w:r w:rsidR="0053786F" w:rsidRPr="00066675">
        <w:t xml:space="preserve">not </w:t>
      </w:r>
      <w:r w:rsidR="0053786F">
        <w:t xml:space="preserve">being considered by </w:t>
      </w:r>
      <w:r w:rsidR="0053786F" w:rsidRPr="00066675">
        <w:t>this RIS.</w:t>
      </w:r>
    </w:p>
    <w:p w14:paraId="3CC41FE6" w14:textId="3B900417" w:rsidR="005875E7" w:rsidRPr="004C3E41" w:rsidRDefault="005875E7" w:rsidP="00A86560">
      <w:pPr>
        <w:pStyle w:val="E3TableTitles"/>
        <w:jc w:val="both"/>
      </w:pPr>
      <w:bookmarkStart w:id="130" w:name="_Ref452714521"/>
      <w:bookmarkStart w:id="131" w:name="_Toc494142454"/>
      <w:bookmarkStart w:id="132" w:name="_Toc500159654"/>
      <w:r w:rsidRPr="004C3E41">
        <w:t xml:space="preserve">Table </w:t>
      </w:r>
      <w:r w:rsidRPr="004C3E41">
        <w:fldChar w:fldCharType="begin"/>
      </w:r>
      <w:r w:rsidRPr="004C3E41">
        <w:instrText xml:space="preserve"> SEQ Table \* ARABIC </w:instrText>
      </w:r>
      <w:r w:rsidRPr="004C3E41">
        <w:fldChar w:fldCharType="separate"/>
      </w:r>
      <w:r w:rsidR="00D51B4B">
        <w:rPr>
          <w:noProof/>
        </w:rPr>
        <w:t>4</w:t>
      </w:r>
      <w:r w:rsidRPr="004C3E41">
        <w:fldChar w:fldCharType="end"/>
      </w:r>
      <w:bookmarkEnd w:id="130"/>
      <w:r w:rsidRPr="004C3E41">
        <w:t>: Published EN Standards and EC MEPS levels (and the parts which are not currently being considered for adoption in Australia and New Zealand).</w:t>
      </w:r>
      <w:bookmarkEnd w:id="131"/>
      <w:bookmarkEnd w:id="132"/>
    </w:p>
    <w:tbl>
      <w:tblPr>
        <w:tblpPr w:leftFromText="180" w:rightFromText="180" w:vertAnchor="text" w:horzAnchor="margin" w:tblpX="216" w:tblpY="158"/>
        <w:tblOverlap w:val="neve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4"/>
        <w:gridCol w:w="1369"/>
        <w:gridCol w:w="1417"/>
        <w:gridCol w:w="3478"/>
      </w:tblGrid>
      <w:tr w:rsidR="005875E7" w:rsidRPr="00C30B82" w14:paraId="0642C117" w14:textId="77777777" w:rsidTr="005875E7">
        <w:trPr>
          <w:trHeight w:val="397"/>
        </w:trPr>
        <w:tc>
          <w:tcPr>
            <w:tcW w:w="2984" w:type="dxa"/>
            <w:shd w:val="clear" w:color="auto" w:fill="000000" w:themeFill="text1"/>
            <w:vAlign w:val="center"/>
            <w:hideMark/>
          </w:tcPr>
          <w:p w14:paraId="4B088C01" w14:textId="77777777" w:rsidR="005875E7" w:rsidRPr="0041262C" w:rsidRDefault="005875E7" w:rsidP="00A86560">
            <w:pPr>
              <w:spacing w:after="0" w:line="240" w:lineRule="auto"/>
              <w:jc w:val="both"/>
              <w:rPr>
                <w:rFonts w:ascii="Helvetica" w:eastAsia="Times New Roman" w:hAnsi="Helvetica" w:cs="Helvetica"/>
                <w:b/>
                <w:color w:val="FFFFFF" w:themeColor="background1"/>
                <w:sz w:val="15"/>
                <w:szCs w:val="15"/>
                <w:lang w:val="en-NZ" w:eastAsia="en-NZ"/>
              </w:rPr>
            </w:pPr>
          </w:p>
        </w:tc>
        <w:tc>
          <w:tcPr>
            <w:tcW w:w="1369" w:type="dxa"/>
            <w:shd w:val="clear" w:color="auto" w:fill="000000" w:themeFill="text1"/>
            <w:vAlign w:val="center"/>
            <w:hideMark/>
          </w:tcPr>
          <w:p w14:paraId="21EFDDDA" w14:textId="77777777" w:rsidR="005875E7" w:rsidRPr="0041262C" w:rsidRDefault="005875E7" w:rsidP="00A86560">
            <w:pPr>
              <w:spacing w:after="0" w:line="240" w:lineRule="auto"/>
              <w:jc w:val="both"/>
              <w:rPr>
                <w:rFonts w:ascii="Helvetica" w:eastAsia="Times New Roman" w:hAnsi="Helvetica" w:cs="Helvetica"/>
                <w:b/>
                <w:color w:val="FFFFFF" w:themeColor="background1"/>
                <w:sz w:val="15"/>
                <w:szCs w:val="15"/>
                <w:lang w:val="en-NZ" w:eastAsia="en-NZ"/>
              </w:rPr>
            </w:pPr>
            <w:r w:rsidRPr="0041262C">
              <w:rPr>
                <w:rFonts w:ascii="Helvetica" w:eastAsia="Times New Roman" w:hAnsi="Helvetica" w:cs="Helvetica"/>
                <w:b/>
                <w:color w:val="FFFFFF" w:themeColor="background1"/>
                <w:sz w:val="15"/>
                <w:szCs w:val="15"/>
                <w:lang w:val="en-NZ" w:eastAsia="en-NZ"/>
              </w:rPr>
              <w:t>Standards</w:t>
            </w:r>
          </w:p>
          <w:p w14:paraId="0A1EC5B9" w14:textId="77777777" w:rsidR="005875E7" w:rsidRPr="0041262C" w:rsidRDefault="005875E7" w:rsidP="00A86560">
            <w:pPr>
              <w:spacing w:after="0" w:line="240" w:lineRule="auto"/>
              <w:jc w:val="both"/>
              <w:rPr>
                <w:rFonts w:ascii="Helvetica" w:eastAsia="Times New Roman" w:hAnsi="Helvetica" w:cs="Helvetica"/>
                <w:b/>
                <w:color w:val="FFFFFF" w:themeColor="background1"/>
                <w:sz w:val="15"/>
                <w:szCs w:val="15"/>
                <w:lang w:val="en-NZ" w:eastAsia="en-NZ"/>
              </w:rPr>
            </w:pPr>
            <w:r w:rsidRPr="0041262C">
              <w:rPr>
                <w:rFonts w:ascii="Helvetica" w:eastAsia="Times New Roman" w:hAnsi="Helvetica" w:cs="Helvetica"/>
                <w:b/>
                <w:color w:val="FFFFFF" w:themeColor="background1"/>
                <w:sz w:val="15"/>
                <w:szCs w:val="15"/>
                <w:lang w:val="en-NZ" w:eastAsia="en-NZ"/>
              </w:rPr>
              <w:t xml:space="preserve">Published </w:t>
            </w:r>
          </w:p>
        </w:tc>
        <w:tc>
          <w:tcPr>
            <w:tcW w:w="1417" w:type="dxa"/>
            <w:shd w:val="clear" w:color="auto" w:fill="000000" w:themeFill="text1"/>
            <w:vAlign w:val="center"/>
          </w:tcPr>
          <w:p w14:paraId="5993EF4C" w14:textId="77777777" w:rsidR="005875E7" w:rsidRPr="0041262C" w:rsidRDefault="005875E7" w:rsidP="00A86560">
            <w:pPr>
              <w:spacing w:after="0" w:line="240" w:lineRule="auto"/>
              <w:jc w:val="both"/>
              <w:rPr>
                <w:rFonts w:ascii="Helvetica" w:eastAsia="Times New Roman" w:hAnsi="Helvetica" w:cs="Helvetica"/>
                <w:b/>
                <w:color w:val="FFFFFF" w:themeColor="background1"/>
                <w:sz w:val="15"/>
                <w:szCs w:val="15"/>
                <w:lang w:val="en-NZ" w:eastAsia="en-NZ"/>
              </w:rPr>
            </w:pPr>
            <w:r w:rsidRPr="0041262C">
              <w:rPr>
                <w:rFonts w:ascii="Helvetica" w:eastAsia="Times New Roman" w:hAnsi="Helvetica" w:cs="Helvetica"/>
                <w:b/>
                <w:color w:val="FFFFFF" w:themeColor="background1"/>
                <w:sz w:val="15"/>
                <w:szCs w:val="15"/>
                <w:lang w:val="en-NZ" w:eastAsia="en-NZ"/>
              </w:rPr>
              <w:t>EC MEPS levels</w:t>
            </w:r>
          </w:p>
          <w:p w14:paraId="1B500D14" w14:textId="77777777" w:rsidR="005875E7" w:rsidRPr="0041262C" w:rsidRDefault="005875E7" w:rsidP="00A86560">
            <w:pPr>
              <w:spacing w:after="0" w:line="240" w:lineRule="auto"/>
              <w:jc w:val="both"/>
              <w:rPr>
                <w:rFonts w:ascii="Helvetica" w:eastAsia="Times New Roman" w:hAnsi="Helvetica" w:cs="Helvetica"/>
                <w:b/>
                <w:color w:val="FFFFFF" w:themeColor="background1"/>
                <w:sz w:val="15"/>
                <w:szCs w:val="15"/>
                <w:lang w:val="en-NZ" w:eastAsia="en-NZ"/>
              </w:rPr>
            </w:pPr>
            <w:r w:rsidRPr="0041262C">
              <w:rPr>
                <w:rFonts w:ascii="Helvetica" w:eastAsia="Times New Roman" w:hAnsi="Helvetica" w:cs="Helvetica"/>
                <w:b/>
                <w:color w:val="FFFFFF" w:themeColor="background1"/>
                <w:sz w:val="15"/>
                <w:szCs w:val="15"/>
                <w:lang w:val="en-NZ" w:eastAsia="en-NZ"/>
              </w:rPr>
              <w:t>Published</w:t>
            </w:r>
          </w:p>
        </w:tc>
        <w:tc>
          <w:tcPr>
            <w:tcW w:w="3478" w:type="dxa"/>
            <w:shd w:val="clear" w:color="auto" w:fill="000000" w:themeFill="text1"/>
            <w:vAlign w:val="center"/>
          </w:tcPr>
          <w:p w14:paraId="69128344" w14:textId="77777777" w:rsidR="005875E7" w:rsidRPr="0041262C" w:rsidRDefault="005875E7" w:rsidP="00A86560">
            <w:pPr>
              <w:spacing w:after="0" w:line="240" w:lineRule="auto"/>
              <w:jc w:val="both"/>
              <w:rPr>
                <w:rFonts w:ascii="Helvetica" w:eastAsia="Times New Roman" w:hAnsi="Helvetica" w:cs="Helvetica"/>
                <w:b/>
                <w:color w:val="FFFFFF" w:themeColor="background1"/>
                <w:sz w:val="15"/>
                <w:szCs w:val="15"/>
                <w:lang w:val="en-NZ" w:eastAsia="en-NZ"/>
              </w:rPr>
            </w:pPr>
            <w:r w:rsidRPr="0041262C">
              <w:rPr>
                <w:rFonts w:ascii="Helvetica" w:eastAsia="Times New Roman" w:hAnsi="Helvetica" w:cs="Helvetica"/>
                <w:b/>
                <w:color w:val="FFFFFF" w:themeColor="background1"/>
                <w:sz w:val="15"/>
                <w:szCs w:val="15"/>
                <w:lang w:val="en-NZ" w:eastAsia="en-NZ"/>
              </w:rPr>
              <w:t>Parts of Standards or regulations that are not being considered by current proposals</w:t>
            </w:r>
          </w:p>
        </w:tc>
      </w:tr>
      <w:tr w:rsidR="005875E7" w:rsidRPr="00C30B82" w14:paraId="3F539E4D" w14:textId="77777777" w:rsidTr="005875E7">
        <w:trPr>
          <w:trHeight w:val="397"/>
        </w:trPr>
        <w:tc>
          <w:tcPr>
            <w:tcW w:w="2984" w:type="dxa"/>
            <w:shd w:val="clear" w:color="auto" w:fill="auto"/>
            <w:vAlign w:val="center"/>
            <w:hideMark/>
          </w:tcPr>
          <w:p w14:paraId="49F64CB9" w14:textId="77777777" w:rsidR="005875E7" w:rsidRPr="0041262C" w:rsidRDefault="005875E7" w:rsidP="00A86560">
            <w:pPr>
              <w:spacing w:after="0" w:line="240" w:lineRule="auto"/>
              <w:jc w:val="both"/>
              <w:rPr>
                <w:rFonts w:ascii="Helvetica" w:eastAsia="Times New Roman" w:hAnsi="Helvetica" w:cs="Helvetica"/>
                <w:b/>
                <w:sz w:val="15"/>
                <w:szCs w:val="15"/>
                <w:lang w:val="en-NZ" w:eastAsia="en-NZ"/>
              </w:rPr>
            </w:pPr>
            <w:r w:rsidRPr="0041262C">
              <w:rPr>
                <w:rFonts w:ascii="Helvetica" w:eastAsia="Times New Roman" w:hAnsi="Helvetica" w:cs="Helvetica"/>
                <w:b/>
                <w:sz w:val="15"/>
                <w:szCs w:val="15"/>
                <w:lang w:val="en-NZ" w:eastAsia="en-NZ"/>
              </w:rPr>
              <w:t>ISO 23953 Refrigerated Display Cabinets</w:t>
            </w:r>
          </w:p>
        </w:tc>
        <w:tc>
          <w:tcPr>
            <w:tcW w:w="1369" w:type="dxa"/>
            <w:shd w:val="clear" w:color="auto" w:fill="auto"/>
            <w:vAlign w:val="center"/>
            <w:hideMark/>
          </w:tcPr>
          <w:p w14:paraId="08EA25FC" w14:textId="77777777" w:rsidR="005875E7" w:rsidRPr="0041262C" w:rsidRDefault="005875E7" w:rsidP="00A86560">
            <w:pPr>
              <w:pStyle w:val="E3tabletext1"/>
              <w:jc w:val="both"/>
              <w:rPr>
                <w:rFonts w:ascii="Helvetica" w:hAnsi="Helvetica" w:cs="Helvetica"/>
                <w:sz w:val="15"/>
                <w:szCs w:val="15"/>
                <w:lang w:val="en-NZ"/>
              </w:rPr>
            </w:pPr>
            <w:r w:rsidRPr="0041262C">
              <w:rPr>
                <w:rFonts w:ascii="Helvetica" w:hAnsi="Helvetica" w:cs="Helvetica"/>
                <w:sz w:val="15"/>
                <w:szCs w:val="15"/>
                <w:lang w:val="en-NZ"/>
              </w:rPr>
              <w:t>Published</w:t>
            </w:r>
          </w:p>
        </w:tc>
        <w:tc>
          <w:tcPr>
            <w:tcW w:w="1417" w:type="dxa"/>
            <w:shd w:val="clear" w:color="auto" w:fill="auto"/>
            <w:vAlign w:val="center"/>
          </w:tcPr>
          <w:p w14:paraId="19BFE0AF" w14:textId="77777777" w:rsidR="005875E7" w:rsidRPr="0041262C" w:rsidRDefault="005875E7" w:rsidP="00A86560">
            <w:pPr>
              <w:pStyle w:val="E3tabletext1"/>
              <w:ind w:left="0"/>
              <w:jc w:val="both"/>
              <w:rPr>
                <w:rFonts w:ascii="Helvetica" w:hAnsi="Helvetica" w:cs="Helvetica"/>
                <w:b/>
                <w:color w:val="000000"/>
                <w:sz w:val="15"/>
                <w:szCs w:val="15"/>
                <w:lang w:val="en-NZ" w:eastAsia="en-NZ"/>
              </w:rPr>
            </w:pPr>
            <w:r w:rsidRPr="0041262C">
              <w:rPr>
                <w:rFonts w:ascii="Helvetica" w:hAnsi="Helvetica" w:cs="Helvetica"/>
                <w:sz w:val="15"/>
                <w:szCs w:val="15"/>
                <w:lang w:val="en-NZ"/>
              </w:rPr>
              <w:t xml:space="preserve"> Draft</w:t>
            </w:r>
          </w:p>
        </w:tc>
        <w:tc>
          <w:tcPr>
            <w:tcW w:w="3478" w:type="dxa"/>
            <w:shd w:val="clear" w:color="auto" w:fill="auto"/>
            <w:vAlign w:val="center"/>
          </w:tcPr>
          <w:p w14:paraId="711B4C86" w14:textId="77777777" w:rsidR="005875E7" w:rsidRPr="0041262C" w:rsidRDefault="005875E7" w:rsidP="00A86560">
            <w:pPr>
              <w:pStyle w:val="E3tabletext1"/>
              <w:jc w:val="both"/>
              <w:rPr>
                <w:rFonts w:ascii="Helvetica" w:hAnsi="Helvetica" w:cs="Helvetica"/>
                <w:b/>
                <w:color w:val="000000"/>
                <w:sz w:val="15"/>
                <w:szCs w:val="15"/>
                <w:lang w:val="en-NZ" w:eastAsia="en-NZ"/>
              </w:rPr>
            </w:pPr>
            <w:r w:rsidRPr="0041262C">
              <w:rPr>
                <w:rFonts w:ascii="Helvetica" w:hAnsi="Helvetica" w:cs="Helvetica"/>
                <w:sz w:val="15"/>
                <w:szCs w:val="15"/>
              </w:rPr>
              <w:t>Beverage Vending machines</w:t>
            </w:r>
          </w:p>
        </w:tc>
      </w:tr>
      <w:tr w:rsidR="005875E7" w:rsidRPr="00C30B82" w14:paraId="72E8B4CD" w14:textId="77777777" w:rsidTr="005875E7">
        <w:trPr>
          <w:trHeight w:val="397"/>
        </w:trPr>
        <w:tc>
          <w:tcPr>
            <w:tcW w:w="2984" w:type="dxa"/>
            <w:shd w:val="clear" w:color="auto" w:fill="auto"/>
            <w:vAlign w:val="center"/>
            <w:hideMark/>
          </w:tcPr>
          <w:p w14:paraId="05ECBFED" w14:textId="77777777" w:rsidR="005875E7" w:rsidRPr="0041262C" w:rsidRDefault="005875E7" w:rsidP="00A86560">
            <w:pPr>
              <w:spacing w:after="0" w:line="240" w:lineRule="auto"/>
              <w:jc w:val="both"/>
              <w:rPr>
                <w:rFonts w:ascii="Helvetica" w:eastAsia="Times New Roman" w:hAnsi="Helvetica" w:cs="Helvetica"/>
                <w:b/>
                <w:sz w:val="15"/>
                <w:szCs w:val="15"/>
                <w:lang w:val="en-NZ" w:eastAsia="en-NZ"/>
              </w:rPr>
            </w:pPr>
            <w:r w:rsidRPr="0041262C">
              <w:rPr>
                <w:rFonts w:ascii="Helvetica" w:eastAsia="Times New Roman" w:hAnsi="Helvetica" w:cs="Helvetica"/>
                <w:b/>
                <w:sz w:val="15"/>
                <w:szCs w:val="15"/>
                <w:lang w:val="en-NZ" w:eastAsia="en-NZ"/>
              </w:rPr>
              <w:t xml:space="preserve">EN 16825 </w:t>
            </w:r>
            <w:r w:rsidRPr="0041262C">
              <w:rPr>
                <w:rFonts w:ascii="Helvetica" w:hAnsi="Helvetica" w:cs="Helvetica"/>
                <w:b/>
                <w:sz w:val="15"/>
                <w:szCs w:val="15"/>
              </w:rPr>
              <w:t>Refrigerated storage cabinets and counters for professional use</w:t>
            </w:r>
          </w:p>
        </w:tc>
        <w:tc>
          <w:tcPr>
            <w:tcW w:w="1369" w:type="dxa"/>
            <w:shd w:val="clear" w:color="auto" w:fill="auto"/>
            <w:vAlign w:val="center"/>
          </w:tcPr>
          <w:p w14:paraId="668B934E" w14:textId="77777777" w:rsidR="005875E7" w:rsidRPr="0041262C" w:rsidRDefault="005875E7" w:rsidP="00A86560">
            <w:pPr>
              <w:pStyle w:val="E3tabletext1"/>
              <w:jc w:val="both"/>
              <w:rPr>
                <w:rFonts w:ascii="Helvetica" w:hAnsi="Helvetica" w:cs="Helvetica"/>
                <w:sz w:val="15"/>
                <w:szCs w:val="15"/>
              </w:rPr>
            </w:pPr>
            <w:r w:rsidRPr="0041262C">
              <w:rPr>
                <w:rFonts w:ascii="Helvetica" w:hAnsi="Helvetica" w:cs="Helvetica"/>
                <w:sz w:val="15"/>
                <w:szCs w:val="15"/>
                <w:lang w:val="en-NZ"/>
              </w:rPr>
              <w:t>Published</w:t>
            </w:r>
          </w:p>
        </w:tc>
        <w:tc>
          <w:tcPr>
            <w:tcW w:w="1417" w:type="dxa"/>
            <w:shd w:val="clear" w:color="auto" w:fill="auto"/>
            <w:vAlign w:val="center"/>
          </w:tcPr>
          <w:p w14:paraId="139EF79F" w14:textId="77777777" w:rsidR="005875E7" w:rsidRPr="0041262C" w:rsidRDefault="005875E7" w:rsidP="00A86560">
            <w:pPr>
              <w:pStyle w:val="E3tabletext1"/>
              <w:jc w:val="both"/>
              <w:rPr>
                <w:rFonts w:ascii="Helvetica" w:hAnsi="Helvetica" w:cs="Helvetica"/>
                <w:sz w:val="15"/>
                <w:szCs w:val="15"/>
              </w:rPr>
            </w:pPr>
            <w:r w:rsidRPr="0041262C">
              <w:rPr>
                <w:rFonts w:ascii="Helvetica" w:hAnsi="Helvetica" w:cs="Helvetica"/>
                <w:sz w:val="15"/>
                <w:szCs w:val="15"/>
                <w:lang w:val="en-NZ"/>
              </w:rPr>
              <w:t>Published</w:t>
            </w:r>
          </w:p>
        </w:tc>
        <w:tc>
          <w:tcPr>
            <w:tcW w:w="3478" w:type="dxa"/>
            <w:shd w:val="clear" w:color="auto" w:fill="auto"/>
          </w:tcPr>
          <w:p w14:paraId="548E51E6" w14:textId="77777777" w:rsidR="005875E7" w:rsidRPr="0041262C" w:rsidRDefault="005875E7" w:rsidP="00A86560">
            <w:pPr>
              <w:pStyle w:val="E3tabletext1"/>
              <w:jc w:val="both"/>
              <w:rPr>
                <w:rFonts w:ascii="Helvetica" w:hAnsi="Helvetica" w:cs="Helvetica"/>
                <w:sz w:val="15"/>
                <w:szCs w:val="15"/>
              </w:rPr>
            </w:pPr>
            <w:r w:rsidRPr="0041262C">
              <w:rPr>
                <w:rFonts w:ascii="Helvetica" w:hAnsi="Helvetica" w:cs="Helvetica"/>
                <w:sz w:val="15"/>
                <w:szCs w:val="15"/>
              </w:rPr>
              <w:t>Blast cabinets, condensing units and process chillers</w:t>
            </w:r>
          </w:p>
        </w:tc>
      </w:tr>
      <w:tr w:rsidR="005875E7" w:rsidRPr="00C30B82" w14:paraId="0BC390F8" w14:textId="77777777" w:rsidTr="005875E7">
        <w:trPr>
          <w:trHeight w:val="397"/>
        </w:trPr>
        <w:tc>
          <w:tcPr>
            <w:tcW w:w="2984" w:type="dxa"/>
            <w:shd w:val="clear" w:color="auto" w:fill="auto"/>
            <w:vAlign w:val="center"/>
          </w:tcPr>
          <w:p w14:paraId="646D0AEA" w14:textId="77777777" w:rsidR="005875E7" w:rsidRPr="0041262C" w:rsidRDefault="005875E7" w:rsidP="00A86560">
            <w:pPr>
              <w:spacing w:after="0" w:line="240" w:lineRule="auto"/>
              <w:jc w:val="both"/>
              <w:rPr>
                <w:rFonts w:ascii="Helvetica" w:eastAsia="Times New Roman" w:hAnsi="Helvetica" w:cs="Helvetica"/>
                <w:b/>
                <w:sz w:val="15"/>
                <w:szCs w:val="15"/>
                <w:lang w:val="en-NZ" w:eastAsia="en-NZ"/>
              </w:rPr>
            </w:pPr>
            <w:r w:rsidRPr="0041262C">
              <w:rPr>
                <w:rFonts w:ascii="Helvetica" w:eastAsia="Times New Roman" w:hAnsi="Helvetica" w:cs="Helvetica"/>
                <w:b/>
                <w:sz w:val="15"/>
                <w:szCs w:val="15"/>
                <w:lang w:val="en-NZ" w:eastAsia="en-NZ"/>
              </w:rPr>
              <w:t>EN 16901 Small ice-cream freezers</w:t>
            </w:r>
          </w:p>
        </w:tc>
        <w:tc>
          <w:tcPr>
            <w:tcW w:w="1369" w:type="dxa"/>
            <w:shd w:val="clear" w:color="auto" w:fill="auto"/>
            <w:vAlign w:val="center"/>
          </w:tcPr>
          <w:p w14:paraId="4648A952" w14:textId="77777777" w:rsidR="005875E7" w:rsidRPr="0041262C" w:rsidRDefault="005875E7" w:rsidP="00A86560">
            <w:pPr>
              <w:pStyle w:val="E3tabletext1"/>
              <w:jc w:val="both"/>
              <w:rPr>
                <w:rFonts w:ascii="Helvetica" w:hAnsi="Helvetica" w:cs="Helvetica"/>
                <w:sz w:val="15"/>
                <w:szCs w:val="15"/>
              </w:rPr>
            </w:pPr>
            <w:r w:rsidRPr="0041262C">
              <w:rPr>
                <w:rFonts w:ascii="Helvetica" w:hAnsi="Helvetica" w:cs="Helvetica"/>
                <w:sz w:val="15"/>
                <w:szCs w:val="15"/>
              </w:rPr>
              <w:t>Published</w:t>
            </w:r>
          </w:p>
        </w:tc>
        <w:tc>
          <w:tcPr>
            <w:tcW w:w="1417" w:type="dxa"/>
            <w:shd w:val="clear" w:color="auto" w:fill="auto"/>
            <w:vAlign w:val="center"/>
          </w:tcPr>
          <w:p w14:paraId="6C94815C" w14:textId="77777777" w:rsidR="005875E7" w:rsidRPr="0041262C" w:rsidRDefault="005875E7" w:rsidP="00A86560">
            <w:pPr>
              <w:pStyle w:val="E3tabletext1"/>
              <w:jc w:val="both"/>
              <w:rPr>
                <w:rFonts w:ascii="Helvetica" w:hAnsi="Helvetica" w:cs="Helvetica"/>
                <w:b/>
                <w:color w:val="000000"/>
                <w:sz w:val="15"/>
                <w:szCs w:val="15"/>
                <w:lang w:val="en-NZ" w:eastAsia="en-NZ"/>
              </w:rPr>
            </w:pPr>
            <w:r w:rsidRPr="0041262C">
              <w:rPr>
                <w:rFonts w:ascii="Helvetica" w:hAnsi="Helvetica" w:cs="Helvetica"/>
                <w:sz w:val="15"/>
                <w:szCs w:val="15"/>
                <w:lang w:val="en-NZ"/>
              </w:rPr>
              <w:t>Draft</w:t>
            </w:r>
          </w:p>
        </w:tc>
        <w:tc>
          <w:tcPr>
            <w:tcW w:w="3478" w:type="dxa"/>
            <w:shd w:val="clear" w:color="auto" w:fill="auto"/>
          </w:tcPr>
          <w:p w14:paraId="183386B5" w14:textId="77777777" w:rsidR="005875E7" w:rsidRPr="0041262C" w:rsidRDefault="005875E7" w:rsidP="00A86560">
            <w:pPr>
              <w:pStyle w:val="E3tabletext1"/>
              <w:jc w:val="both"/>
              <w:rPr>
                <w:rFonts w:ascii="Helvetica" w:hAnsi="Helvetica" w:cs="Helvetica"/>
                <w:sz w:val="15"/>
                <w:szCs w:val="15"/>
              </w:rPr>
            </w:pPr>
          </w:p>
        </w:tc>
      </w:tr>
      <w:tr w:rsidR="005875E7" w:rsidRPr="00C30B82" w14:paraId="09448EB9" w14:textId="77777777" w:rsidTr="005875E7">
        <w:trPr>
          <w:trHeight w:val="397"/>
        </w:trPr>
        <w:tc>
          <w:tcPr>
            <w:tcW w:w="2984" w:type="dxa"/>
            <w:shd w:val="clear" w:color="auto" w:fill="auto"/>
            <w:vAlign w:val="center"/>
          </w:tcPr>
          <w:p w14:paraId="689D2AF2" w14:textId="77777777" w:rsidR="005875E7" w:rsidRPr="0041262C" w:rsidRDefault="005875E7" w:rsidP="00A86560">
            <w:pPr>
              <w:spacing w:after="0" w:line="240" w:lineRule="auto"/>
              <w:jc w:val="both"/>
              <w:rPr>
                <w:rFonts w:ascii="Helvetica" w:eastAsia="Times New Roman" w:hAnsi="Helvetica" w:cs="Helvetica"/>
                <w:b/>
                <w:sz w:val="15"/>
                <w:szCs w:val="15"/>
                <w:lang w:val="en-NZ" w:eastAsia="en-NZ"/>
              </w:rPr>
            </w:pPr>
            <w:r w:rsidRPr="0041262C">
              <w:rPr>
                <w:rFonts w:ascii="Helvetica" w:eastAsia="Times New Roman" w:hAnsi="Helvetica" w:cs="Helvetica"/>
                <w:b/>
                <w:sz w:val="15"/>
                <w:szCs w:val="15"/>
                <w:lang w:val="en-NZ" w:eastAsia="en-NZ"/>
              </w:rPr>
              <w:t xml:space="preserve">EN 16838 Refrigerated display scooping cabinets for gelato (soft scoop) </w:t>
            </w:r>
          </w:p>
        </w:tc>
        <w:tc>
          <w:tcPr>
            <w:tcW w:w="1369" w:type="dxa"/>
            <w:shd w:val="clear" w:color="auto" w:fill="auto"/>
            <w:vAlign w:val="center"/>
          </w:tcPr>
          <w:p w14:paraId="7085703C" w14:textId="77777777" w:rsidR="005875E7" w:rsidRPr="0041262C" w:rsidRDefault="005875E7" w:rsidP="00A86560">
            <w:pPr>
              <w:pStyle w:val="E3tabletext1"/>
              <w:jc w:val="both"/>
              <w:rPr>
                <w:rFonts w:ascii="Helvetica" w:hAnsi="Helvetica" w:cs="Helvetica"/>
                <w:sz w:val="15"/>
                <w:szCs w:val="15"/>
              </w:rPr>
            </w:pPr>
            <w:r w:rsidRPr="0041262C">
              <w:rPr>
                <w:rFonts w:ascii="Helvetica" w:hAnsi="Helvetica" w:cs="Helvetica"/>
                <w:sz w:val="15"/>
                <w:szCs w:val="15"/>
                <w:lang w:val="en-NZ"/>
              </w:rPr>
              <w:t>Published</w:t>
            </w:r>
          </w:p>
        </w:tc>
        <w:tc>
          <w:tcPr>
            <w:tcW w:w="1417" w:type="dxa"/>
            <w:shd w:val="clear" w:color="auto" w:fill="auto"/>
            <w:vAlign w:val="center"/>
          </w:tcPr>
          <w:p w14:paraId="4A2FA455" w14:textId="77777777" w:rsidR="005875E7" w:rsidRPr="0041262C" w:rsidRDefault="005875E7" w:rsidP="00A86560">
            <w:pPr>
              <w:pStyle w:val="E3tabletext1"/>
              <w:jc w:val="both"/>
              <w:rPr>
                <w:rFonts w:ascii="Helvetica" w:hAnsi="Helvetica" w:cs="Helvetica"/>
                <w:b/>
                <w:color w:val="000000"/>
                <w:sz w:val="15"/>
                <w:szCs w:val="15"/>
                <w:lang w:val="en-NZ" w:eastAsia="en-NZ"/>
              </w:rPr>
            </w:pPr>
            <w:r w:rsidRPr="0041262C">
              <w:rPr>
                <w:rFonts w:ascii="Helvetica" w:hAnsi="Helvetica" w:cs="Helvetica"/>
                <w:sz w:val="15"/>
                <w:szCs w:val="15"/>
              </w:rPr>
              <w:t xml:space="preserve">Published </w:t>
            </w:r>
          </w:p>
        </w:tc>
        <w:tc>
          <w:tcPr>
            <w:tcW w:w="3478" w:type="dxa"/>
            <w:shd w:val="clear" w:color="auto" w:fill="auto"/>
            <w:vAlign w:val="center"/>
          </w:tcPr>
          <w:p w14:paraId="20C03882" w14:textId="77777777" w:rsidR="005875E7" w:rsidRPr="0041262C" w:rsidRDefault="005875E7" w:rsidP="00A86560">
            <w:pPr>
              <w:spacing w:after="0" w:line="240" w:lineRule="auto"/>
              <w:jc w:val="both"/>
              <w:rPr>
                <w:rFonts w:ascii="Helvetica" w:eastAsia="Times New Roman" w:hAnsi="Helvetica" w:cs="Helvetica"/>
                <w:b/>
                <w:color w:val="000000"/>
                <w:sz w:val="15"/>
                <w:szCs w:val="15"/>
                <w:lang w:val="en-NZ" w:eastAsia="en-NZ"/>
              </w:rPr>
            </w:pPr>
          </w:p>
        </w:tc>
      </w:tr>
    </w:tbl>
    <w:p w14:paraId="26240B3A" w14:textId="3AC24AC5" w:rsidR="00AF7405" w:rsidRDefault="00AF7405" w:rsidP="00A86560">
      <w:pPr>
        <w:pStyle w:val="E3Heading2"/>
        <w:jc w:val="both"/>
        <w:rPr>
          <w:rFonts w:ascii="Georgia" w:hAnsi="Georgia"/>
          <w:sz w:val="24"/>
        </w:rPr>
      </w:pPr>
      <w:bookmarkStart w:id="133" w:name="_Toc494897967"/>
      <w:bookmarkStart w:id="134" w:name="_Toc494955763"/>
      <w:bookmarkStart w:id="135" w:name="_Toc494959571"/>
      <w:bookmarkStart w:id="136" w:name="_Toc494972697"/>
      <w:bookmarkStart w:id="137" w:name="_Toc494973884"/>
      <w:bookmarkStart w:id="138" w:name="_Toc494974573"/>
    </w:p>
    <w:p w14:paraId="2471273F" w14:textId="77777777" w:rsidR="0053786F" w:rsidRDefault="0053786F" w:rsidP="00A86560">
      <w:pPr>
        <w:pStyle w:val="E3BodyText"/>
        <w:jc w:val="both"/>
      </w:pPr>
      <w:r>
        <w:t xml:space="preserve">As shown in </w:t>
      </w:r>
      <w:r>
        <w:rPr>
          <w:b/>
        </w:rPr>
        <w:t xml:space="preserve">Table 4 </w:t>
      </w:r>
      <w:r>
        <w:t>all relevant s</w:t>
      </w:r>
      <w:r w:rsidRPr="00066675">
        <w:t>tandards</w:t>
      </w:r>
      <w:r>
        <w:t xml:space="preserve"> have now been published in Europe.</w:t>
      </w:r>
      <w:r w:rsidRPr="00066675">
        <w:t xml:space="preserve"> </w:t>
      </w:r>
      <w:r>
        <w:t>The only EC MEPS levels, which have been published, however, relate to storage cabinets and gelato cabinets. The EC MEPS levels relating to refrigerated display cabinets and small ice-cream freezers are yet to be published and remain in draft.</w:t>
      </w:r>
    </w:p>
    <w:p w14:paraId="4BE828C7" w14:textId="20DDCF5C" w:rsidR="0053786F" w:rsidRPr="0053786F" w:rsidRDefault="0053786F" w:rsidP="00A86560">
      <w:pPr>
        <w:pStyle w:val="E3BodyText"/>
        <w:jc w:val="both"/>
      </w:pPr>
    </w:p>
    <w:p w14:paraId="2AF2B186" w14:textId="1A182B81" w:rsidR="00F20882" w:rsidRPr="0041262C" w:rsidRDefault="005875E7" w:rsidP="00C22857">
      <w:pPr>
        <w:pStyle w:val="E3Heading4"/>
        <w:spacing w:after="240"/>
        <w:jc w:val="both"/>
      </w:pPr>
      <w:r w:rsidRPr="0041262C">
        <w:t>Option 1: Business as Usual</w:t>
      </w:r>
      <w:bookmarkEnd w:id="129"/>
      <w:bookmarkEnd w:id="133"/>
      <w:bookmarkEnd w:id="134"/>
      <w:bookmarkEnd w:id="135"/>
      <w:bookmarkEnd w:id="136"/>
      <w:bookmarkEnd w:id="137"/>
      <w:bookmarkEnd w:id="138"/>
    </w:p>
    <w:p w14:paraId="650202CF" w14:textId="05568CA5" w:rsidR="00AF7405" w:rsidRDefault="005875E7" w:rsidP="00A86560">
      <w:pPr>
        <w:pStyle w:val="E3Bullets"/>
        <w:jc w:val="both"/>
      </w:pPr>
      <w:r w:rsidRPr="00F20882">
        <w:t>Option</w:t>
      </w:r>
      <w:r w:rsidRPr="00E451AE">
        <w:t xml:space="preserve"> 1</w:t>
      </w:r>
      <w:r w:rsidRPr="00066675">
        <w:t xml:space="preserve"> is </w:t>
      </w:r>
      <w:r w:rsidR="0053786F">
        <w:t>b</w:t>
      </w:r>
      <w:r w:rsidRPr="00066675">
        <w:t xml:space="preserve">usiness </w:t>
      </w:r>
      <w:r w:rsidR="0053786F">
        <w:t>a</w:t>
      </w:r>
      <w:r w:rsidRPr="00066675">
        <w:t xml:space="preserve">s </w:t>
      </w:r>
      <w:r w:rsidR="0053786F">
        <w:t>u</w:t>
      </w:r>
      <w:r w:rsidRPr="00066675">
        <w:t>sual (BAU): the “no intervention” approach with no change</w:t>
      </w:r>
      <w:r>
        <w:t>s to</w:t>
      </w:r>
      <w:r w:rsidRPr="00066675">
        <w:t xml:space="preserve"> standards, scope or test methods. It involves the continued use of AS 1731 as the applicable standard in Australia and New Zealand. A</w:t>
      </w:r>
      <w:r>
        <w:t>S</w:t>
      </w:r>
      <w:r w:rsidRPr="00066675">
        <w:t xml:space="preserve"> 1731 </w:t>
      </w:r>
      <w:r>
        <w:t xml:space="preserve">is the standard </w:t>
      </w:r>
      <w:r w:rsidR="0053786F">
        <w:t xml:space="preserve">that </w:t>
      </w:r>
      <w:r w:rsidRPr="00066675">
        <w:t xml:space="preserve">defines the energy efficiency test procedure for </w:t>
      </w:r>
      <w:r w:rsidR="0053786F">
        <w:t>r</w:t>
      </w:r>
      <w:r w:rsidRPr="00066675">
        <w:t>efrigerated display cabinets in Australia and New Zealand. It is made up of 14 separate parts, all sold separately, which specify requirements for classification, installation and maintenance and MEPS and HEPS levels.</w:t>
      </w:r>
      <w:r w:rsidRPr="00066675">
        <w:rPr>
          <w:rStyle w:val="FootnoteReference"/>
        </w:rPr>
        <w:footnoteReference w:id="32"/>
      </w:r>
    </w:p>
    <w:p w14:paraId="49CED0A2" w14:textId="77777777" w:rsidR="00AF7405" w:rsidRDefault="00AF7405" w:rsidP="00A86560">
      <w:pPr>
        <w:pStyle w:val="E3Bullets"/>
        <w:numPr>
          <w:ilvl w:val="0"/>
          <w:numId w:val="0"/>
        </w:numPr>
        <w:spacing w:before="240"/>
        <w:jc w:val="both"/>
      </w:pPr>
    </w:p>
    <w:p w14:paraId="1E26C05A" w14:textId="77777777" w:rsidR="005875E7" w:rsidRPr="00066675" w:rsidRDefault="005875E7" w:rsidP="00F20882">
      <w:pPr>
        <w:pStyle w:val="E3Bullets"/>
      </w:pPr>
      <w:r w:rsidRPr="00F20882">
        <w:t>Some</w:t>
      </w:r>
      <w:r w:rsidRPr="00066675">
        <w:t xml:space="preserve"> efficiency improvement in any new products can be assumed due to projected natural improvement in the market and international policy developments. </w:t>
      </w:r>
    </w:p>
    <w:p w14:paraId="4FAE0CF1" w14:textId="77777777" w:rsidR="005875E7" w:rsidRPr="00066675" w:rsidRDefault="005875E7" w:rsidP="00AF7405">
      <w:pPr>
        <w:pStyle w:val="E3Bullets"/>
        <w:numPr>
          <w:ilvl w:val="0"/>
          <w:numId w:val="0"/>
        </w:numPr>
        <w:ind w:left="227" w:hanging="227"/>
        <w:jc w:val="both"/>
      </w:pPr>
    </w:p>
    <w:p w14:paraId="633367FE" w14:textId="10B4B9BA" w:rsidR="005875E7" w:rsidRDefault="005875E7" w:rsidP="00A86560">
      <w:pPr>
        <w:pStyle w:val="E3Bullets"/>
        <w:numPr>
          <w:ilvl w:val="0"/>
          <w:numId w:val="0"/>
        </w:numPr>
        <w:jc w:val="both"/>
      </w:pPr>
      <w:r w:rsidRPr="00066675">
        <w:t xml:space="preserve">This option assumes no changes to the existing </w:t>
      </w:r>
      <w:r>
        <w:t xml:space="preserve">regulations </w:t>
      </w:r>
      <w:r w:rsidRPr="00066675">
        <w:t xml:space="preserve">in Australia and New Zealand for </w:t>
      </w:r>
      <w:r w:rsidR="0053786F">
        <w:t>r</w:t>
      </w:r>
      <w:r w:rsidRPr="00066675">
        <w:t>efrigerated commercial cabinets</w:t>
      </w:r>
      <w:r>
        <w:t xml:space="preserve">.  Without any regulatory intervention, the problems </w:t>
      </w:r>
      <w:r w:rsidR="0053786F">
        <w:t>identified in</w:t>
      </w:r>
      <w:r>
        <w:t xml:space="preserve"> this RIS will continue:</w:t>
      </w:r>
    </w:p>
    <w:p w14:paraId="4629716F" w14:textId="77777777" w:rsidR="005875E7" w:rsidRPr="00066675" w:rsidRDefault="005875E7" w:rsidP="00A86560">
      <w:pPr>
        <w:pStyle w:val="E3Bullets"/>
        <w:numPr>
          <w:ilvl w:val="0"/>
          <w:numId w:val="0"/>
        </w:numPr>
        <w:jc w:val="both"/>
      </w:pPr>
    </w:p>
    <w:p w14:paraId="3EF19A52" w14:textId="2CFC19C4" w:rsidR="005875E7" w:rsidRPr="00EB391B" w:rsidRDefault="005875E7" w:rsidP="00A86560">
      <w:pPr>
        <w:pStyle w:val="E3Bullets"/>
        <w:jc w:val="both"/>
      </w:pPr>
      <w:r w:rsidRPr="00EB391B">
        <w:lastRenderedPageBreak/>
        <w:t xml:space="preserve">AS 1731 will continue to </w:t>
      </w:r>
      <w:r w:rsidR="0053786F">
        <w:t>exclude</w:t>
      </w:r>
      <w:r w:rsidRPr="00EB391B">
        <w:t xml:space="preserve"> most storage cabinets that are intended for use in catering and similar non-retail applications (food storage purposes), </w:t>
      </w:r>
      <w:r w:rsidR="0053786F">
        <w:t xml:space="preserve">and form </w:t>
      </w:r>
      <w:r w:rsidRPr="00EB391B">
        <w:t>approximately 20% of the market.</w:t>
      </w:r>
    </w:p>
    <w:p w14:paraId="55BA2450" w14:textId="77777777" w:rsidR="005875E7" w:rsidRPr="00EB391B" w:rsidRDefault="005875E7" w:rsidP="00A86560">
      <w:pPr>
        <w:pStyle w:val="E3Bullets"/>
        <w:numPr>
          <w:ilvl w:val="0"/>
          <w:numId w:val="0"/>
        </w:numPr>
        <w:ind w:left="227"/>
        <w:jc w:val="both"/>
      </w:pPr>
    </w:p>
    <w:p w14:paraId="610FF9D0" w14:textId="15FE27AA" w:rsidR="005875E7" w:rsidRPr="00EB391B" w:rsidRDefault="005875E7" w:rsidP="00A86560">
      <w:pPr>
        <w:pStyle w:val="E3Bullets"/>
        <w:jc w:val="both"/>
      </w:pPr>
      <w:r w:rsidRPr="00EB391B">
        <w:t>The MEPS and HEPS levels will remain unchanged</w:t>
      </w:r>
      <w:r w:rsidR="00B4374E">
        <w:t>. They</w:t>
      </w:r>
      <w:r w:rsidRPr="00EB391B">
        <w:t xml:space="preserve"> will not provide meaningful parameters for relative energy efficiency of different cabinet models and will not align with internationally accepted standards.</w:t>
      </w:r>
    </w:p>
    <w:p w14:paraId="3CEF77DB" w14:textId="77777777" w:rsidR="005875E7" w:rsidRPr="00EB391B" w:rsidRDefault="005875E7" w:rsidP="00A86560">
      <w:pPr>
        <w:pStyle w:val="E3Bullets"/>
        <w:numPr>
          <w:ilvl w:val="0"/>
          <w:numId w:val="0"/>
        </w:numPr>
        <w:ind w:left="227"/>
        <w:jc w:val="both"/>
      </w:pPr>
    </w:p>
    <w:p w14:paraId="49D5D77D" w14:textId="543D194E" w:rsidR="005875E7" w:rsidRPr="00EB391B" w:rsidRDefault="005875E7" w:rsidP="00A86560">
      <w:pPr>
        <w:pStyle w:val="E3Bullets"/>
        <w:jc w:val="both"/>
      </w:pPr>
      <w:r w:rsidRPr="00EB391B">
        <w:t xml:space="preserve">Refrigerated cabinets will not be subject to labelling requirements. Consumers will </w:t>
      </w:r>
      <w:r w:rsidR="00B4374E">
        <w:t xml:space="preserve">be </w:t>
      </w:r>
      <w:r w:rsidRPr="00EB391B">
        <w:t>unable to use labels to compare the relative efficiency of different models.</w:t>
      </w:r>
    </w:p>
    <w:p w14:paraId="2BB8A277" w14:textId="77777777" w:rsidR="005875E7" w:rsidRPr="00AF7405" w:rsidRDefault="005875E7" w:rsidP="003616D8">
      <w:pPr>
        <w:pStyle w:val="E3Heading2"/>
        <w:spacing w:before="240"/>
        <w:contextualSpacing w:val="0"/>
        <w:jc w:val="both"/>
      </w:pPr>
      <w:bookmarkStart w:id="139" w:name="_Toc449708770"/>
      <w:bookmarkStart w:id="140" w:name="_Toc494897968"/>
      <w:bookmarkStart w:id="141" w:name="_Toc494955764"/>
      <w:bookmarkStart w:id="142" w:name="_Toc494959572"/>
      <w:bookmarkStart w:id="143" w:name="_Toc494972698"/>
      <w:bookmarkStart w:id="144" w:name="_Toc494973885"/>
      <w:bookmarkStart w:id="145" w:name="_Toc494974574"/>
      <w:bookmarkStart w:id="146" w:name="_Toc500151800"/>
      <w:r w:rsidRPr="00AF7405">
        <w:t>Regulatory Options</w:t>
      </w:r>
      <w:bookmarkEnd w:id="139"/>
      <w:bookmarkEnd w:id="140"/>
      <w:bookmarkEnd w:id="141"/>
      <w:bookmarkEnd w:id="142"/>
      <w:bookmarkEnd w:id="143"/>
      <w:bookmarkEnd w:id="144"/>
      <w:bookmarkEnd w:id="145"/>
      <w:bookmarkEnd w:id="146"/>
    </w:p>
    <w:p w14:paraId="653D70B7" w14:textId="52445238" w:rsidR="005875E7" w:rsidRPr="00C620B0" w:rsidRDefault="005875E7" w:rsidP="00A86560">
      <w:pPr>
        <w:pStyle w:val="E3BodyText"/>
        <w:jc w:val="both"/>
      </w:pPr>
      <w:bookmarkStart w:id="147" w:name="_Toc447533586"/>
      <w:r w:rsidRPr="00C620B0">
        <w:t xml:space="preserve">All </w:t>
      </w:r>
      <w:r w:rsidR="00B4374E">
        <w:t>these</w:t>
      </w:r>
      <w:r w:rsidR="00B4374E" w:rsidRPr="00C620B0">
        <w:t xml:space="preserve"> </w:t>
      </w:r>
      <w:r w:rsidRPr="00C620B0">
        <w:t>options involve</w:t>
      </w:r>
      <w:r>
        <w:t>:</w:t>
      </w:r>
    </w:p>
    <w:p w14:paraId="011A133F" w14:textId="4700B85A" w:rsidR="005875E7" w:rsidRDefault="005875E7" w:rsidP="00A86560">
      <w:pPr>
        <w:pStyle w:val="E3Bullets"/>
        <w:jc w:val="both"/>
      </w:pPr>
      <w:r w:rsidRPr="00EB391B">
        <w:t>Adoption of the ISO and EN test methods for display, storage and related cabinets.</w:t>
      </w:r>
    </w:p>
    <w:p w14:paraId="01AD2792" w14:textId="77777777" w:rsidR="00A86560" w:rsidRPr="00EB391B" w:rsidRDefault="00A86560" w:rsidP="00A86560">
      <w:pPr>
        <w:pStyle w:val="E3Bullets"/>
        <w:numPr>
          <w:ilvl w:val="0"/>
          <w:numId w:val="0"/>
        </w:numPr>
        <w:ind w:left="227"/>
        <w:jc w:val="both"/>
      </w:pPr>
    </w:p>
    <w:p w14:paraId="6061078A" w14:textId="28CF74E5" w:rsidR="005875E7" w:rsidRDefault="005875E7" w:rsidP="00A86560">
      <w:pPr>
        <w:pStyle w:val="E3Bullets"/>
        <w:jc w:val="both"/>
      </w:pPr>
      <w:r w:rsidRPr="00EB391B">
        <w:t>A change to EC MEPs levels or changes to local MEPs levels to reflect European methods.</w:t>
      </w:r>
    </w:p>
    <w:p w14:paraId="39C440F2" w14:textId="46318D69" w:rsidR="00A86560" w:rsidRPr="00EB391B" w:rsidRDefault="00A86560" w:rsidP="00A86560">
      <w:pPr>
        <w:pStyle w:val="ListParagraph"/>
      </w:pPr>
    </w:p>
    <w:p w14:paraId="5F9BF1E3" w14:textId="72D7124C" w:rsidR="00A86560" w:rsidRDefault="005875E7" w:rsidP="00A86560">
      <w:pPr>
        <w:pStyle w:val="E3Bullets"/>
        <w:jc w:val="both"/>
      </w:pPr>
      <w:r w:rsidRPr="00EB391B">
        <w:t xml:space="preserve">Adoption of the European approach to energy efficiency: the Energy Efficiency Index (EEI) and European efficiency grades. </w:t>
      </w:r>
    </w:p>
    <w:p w14:paraId="3FE5F41B" w14:textId="48C05F56" w:rsidR="00A86560" w:rsidRPr="00EB391B" w:rsidRDefault="00A86560" w:rsidP="00A86560">
      <w:pPr>
        <w:pStyle w:val="E3Bullets"/>
        <w:numPr>
          <w:ilvl w:val="0"/>
          <w:numId w:val="0"/>
        </w:numPr>
        <w:jc w:val="both"/>
      </w:pPr>
    </w:p>
    <w:p w14:paraId="7AC614EE" w14:textId="17164375" w:rsidR="005875E7" w:rsidRDefault="005875E7" w:rsidP="00A86560">
      <w:pPr>
        <w:pStyle w:val="E3Bullets"/>
        <w:jc w:val="both"/>
      </w:pPr>
      <w:r w:rsidRPr="00EB391B">
        <w:t xml:space="preserve">The addition of voluntary online labelling using European energy efficiency grades converted to the current star rating system.  </w:t>
      </w:r>
    </w:p>
    <w:p w14:paraId="4C26917B" w14:textId="5A5D05E7" w:rsidR="00A86560" w:rsidRPr="00EB391B" w:rsidRDefault="00A86560" w:rsidP="00A86560">
      <w:pPr>
        <w:pStyle w:val="ListParagraph"/>
      </w:pPr>
    </w:p>
    <w:p w14:paraId="1C1DEE4B" w14:textId="77777777" w:rsidR="005875E7" w:rsidRPr="00EB391B" w:rsidRDefault="005875E7" w:rsidP="00A86560">
      <w:pPr>
        <w:pStyle w:val="E3Bullets"/>
        <w:jc w:val="both"/>
      </w:pPr>
      <w:r w:rsidRPr="00EB391B">
        <w:t>A “Deemed to Comply” method of compliance for low volume products</w:t>
      </w:r>
    </w:p>
    <w:p w14:paraId="434B623A" w14:textId="77777777" w:rsidR="005875E7" w:rsidRPr="007E79D2" w:rsidRDefault="005875E7" w:rsidP="00A86560">
      <w:pPr>
        <w:pStyle w:val="E3BodyText"/>
        <w:jc w:val="both"/>
      </w:pPr>
      <w:r>
        <w:t xml:space="preserve">All regulatory options have been modified following industry feedback to incorporate voluntary online labelling rather than the mandatory labelling previously proposed. </w:t>
      </w:r>
      <w:r w:rsidRPr="007E79D2">
        <w:t xml:space="preserve">Option 4 has also been modified so it proposes </w:t>
      </w:r>
      <w:r>
        <w:t>revising</w:t>
      </w:r>
      <w:r w:rsidRPr="00281221">
        <w:t xml:space="preserve"> existing local MEPS levels to align with EC MEPS levels</w:t>
      </w:r>
      <w:r>
        <w:t>. All proposals now have an implementation date of 1 December 2019</w:t>
      </w:r>
      <w:r w:rsidRPr="007E79D2">
        <w:t>.</w:t>
      </w:r>
    </w:p>
    <w:p w14:paraId="3F64F7B0" w14:textId="77777777" w:rsidR="00AF7405" w:rsidRPr="00AF7405" w:rsidRDefault="00AF7405" w:rsidP="00A86560">
      <w:pPr>
        <w:jc w:val="both"/>
        <w:rPr>
          <w:lang w:val="en-US"/>
        </w:rPr>
      </w:pPr>
    </w:p>
    <w:p w14:paraId="61706885" w14:textId="27FEE43A" w:rsidR="00A86560" w:rsidRPr="0041262C" w:rsidRDefault="005875E7" w:rsidP="00A86560">
      <w:pPr>
        <w:pStyle w:val="E3Heading4"/>
        <w:jc w:val="both"/>
      </w:pPr>
      <w:r w:rsidRPr="0041262C">
        <w:t>Test Methods</w:t>
      </w:r>
      <w:bookmarkEnd w:id="147"/>
    </w:p>
    <w:p w14:paraId="65252097" w14:textId="77777777" w:rsidR="005875E7" w:rsidRPr="00066675" w:rsidRDefault="005875E7" w:rsidP="00A86560">
      <w:pPr>
        <w:pStyle w:val="E3BodyText"/>
        <w:jc w:val="both"/>
      </w:pPr>
      <w:r w:rsidRPr="00066675">
        <w:t xml:space="preserve">All regulatory </w:t>
      </w:r>
      <w:r>
        <w:t>options look at adopting from 2019</w:t>
      </w:r>
      <w:r w:rsidRPr="00066675">
        <w:t>:</w:t>
      </w:r>
    </w:p>
    <w:p w14:paraId="5C603BE3" w14:textId="718345FE" w:rsidR="005875E7" w:rsidRDefault="005875E7" w:rsidP="00A86560">
      <w:pPr>
        <w:pStyle w:val="E3Bullets"/>
        <w:jc w:val="both"/>
      </w:pPr>
      <w:r w:rsidRPr="00EB391B">
        <w:t>The ISO standard 23953 for Refrigerated Display Cabinets (in relation to display cabinets and beverage coolers).</w:t>
      </w:r>
    </w:p>
    <w:p w14:paraId="54212752" w14:textId="77777777" w:rsidR="00A86560" w:rsidRPr="00EB391B" w:rsidRDefault="00A86560" w:rsidP="00A86560">
      <w:pPr>
        <w:pStyle w:val="E3Bullets"/>
        <w:numPr>
          <w:ilvl w:val="0"/>
          <w:numId w:val="0"/>
        </w:numPr>
        <w:ind w:left="227"/>
        <w:jc w:val="both"/>
      </w:pPr>
    </w:p>
    <w:p w14:paraId="72E6570B" w14:textId="293F5021" w:rsidR="005875E7" w:rsidRDefault="005875E7" w:rsidP="00A86560">
      <w:pPr>
        <w:pStyle w:val="E3Bullets"/>
        <w:jc w:val="both"/>
      </w:pPr>
      <w:r w:rsidRPr="00EB391B">
        <w:t xml:space="preserve">EN 16825 for Refrigerated Storage Cabinets and Counters for Professional Use. </w:t>
      </w:r>
    </w:p>
    <w:p w14:paraId="7CF1BEE7" w14:textId="6CFAE57A" w:rsidR="00A86560" w:rsidRPr="00EB391B" w:rsidRDefault="00A86560" w:rsidP="00A86560">
      <w:pPr>
        <w:pStyle w:val="ListParagraph"/>
      </w:pPr>
    </w:p>
    <w:p w14:paraId="09A62A33" w14:textId="6552C505" w:rsidR="005875E7" w:rsidRDefault="005875E7" w:rsidP="00A86560">
      <w:pPr>
        <w:pStyle w:val="E3Bullets"/>
        <w:jc w:val="both"/>
      </w:pPr>
      <w:r w:rsidRPr="00EB391B">
        <w:t>EN 16901 for small ice-cream freezers.</w:t>
      </w:r>
    </w:p>
    <w:p w14:paraId="335D3C1D" w14:textId="77777777" w:rsidR="00A86560" w:rsidRPr="00EB391B" w:rsidRDefault="00A86560" w:rsidP="00A86560">
      <w:pPr>
        <w:pStyle w:val="E3Bullets"/>
        <w:numPr>
          <w:ilvl w:val="0"/>
          <w:numId w:val="0"/>
        </w:numPr>
        <w:ind w:left="227"/>
        <w:jc w:val="both"/>
      </w:pPr>
    </w:p>
    <w:p w14:paraId="46AD9AE7" w14:textId="77777777" w:rsidR="005875E7" w:rsidRPr="00066675" w:rsidRDefault="005875E7" w:rsidP="00A86560">
      <w:pPr>
        <w:pStyle w:val="E3Bullets"/>
        <w:jc w:val="both"/>
      </w:pPr>
      <w:r w:rsidRPr="00EB391B">
        <w:lastRenderedPageBreak/>
        <w:t>EN 16838 for refrigerated display scooping cabinets for gelato</w:t>
      </w:r>
      <w:r w:rsidRPr="00066675">
        <w:t>.</w:t>
      </w:r>
    </w:p>
    <w:p w14:paraId="0D1C687D" w14:textId="77777777" w:rsidR="005875E7" w:rsidRPr="00066675" w:rsidRDefault="005875E7" w:rsidP="00A86560">
      <w:pPr>
        <w:pStyle w:val="E3Bullets"/>
        <w:numPr>
          <w:ilvl w:val="0"/>
          <w:numId w:val="0"/>
        </w:numPr>
        <w:jc w:val="both"/>
      </w:pPr>
    </w:p>
    <w:p w14:paraId="15E12B5A" w14:textId="731930F5" w:rsidR="005875E7" w:rsidRDefault="005875E7" w:rsidP="00A86560">
      <w:pPr>
        <w:pStyle w:val="E3Bullets"/>
        <w:numPr>
          <w:ilvl w:val="0"/>
          <w:numId w:val="0"/>
        </w:numPr>
        <w:jc w:val="both"/>
      </w:pPr>
      <w:r w:rsidRPr="00066675">
        <w:t>Essentially,</w:t>
      </w:r>
      <w:r>
        <w:t xml:space="preserve"> these </w:t>
      </w:r>
      <w:r w:rsidR="00B4374E">
        <w:t>s</w:t>
      </w:r>
      <w:r w:rsidRPr="00066675">
        <w:t>tandards cover a much wider range of refrigeration equipment that performs similar functions or ha</w:t>
      </w:r>
      <w:r>
        <w:t>s</w:t>
      </w:r>
      <w:r w:rsidRPr="00066675">
        <w:t xml:space="preserve"> similar characteristics </w:t>
      </w:r>
      <w:r>
        <w:t xml:space="preserve">to </w:t>
      </w:r>
      <w:r w:rsidRPr="00066675">
        <w:t xml:space="preserve">those already regulated in Australia and New Zealand. These </w:t>
      </w:r>
      <w:r w:rsidR="00B4374E">
        <w:t>s</w:t>
      </w:r>
      <w:r>
        <w:t xml:space="preserve">tandards make up </w:t>
      </w:r>
      <w:r w:rsidRPr="00066675">
        <w:t xml:space="preserve">a complementary suite of test methods that cover much of the refrigerated cabinet market (previously these were sub-sets in AS 1731). </w:t>
      </w:r>
      <w:r>
        <w:t xml:space="preserve">They have been developed using the ISO as a parent </w:t>
      </w:r>
      <w:r w:rsidR="00B4374E">
        <w:t>s</w:t>
      </w:r>
      <w:r>
        <w:t>tandard.</w:t>
      </w:r>
    </w:p>
    <w:p w14:paraId="7A48C80D" w14:textId="77777777" w:rsidR="005875E7" w:rsidRDefault="005875E7" w:rsidP="00A86560">
      <w:pPr>
        <w:pStyle w:val="E3Bullets"/>
        <w:numPr>
          <w:ilvl w:val="0"/>
          <w:numId w:val="0"/>
        </w:numPr>
        <w:jc w:val="both"/>
      </w:pPr>
    </w:p>
    <w:p w14:paraId="552F88F1" w14:textId="408920EA" w:rsidR="005875E7" w:rsidRDefault="005875E7" w:rsidP="00A86560">
      <w:pPr>
        <w:pStyle w:val="E3Bullets"/>
        <w:numPr>
          <w:ilvl w:val="0"/>
          <w:numId w:val="0"/>
        </w:numPr>
        <w:jc w:val="both"/>
      </w:pPr>
      <w:r>
        <w:t>The ISO S</w:t>
      </w:r>
      <w:r w:rsidRPr="00066675">
        <w:t>tandard is widely used in Europe as the preferred test method for display cabinets</w:t>
      </w:r>
      <w:r>
        <w:t>.</w:t>
      </w:r>
      <w:r w:rsidRPr="00066675">
        <w:t xml:space="preserve"> </w:t>
      </w:r>
      <w:r>
        <w:t>O</w:t>
      </w:r>
      <w:r w:rsidRPr="00066675">
        <w:t xml:space="preserve">ther countries have </w:t>
      </w:r>
      <w:r>
        <w:t xml:space="preserve">adopted or adapted it or are looking to do so. There was almost unanimous support from industry for the adoption of the European </w:t>
      </w:r>
      <w:r w:rsidR="00B4374E">
        <w:t>s</w:t>
      </w:r>
      <w:r>
        <w:t>tandards and test methods.</w:t>
      </w:r>
    </w:p>
    <w:p w14:paraId="1BA566E3" w14:textId="77777777" w:rsidR="005875E7" w:rsidRDefault="005875E7" w:rsidP="00A86560">
      <w:pPr>
        <w:pStyle w:val="E3Bullets"/>
        <w:numPr>
          <w:ilvl w:val="0"/>
          <w:numId w:val="0"/>
        </w:numPr>
        <w:jc w:val="both"/>
      </w:pPr>
    </w:p>
    <w:p w14:paraId="3368C412" w14:textId="5F200993" w:rsidR="005875E7" w:rsidRPr="00066675" w:rsidRDefault="005875E7" w:rsidP="00A86560">
      <w:pPr>
        <w:pStyle w:val="E3Bullets"/>
        <w:numPr>
          <w:ilvl w:val="0"/>
          <w:numId w:val="0"/>
        </w:numPr>
        <w:jc w:val="both"/>
      </w:pPr>
      <w:r w:rsidRPr="00066675">
        <w:t xml:space="preserve">The ISO standard for display cabinets, allows a ‘deemed to comply’ option for components to be swapped in an already rated model, without the need to re-test or register it as a separate model. </w:t>
      </w:r>
      <w:r>
        <w:t xml:space="preserve">The regulatory proposals in this RIS incorporate the inclusion of a ‘deemed to comply’ provision in the revised </w:t>
      </w:r>
      <w:r w:rsidR="00B4374E">
        <w:t>s</w:t>
      </w:r>
      <w:r>
        <w:t>tandards.  This is supported by industry, with the feedback from the consultation process supporting a ‘deemed to comply’ pathway to compliance, particularly for local manufacturers who face high compliance costs from the proposed regulatory changes</w:t>
      </w:r>
      <w:r w:rsidR="00B4374E">
        <w:t xml:space="preserve"> than importers would face</w:t>
      </w:r>
      <w:r>
        <w:t xml:space="preserve">.  </w:t>
      </w:r>
    </w:p>
    <w:p w14:paraId="51FBC3EF" w14:textId="77777777" w:rsidR="00A86560" w:rsidRDefault="00A86560" w:rsidP="00A86560">
      <w:pPr>
        <w:pStyle w:val="E3Heading4"/>
        <w:jc w:val="both"/>
      </w:pPr>
      <w:bookmarkStart w:id="148" w:name="_Toc447533587"/>
    </w:p>
    <w:p w14:paraId="2C298CD5" w14:textId="07EE09D4" w:rsidR="00AF7405" w:rsidRPr="0041262C" w:rsidRDefault="005875E7" w:rsidP="00A86560">
      <w:pPr>
        <w:pStyle w:val="E3Heading4"/>
        <w:jc w:val="both"/>
      </w:pPr>
      <w:r w:rsidRPr="0041262C">
        <w:t>MEPS levels</w:t>
      </w:r>
      <w:bookmarkEnd w:id="148"/>
      <w:r w:rsidRPr="0041262C">
        <w:t xml:space="preserve"> </w:t>
      </w:r>
    </w:p>
    <w:p w14:paraId="510C8C3D" w14:textId="32EB1F13" w:rsidR="005875E7" w:rsidRPr="00066675" w:rsidRDefault="005875E7" w:rsidP="00A86560">
      <w:pPr>
        <w:pStyle w:val="E3BodyText"/>
        <w:jc w:val="both"/>
        <w:rPr>
          <w:lang w:val="en-NZ" w:eastAsia="en-NZ"/>
        </w:rPr>
      </w:pPr>
      <w:r w:rsidRPr="00066675">
        <w:t>All regulatory proposals look at either adopting the European MEPS levels or designing MEPS levels based on European methods</w:t>
      </w:r>
      <w:r>
        <w:t xml:space="preserve">.  </w:t>
      </w:r>
      <w:r w:rsidRPr="00066675">
        <w:rPr>
          <w:lang w:val="en-NZ" w:eastAsia="en-NZ"/>
        </w:rPr>
        <w:t xml:space="preserve">The idea of moving to group level MEPS is that it avoids the </w:t>
      </w:r>
      <w:r>
        <w:rPr>
          <w:lang w:val="en-NZ" w:eastAsia="en-NZ"/>
        </w:rPr>
        <w:t xml:space="preserve">issues caused by specific </w:t>
      </w:r>
      <w:r w:rsidRPr="00066675">
        <w:rPr>
          <w:lang w:val="en-NZ" w:eastAsia="en-NZ"/>
        </w:rPr>
        <w:t>definitions</w:t>
      </w:r>
      <w:r w:rsidR="00B4374E">
        <w:rPr>
          <w:lang w:val="en-NZ" w:eastAsia="en-NZ"/>
        </w:rPr>
        <w:t xml:space="preserve"> and</w:t>
      </w:r>
      <w:r w:rsidR="00B4374E" w:rsidRPr="00066675">
        <w:rPr>
          <w:lang w:val="en-NZ" w:eastAsia="en-NZ"/>
        </w:rPr>
        <w:t xml:space="preserve"> slight</w:t>
      </w:r>
      <w:r w:rsidRPr="00066675">
        <w:rPr>
          <w:lang w:val="en-NZ" w:eastAsia="en-NZ"/>
        </w:rPr>
        <w:t xml:space="preserve"> class-differences in MEPS levels</w:t>
      </w:r>
      <w:r>
        <w:rPr>
          <w:lang w:val="en-NZ" w:eastAsia="en-NZ"/>
        </w:rPr>
        <w:t>.</w:t>
      </w:r>
      <w:r w:rsidRPr="00066675">
        <w:rPr>
          <w:lang w:val="en-NZ" w:eastAsia="en-NZ"/>
        </w:rPr>
        <w:t xml:space="preserve"> Broader product groups are</w:t>
      </w:r>
      <w:r w:rsidR="00B4374E">
        <w:rPr>
          <w:lang w:val="en-NZ" w:eastAsia="en-NZ"/>
        </w:rPr>
        <w:t xml:space="preserve"> also</w:t>
      </w:r>
      <w:r w:rsidRPr="00066675">
        <w:rPr>
          <w:lang w:val="en-NZ" w:eastAsia="en-NZ"/>
        </w:rPr>
        <w:t xml:space="preserve"> more inclusive without specific dimensional or physical characteristics creating grey areas and loopholes in regulation.</w:t>
      </w:r>
    </w:p>
    <w:p w14:paraId="54E8F888" w14:textId="77777777" w:rsidR="00AB6426" w:rsidRDefault="00AB6426" w:rsidP="00A86560">
      <w:pPr>
        <w:pStyle w:val="E3Bullets"/>
        <w:numPr>
          <w:ilvl w:val="0"/>
          <w:numId w:val="0"/>
        </w:numPr>
        <w:jc w:val="both"/>
      </w:pPr>
    </w:p>
    <w:p w14:paraId="696CD73A" w14:textId="0A3957C6" w:rsidR="005875E7" w:rsidRDefault="005875E7" w:rsidP="00A86560">
      <w:pPr>
        <w:pStyle w:val="E3Bullets"/>
        <w:numPr>
          <w:ilvl w:val="0"/>
          <w:numId w:val="0"/>
        </w:numPr>
        <w:jc w:val="both"/>
      </w:pPr>
      <w:r w:rsidRPr="00066675">
        <w:t xml:space="preserve">Three MEPS level scenarios are </w:t>
      </w:r>
      <w:r w:rsidR="00B4374E">
        <w:t>contained in</w:t>
      </w:r>
      <w:r>
        <w:t xml:space="preserve"> options 2 to 4:</w:t>
      </w:r>
    </w:p>
    <w:p w14:paraId="0F89A876" w14:textId="77777777" w:rsidR="005875E7" w:rsidRPr="00066675" w:rsidRDefault="005875E7" w:rsidP="00A86560">
      <w:pPr>
        <w:pStyle w:val="E3Bullets"/>
        <w:numPr>
          <w:ilvl w:val="0"/>
          <w:numId w:val="0"/>
        </w:numPr>
        <w:spacing w:after="240"/>
        <w:jc w:val="both"/>
      </w:pPr>
    </w:p>
    <w:p w14:paraId="2F1068EC" w14:textId="15FDD6DF" w:rsidR="005875E7" w:rsidRDefault="005875E7" w:rsidP="00A86560">
      <w:pPr>
        <w:pStyle w:val="E3Bullets"/>
        <w:jc w:val="both"/>
      </w:pPr>
      <w:r w:rsidRPr="00EB391B">
        <w:t xml:space="preserve">Revising local Australia-New Zealand MEPS levels to affect the least efficient 10% of cabinets, per group of similar cabinet types (option 2), or </w:t>
      </w:r>
    </w:p>
    <w:p w14:paraId="4628E8C7" w14:textId="77777777" w:rsidR="00A97BF6" w:rsidRPr="00EB391B" w:rsidRDefault="00A97BF6" w:rsidP="00A97BF6">
      <w:pPr>
        <w:pStyle w:val="E3Bullets"/>
        <w:numPr>
          <w:ilvl w:val="0"/>
          <w:numId w:val="0"/>
        </w:numPr>
        <w:ind w:left="227"/>
        <w:jc w:val="both"/>
      </w:pPr>
    </w:p>
    <w:p w14:paraId="2395E61A" w14:textId="4E94BD62" w:rsidR="005875E7" w:rsidRDefault="00B4374E" w:rsidP="00A86560">
      <w:pPr>
        <w:pStyle w:val="E3Bullets"/>
        <w:jc w:val="both"/>
      </w:pPr>
      <w:r>
        <w:t xml:space="preserve"> </w:t>
      </w:r>
      <w:r w:rsidRPr="00066675">
        <w:t xml:space="preserve">Revising local Australia-New Zealand MEPS levels to affect the least efficient </w:t>
      </w:r>
      <w:r w:rsidR="005875E7" w:rsidRPr="00EB391B">
        <w:t xml:space="preserve">30% of cabinets per group of similar cabinet types (option 3), or </w:t>
      </w:r>
    </w:p>
    <w:p w14:paraId="3B3239C9" w14:textId="46B8028C" w:rsidR="00A97BF6" w:rsidRPr="00EB391B" w:rsidRDefault="00A97BF6" w:rsidP="00A97BF6">
      <w:pPr>
        <w:pStyle w:val="ListParagraph"/>
      </w:pPr>
    </w:p>
    <w:p w14:paraId="48A9280B" w14:textId="77777777" w:rsidR="005875E7" w:rsidRDefault="005875E7" w:rsidP="00A86560">
      <w:pPr>
        <w:pStyle w:val="E3Bullets"/>
        <w:jc w:val="both"/>
      </w:pPr>
      <w:r w:rsidRPr="00EB391B">
        <w:t xml:space="preserve">Aligning with EC </w:t>
      </w:r>
      <w:r w:rsidRPr="00EB391B" w:rsidDel="00F502B9">
        <w:t>MEPS levels (</w:t>
      </w:r>
      <w:r w:rsidRPr="00EB391B">
        <w:t xml:space="preserve">option 4) with </w:t>
      </w:r>
      <w:r w:rsidRPr="00EB391B" w:rsidDel="00F502B9">
        <w:t>appro</w:t>
      </w:r>
      <w:r w:rsidRPr="00EB391B">
        <w:t>ximately</w:t>
      </w:r>
      <w:r w:rsidRPr="00EB391B" w:rsidDel="00F502B9">
        <w:t xml:space="preserve"> </w:t>
      </w:r>
      <w:r w:rsidRPr="00EB391B">
        <w:t>25</w:t>
      </w:r>
      <w:r w:rsidRPr="00EB391B" w:rsidDel="00F502B9">
        <w:t xml:space="preserve">% </w:t>
      </w:r>
      <w:r w:rsidRPr="00EB391B">
        <w:t xml:space="preserve">of all cabinet models </w:t>
      </w:r>
      <w:r w:rsidRPr="00EB391B" w:rsidDel="00F502B9">
        <w:t xml:space="preserve">affected but </w:t>
      </w:r>
      <w:r w:rsidRPr="00EB391B">
        <w:t xml:space="preserve">with </w:t>
      </w:r>
      <w:r w:rsidRPr="00EB391B" w:rsidDel="00F502B9">
        <w:t>some sub-sets of cab</w:t>
      </w:r>
      <w:r w:rsidRPr="00EB391B">
        <w:t>inets are more affected than others</w:t>
      </w:r>
      <w:r w:rsidRPr="00EB391B" w:rsidDel="00F502B9">
        <w:t xml:space="preserve">. </w:t>
      </w:r>
    </w:p>
    <w:p w14:paraId="7EAFB629" w14:textId="77777777" w:rsidR="003616D8" w:rsidRPr="00EB391B" w:rsidDel="00F502B9" w:rsidRDefault="003616D8" w:rsidP="00120A42">
      <w:pPr>
        <w:pStyle w:val="E3Bullets"/>
        <w:numPr>
          <w:ilvl w:val="0"/>
          <w:numId w:val="0"/>
        </w:numPr>
        <w:ind w:left="227"/>
        <w:jc w:val="both"/>
      </w:pPr>
    </w:p>
    <w:p w14:paraId="3DE01140" w14:textId="43749171" w:rsidR="005875E7" w:rsidRPr="00AF7405" w:rsidRDefault="005875E7" w:rsidP="00497702">
      <w:pPr>
        <w:pStyle w:val="E3TableTitles"/>
        <w:spacing w:after="0"/>
        <w:jc w:val="both"/>
        <w:rPr>
          <w:sz w:val="18"/>
          <w:szCs w:val="20"/>
        </w:rPr>
      </w:pPr>
      <w:bookmarkStart w:id="149" w:name="_Ref449960531"/>
      <w:bookmarkStart w:id="150" w:name="_Toc449708960"/>
      <w:bookmarkStart w:id="151" w:name="_Toc449968524"/>
      <w:bookmarkStart w:id="152" w:name="_Toc494142455"/>
      <w:bookmarkStart w:id="153" w:name="_Toc500159655"/>
      <w:r>
        <w:lastRenderedPageBreak/>
        <w:t xml:space="preserve">Table </w:t>
      </w:r>
      <w:r>
        <w:fldChar w:fldCharType="begin"/>
      </w:r>
      <w:r>
        <w:instrText xml:space="preserve"> SEQ Table \* ARABIC </w:instrText>
      </w:r>
      <w:r>
        <w:fldChar w:fldCharType="separate"/>
      </w:r>
      <w:r w:rsidR="00D51B4B">
        <w:rPr>
          <w:noProof/>
        </w:rPr>
        <w:t>5</w:t>
      </w:r>
      <w:r>
        <w:rPr>
          <w:noProof/>
        </w:rPr>
        <w:fldChar w:fldCharType="end"/>
      </w:r>
      <w:bookmarkEnd w:id="149"/>
      <w:r>
        <w:t>: Summary of 15 groups of display and s</w:t>
      </w:r>
      <w:r w:rsidRPr="009A4D6A">
        <w:t>torage cabinets.</w:t>
      </w:r>
      <w:bookmarkEnd w:id="150"/>
      <w:bookmarkEnd w:id="151"/>
      <w:bookmarkEnd w:id="152"/>
      <w:bookmarkEnd w:id="153"/>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605"/>
        <w:gridCol w:w="1513"/>
        <w:gridCol w:w="1559"/>
        <w:gridCol w:w="1701"/>
        <w:gridCol w:w="1468"/>
        <w:gridCol w:w="1855"/>
      </w:tblGrid>
      <w:tr w:rsidR="005875E7" w:rsidRPr="00F03E27" w14:paraId="0475BB39" w14:textId="77777777" w:rsidTr="00497702">
        <w:trPr>
          <w:jc w:val="center"/>
        </w:trPr>
        <w:tc>
          <w:tcPr>
            <w:tcW w:w="421" w:type="dxa"/>
            <w:shd w:val="clear" w:color="auto" w:fill="0C0C0C"/>
          </w:tcPr>
          <w:p w14:paraId="5802A7E7" w14:textId="77777777" w:rsidR="005875E7" w:rsidRPr="001A279D" w:rsidRDefault="005875E7" w:rsidP="005875E7">
            <w:pPr>
              <w:pStyle w:val="E3TableHeading"/>
              <w:rPr>
                <w:szCs w:val="15"/>
              </w:rPr>
            </w:pPr>
          </w:p>
        </w:tc>
        <w:tc>
          <w:tcPr>
            <w:tcW w:w="1605" w:type="dxa"/>
            <w:shd w:val="clear" w:color="auto" w:fill="0C0C0C"/>
            <w:vAlign w:val="center"/>
          </w:tcPr>
          <w:p w14:paraId="78F03915" w14:textId="77777777" w:rsidR="005875E7" w:rsidRPr="00497702" w:rsidRDefault="005875E7" w:rsidP="00497702">
            <w:pPr>
              <w:pStyle w:val="E3TableHeading"/>
              <w:jc w:val="center"/>
              <w:rPr>
                <w:sz w:val="20"/>
                <w:szCs w:val="20"/>
              </w:rPr>
            </w:pPr>
            <w:r w:rsidRPr="00497702">
              <w:rPr>
                <w:sz w:val="20"/>
                <w:szCs w:val="20"/>
              </w:rPr>
              <w:t>Group Abbrev.</w:t>
            </w:r>
          </w:p>
        </w:tc>
        <w:tc>
          <w:tcPr>
            <w:tcW w:w="1513" w:type="dxa"/>
            <w:shd w:val="clear" w:color="auto" w:fill="0C0C0C"/>
            <w:vAlign w:val="center"/>
          </w:tcPr>
          <w:p w14:paraId="32CAD79C" w14:textId="77777777" w:rsidR="005875E7" w:rsidRPr="00497702" w:rsidRDefault="005875E7" w:rsidP="00497702">
            <w:pPr>
              <w:pStyle w:val="E3TableHeading"/>
              <w:jc w:val="center"/>
              <w:rPr>
                <w:sz w:val="20"/>
                <w:szCs w:val="20"/>
              </w:rPr>
            </w:pPr>
            <w:r w:rsidRPr="00497702">
              <w:rPr>
                <w:sz w:val="20"/>
                <w:szCs w:val="20"/>
              </w:rPr>
              <w:t>Application</w:t>
            </w:r>
          </w:p>
        </w:tc>
        <w:tc>
          <w:tcPr>
            <w:tcW w:w="1559" w:type="dxa"/>
            <w:shd w:val="clear" w:color="auto" w:fill="0C0C0C"/>
            <w:vAlign w:val="center"/>
          </w:tcPr>
          <w:p w14:paraId="2ABE549D" w14:textId="77777777" w:rsidR="005875E7" w:rsidRPr="00497702" w:rsidRDefault="005875E7" w:rsidP="00497702">
            <w:pPr>
              <w:pStyle w:val="E3TableHeading"/>
              <w:jc w:val="center"/>
              <w:rPr>
                <w:sz w:val="20"/>
                <w:szCs w:val="20"/>
              </w:rPr>
            </w:pPr>
            <w:r w:rsidRPr="00497702">
              <w:rPr>
                <w:sz w:val="20"/>
                <w:szCs w:val="20"/>
              </w:rPr>
              <w:t>Temperature</w:t>
            </w:r>
          </w:p>
        </w:tc>
        <w:tc>
          <w:tcPr>
            <w:tcW w:w="1701" w:type="dxa"/>
            <w:shd w:val="clear" w:color="auto" w:fill="0C0C0C"/>
            <w:vAlign w:val="center"/>
          </w:tcPr>
          <w:p w14:paraId="62C0D5D0" w14:textId="77777777" w:rsidR="005875E7" w:rsidRPr="00497702" w:rsidRDefault="005875E7" w:rsidP="00497702">
            <w:pPr>
              <w:pStyle w:val="E3TableHeading"/>
              <w:jc w:val="center"/>
              <w:rPr>
                <w:sz w:val="20"/>
                <w:szCs w:val="20"/>
              </w:rPr>
            </w:pPr>
            <w:r w:rsidRPr="00497702">
              <w:rPr>
                <w:sz w:val="20"/>
                <w:szCs w:val="20"/>
              </w:rPr>
              <w:t>Configuration</w:t>
            </w:r>
          </w:p>
        </w:tc>
        <w:tc>
          <w:tcPr>
            <w:tcW w:w="1468" w:type="dxa"/>
            <w:shd w:val="clear" w:color="auto" w:fill="0C0C0C"/>
            <w:vAlign w:val="center"/>
          </w:tcPr>
          <w:p w14:paraId="1AD7710B" w14:textId="77777777" w:rsidR="005875E7" w:rsidRPr="00497702" w:rsidRDefault="005875E7" w:rsidP="00497702">
            <w:pPr>
              <w:pStyle w:val="E3TableHeading"/>
              <w:jc w:val="center"/>
              <w:rPr>
                <w:sz w:val="20"/>
                <w:szCs w:val="20"/>
              </w:rPr>
            </w:pPr>
            <w:r w:rsidRPr="00497702">
              <w:rPr>
                <w:sz w:val="20"/>
                <w:szCs w:val="20"/>
              </w:rPr>
              <w:t>AS 1731.14 Types</w:t>
            </w:r>
          </w:p>
        </w:tc>
        <w:tc>
          <w:tcPr>
            <w:tcW w:w="1855" w:type="dxa"/>
            <w:shd w:val="clear" w:color="auto" w:fill="0C0C0C"/>
            <w:vAlign w:val="center"/>
          </w:tcPr>
          <w:p w14:paraId="56187CB9" w14:textId="77777777" w:rsidR="005875E7" w:rsidRPr="00497702" w:rsidRDefault="005875E7" w:rsidP="00497702">
            <w:pPr>
              <w:pStyle w:val="E3TableHeading"/>
              <w:jc w:val="center"/>
              <w:rPr>
                <w:sz w:val="20"/>
                <w:szCs w:val="20"/>
              </w:rPr>
            </w:pPr>
            <w:r w:rsidRPr="00497702">
              <w:rPr>
                <w:sz w:val="20"/>
                <w:szCs w:val="20"/>
              </w:rPr>
              <w:t>ISO 23953 Types</w:t>
            </w:r>
          </w:p>
        </w:tc>
      </w:tr>
      <w:tr w:rsidR="005875E7" w:rsidRPr="00026511" w14:paraId="2754704B" w14:textId="77777777" w:rsidTr="00497702">
        <w:trPr>
          <w:jc w:val="center"/>
        </w:trPr>
        <w:tc>
          <w:tcPr>
            <w:tcW w:w="421" w:type="dxa"/>
          </w:tcPr>
          <w:p w14:paraId="339C3068"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1</w:t>
            </w:r>
          </w:p>
        </w:tc>
        <w:tc>
          <w:tcPr>
            <w:tcW w:w="1605" w:type="dxa"/>
            <w:vAlign w:val="center"/>
          </w:tcPr>
          <w:p w14:paraId="09F9D030"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IRH</w:t>
            </w:r>
          </w:p>
          <w:p w14:paraId="4FB48313"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Integral Refrigerated Horizontal Cabinets</w:t>
            </w:r>
          </w:p>
        </w:tc>
        <w:tc>
          <w:tcPr>
            <w:tcW w:w="1513" w:type="dxa"/>
            <w:vMerge w:val="restart"/>
            <w:vAlign w:val="center"/>
          </w:tcPr>
          <w:p w14:paraId="5B154E3C"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 xml:space="preserve">Integral Refrigerated Display Cabinets </w:t>
            </w:r>
          </w:p>
        </w:tc>
        <w:tc>
          <w:tcPr>
            <w:tcW w:w="1559" w:type="dxa"/>
            <w:vMerge w:val="restart"/>
            <w:vAlign w:val="center"/>
          </w:tcPr>
          <w:p w14:paraId="5B6747EF"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Refrigerator</w:t>
            </w:r>
          </w:p>
        </w:tc>
        <w:tc>
          <w:tcPr>
            <w:tcW w:w="1701" w:type="dxa"/>
            <w:vAlign w:val="center"/>
          </w:tcPr>
          <w:p w14:paraId="243F8A7F"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Horizontal</w:t>
            </w:r>
          </w:p>
        </w:tc>
        <w:tc>
          <w:tcPr>
            <w:tcW w:w="1468" w:type="dxa"/>
            <w:vAlign w:val="center"/>
          </w:tcPr>
          <w:p w14:paraId="34B0E87A"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HC1, HC2, HC3, HC4, HC5, HC6</w:t>
            </w:r>
          </w:p>
        </w:tc>
        <w:tc>
          <w:tcPr>
            <w:tcW w:w="1855" w:type="dxa"/>
            <w:vAlign w:val="center"/>
          </w:tcPr>
          <w:p w14:paraId="01D36EF5"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IHC1, IHC2, IHC3, IHC4, IHC5, IHC6, IHC7, IHC8</w:t>
            </w:r>
          </w:p>
        </w:tc>
      </w:tr>
      <w:tr w:rsidR="005875E7" w:rsidRPr="00026511" w14:paraId="6D2E2097" w14:textId="77777777" w:rsidTr="00497702">
        <w:trPr>
          <w:jc w:val="center"/>
        </w:trPr>
        <w:tc>
          <w:tcPr>
            <w:tcW w:w="421" w:type="dxa"/>
          </w:tcPr>
          <w:p w14:paraId="6D64A511"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2</w:t>
            </w:r>
          </w:p>
        </w:tc>
        <w:tc>
          <w:tcPr>
            <w:tcW w:w="1605" w:type="dxa"/>
            <w:vAlign w:val="center"/>
          </w:tcPr>
          <w:p w14:paraId="491D7A61"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IRV</w:t>
            </w:r>
          </w:p>
          <w:p w14:paraId="0AECC929"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Integral Refrigerated Vertical Cabinets</w:t>
            </w:r>
          </w:p>
        </w:tc>
        <w:tc>
          <w:tcPr>
            <w:tcW w:w="1513" w:type="dxa"/>
            <w:vMerge/>
            <w:vAlign w:val="center"/>
          </w:tcPr>
          <w:p w14:paraId="38EDEF47" w14:textId="77777777" w:rsidR="005875E7" w:rsidRPr="0041262C" w:rsidRDefault="005875E7" w:rsidP="005875E7">
            <w:pPr>
              <w:pStyle w:val="E3tabletext1"/>
              <w:rPr>
                <w:rFonts w:ascii="Helvetica" w:hAnsi="Helvetica" w:cs="Helvetica"/>
                <w:sz w:val="15"/>
                <w:szCs w:val="15"/>
              </w:rPr>
            </w:pPr>
          </w:p>
        </w:tc>
        <w:tc>
          <w:tcPr>
            <w:tcW w:w="1559" w:type="dxa"/>
            <w:vMerge/>
            <w:vAlign w:val="center"/>
          </w:tcPr>
          <w:p w14:paraId="1B015847" w14:textId="77777777" w:rsidR="005875E7" w:rsidRPr="0041262C" w:rsidRDefault="005875E7" w:rsidP="005875E7">
            <w:pPr>
              <w:pStyle w:val="E3tabletext1"/>
              <w:rPr>
                <w:rFonts w:ascii="Helvetica" w:hAnsi="Helvetica" w:cs="Helvetica"/>
                <w:sz w:val="15"/>
                <w:szCs w:val="15"/>
              </w:rPr>
            </w:pPr>
          </w:p>
        </w:tc>
        <w:tc>
          <w:tcPr>
            <w:tcW w:w="1701" w:type="dxa"/>
            <w:vMerge w:val="restart"/>
            <w:vAlign w:val="center"/>
          </w:tcPr>
          <w:p w14:paraId="1DA45B56"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Vertical</w:t>
            </w:r>
          </w:p>
        </w:tc>
        <w:tc>
          <w:tcPr>
            <w:tcW w:w="1468" w:type="dxa"/>
            <w:vAlign w:val="center"/>
          </w:tcPr>
          <w:p w14:paraId="4550A6EB"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IVC1, IVC2, IVC3</w:t>
            </w:r>
          </w:p>
        </w:tc>
        <w:tc>
          <w:tcPr>
            <w:tcW w:w="1855" w:type="dxa"/>
            <w:vAlign w:val="center"/>
          </w:tcPr>
          <w:p w14:paraId="42205372"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IVC1, IVC2, IVC3, IYC1, IYC2, IYC3</w:t>
            </w:r>
          </w:p>
        </w:tc>
      </w:tr>
      <w:tr w:rsidR="005875E7" w:rsidRPr="00026511" w14:paraId="3C264DC8" w14:textId="77777777" w:rsidTr="00497702">
        <w:trPr>
          <w:jc w:val="center"/>
        </w:trPr>
        <w:tc>
          <w:tcPr>
            <w:tcW w:w="421" w:type="dxa"/>
          </w:tcPr>
          <w:p w14:paraId="1DA53B71"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3</w:t>
            </w:r>
          </w:p>
        </w:tc>
        <w:tc>
          <w:tcPr>
            <w:tcW w:w="1605" w:type="dxa"/>
            <w:vAlign w:val="center"/>
          </w:tcPr>
          <w:p w14:paraId="66E617D2"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IRV-4</w:t>
            </w:r>
          </w:p>
          <w:p w14:paraId="242CAEDA"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Integral Refrigerated Vertical Cabinets with Glass Door</w:t>
            </w:r>
          </w:p>
        </w:tc>
        <w:tc>
          <w:tcPr>
            <w:tcW w:w="1513" w:type="dxa"/>
            <w:vMerge/>
            <w:vAlign w:val="center"/>
          </w:tcPr>
          <w:p w14:paraId="613CB9AF" w14:textId="77777777" w:rsidR="005875E7" w:rsidRPr="0041262C" w:rsidRDefault="005875E7" w:rsidP="005875E7">
            <w:pPr>
              <w:pStyle w:val="E3tabletext1"/>
              <w:rPr>
                <w:rFonts w:ascii="Helvetica" w:hAnsi="Helvetica" w:cs="Helvetica"/>
                <w:sz w:val="15"/>
                <w:szCs w:val="15"/>
              </w:rPr>
            </w:pPr>
          </w:p>
        </w:tc>
        <w:tc>
          <w:tcPr>
            <w:tcW w:w="1559" w:type="dxa"/>
            <w:vMerge/>
            <w:vAlign w:val="center"/>
          </w:tcPr>
          <w:p w14:paraId="71AC5C44" w14:textId="77777777" w:rsidR="005875E7" w:rsidRPr="0041262C" w:rsidRDefault="005875E7" w:rsidP="005875E7">
            <w:pPr>
              <w:pStyle w:val="E3tabletext1"/>
              <w:rPr>
                <w:rFonts w:ascii="Helvetica" w:hAnsi="Helvetica" w:cs="Helvetica"/>
                <w:sz w:val="15"/>
                <w:szCs w:val="15"/>
              </w:rPr>
            </w:pPr>
          </w:p>
        </w:tc>
        <w:tc>
          <w:tcPr>
            <w:tcW w:w="1701" w:type="dxa"/>
            <w:vMerge/>
            <w:vAlign w:val="center"/>
          </w:tcPr>
          <w:p w14:paraId="7C5C99E8" w14:textId="77777777" w:rsidR="005875E7" w:rsidRPr="0041262C" w:rsidRDefault="005875E7" w:rsidP="005875E7">
            <w:pPr>
              <w:pStyle w:val="E3tabletext1"/>
              <w:rPr>
                <w:rFonts w:ascii="Helvetica" w:hAnsi="Helvetica" w:cs="Helvetica"/>
                <w:sz w:val="15"/>
                <w:szCs w:val="15"/>
              </w:rPr>
            </w:pPr>
          </w:p>
        </w:tc>
        <w:tc>
          <w:tcPr>
            <w:tcW w:w="1468" w:type="dxa"/>
            <w:vAlign w:val="center"/>
          </w:tcPr>
          <w:p w14:paraId="07894734"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IVC4 Glass door</w:t>
            </w:r>
          </w:p>
        </w:tc>
        <w:tc>
          <w:tcPr>
            <w:tcW w:w="1855" w:type="dxa"/>
            <w:vAlign w:val="center"/>
          </w:tcPr>
          <w:p w14:paraId="387D5B5A"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IVC4, IYC4</w:t>
            </w:r>
          </w:p>
        </w:tc>
      </w:tr>
      <w:tr w:rsidR="005875E7" w:rsidRPr="00026511" w14:paraId="769E0DDD" w14:textId="77777777" w:rsidTr="00497702">
        <w:trPr>
          <w:jc w:val="center"/>
        </w:trPr>
        <w:tc>
          <w:tcPr>
            <w:tcW w:w="421" w:type="dxa"/>
          </w:tcPr>
          <w:p w14:paraId="2482D371"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4</w:t>
            </w:r>
          </w:p>
        </w:tc>
        <w:tc>
          <w:tcPr>
            <w:tcW w:w="1605" w:type="dxa"/>
            <w:vAlign w:val="center"/>
          </w:tcPr>
          <w:p w14:paraId="49F64B1A"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IFH</w:t>
            </w:r>
          </w:p>
          <w:p w14:paraId="08ABEF01"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Integral Freezer Horizontal</w:t>
            </w:r>
          </w:p>
        </w:tc>
        <w:tc>
          <w:tcPr>
            <w:tcW w:w="1513" w:type="dxa"/>
            <w:vMerge/>
            <w:vAlign w:val="center"/>
          </w:tcPr>
          <w:p w14:paraId="46FCA293" w14:textId="77777777" w:rsidR="005875E7" w:rsidRPr="0041262C" w:rsidRDefault="005875E7" w:rsidP="005875E7">
            <w:pPr>
              <w:pStyle w:val="E3tabletext1"/>
              <w:rPr>
                <w:rFonts w:ascii="Helvetica" w:hAnsi="Helvetica" w:cs="Helvetica"/>
                <w:sz w:val="15"/>
                <w:szCs w:val="15"/>
              </w:rPr>
            </w:pPr>
          </w:p>
        </w:tc>
        <w:tc>
          <w:tcPr>
            <w:tcW w:w="1559" w:type="dxa"/>
            <w:vMerge w:val="restart"/>
            <w:vAlign w:val="center"/>
          </w:tcPr>
          <w:p w14:paraId="64F5B77E"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Freezer</w:t>
            </w:r>
          </w:p>
        </w:tc>
        <w:tc>
          <w:tcPr>
            <w:tcW w:w="1701" w:type="dxa"/>
            <w:vMerge w:val="restart"/>
            <w:vAlign w:val="center"/>
          </w:tcPr>
          <w:p w14:paraId="418D51A9"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Horizontal</w:t>
            </w:r>
          </w:p>
        </w:tc>
        <w:tc>
          <w:tcPr>
            <w:tcW w:w="1468" w:type="dxa"/>
            <w:vAlign w:val="center"/>
          </w:tcPr>
          <w:p w14:paraId="6582A805"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IHF1, IHF3, IHF4</w:t>
            </w:r>
          </w:p>
        </w:tc>
        <w:tc>
          <w:tcPr>
            <w:tcW w:w="1855" w:type="dxa"/>
            <w:vAlign w:val="center"/>
          </w:tcPr>
          <w:p w14:paraId="6074A9AC"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IHF1, IHF3, IHF4</w:t>
            </w:r>
          </w:p>
        </w:tc>
      </w:tr>
      <w:tr w:rsidR="005875E7" w:rsidRPr="00026511" w14:paraId="18224467" w14:textId="77777777" w:rsidTr="00497702">
        <w:trPr>
          <w:jc w:val="center"/>
        </w:trPr>
        <w:tc>
          <w:tcPr>
            <w:tcW w:w="421" w:type="dxa"/>
          </w:tcPr>
          <w:p w14:paraId="2886C415"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5</w:t>
            </w:r>
          </w:p>
        </w:tc>
        <w:tc>
          <w:tcPr>
            <w:tcW w:w="1605" w:type="dxa"/>
            <w:vAlign w:val="center"/>
          </w:tcPr>
          <w:p w14:paraId="551D2994"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IFH-5</w:t>
            </w:r>
          </w:p>
          <w:p w14:paraId="5AD0E556"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Integral Freezer Horizontal with Lid</w:t>
            </w:r>
          </w:p>
        </w:tc>
        <w:tc>
          <w:tcPr>
            <w:tcW w:w="1513" w:type="dxa"/>
            <w:vMerge/>
            <w:vAlign w:val="center"/>
          </w:tcPr>
          <w:p w14:paraId="1AFAF487" w14:textId="77777777" w:rsidR="005875E7" w:rsidRPr="0041262C" w:rsidRDefault="005875E7" w:rsidP="005875E7">
            <w:pPr>
              <w:pStyle w:val="E3tabletext1"/>
              <w:rPr>
                <w:rFonts w:ascii="Helvetica" w:hAnsi="Helvetica" w:cs="Helvetica"/>
                <w:sz w:val="15"/>
                <w:szCs w:val="15"/>
              </w:rPr>
            </w:pPr>
          </w:p>
        </w:tc>
        <w:tc>
          <w:tcPr>
            <w:tcW w:w="1559" w:type="dxa"/>
            <w:vMerge/>
            <w:vAlign w:val="center"/>
          </w:tcPr>
          <w:p w14:paraId="2883A22E" w14:textId="77777777" w:rsidR="005875E7" w:rsidRPr="0041262C" w:rsidRDefault="005875E7" w:rsidP="005875E7">
            <w:pPr>
              <w:pStyle w:val="E3tabletext1"/>
              <w:rPr>
                <w:rFonts w:ascii="Helvetica" w:hAnsi="Helvetica" w:cs="Helvetica"/>
                <w:sz w:val="15"/>
                <w:szCs w:val="15"/>
              </w:rPr>
            </w:pPr>
          </w:p>
        </w:tc>
        <w:tc>
          <w:tcPr>
            <w:tcW w:w="1701" w:type="dxa"/>
            <w:vMerge/>
            <w:vAlign w:val="center"/>
          </w:tcPr>
          <w:p w14:paraId="5CF18EF5" w14:textId="77777777" w:rsidR="005875E7" w:rsidRPr="0041262C" w:rsidRDefault="005875E7" w:rsidP="005875E7">
            <w:pPr>
              <w:pStyle w:val="E3tabletext1"/>
              <w:rPr>
                <w:rFonts w:ascii="Helvetica" w:hAnsi="Helvetica" w:cs="Helvetica"/>
                <w:sz w:val="15"/>
                <w:szCs w:val="15"/>
              </w:rPr>
            </w:pPr>
          </w:p>
        </w:tc>
        <w:tc>
          <w:tcPr>
            <w:tcW w:w="1468" w:type="dxa"/>
            <w:vAlign w:val="center"/>
          </w:tcPr>
          <w:p w14:paraId="3A063B73"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IHF5, IHF6</w:t>
            </w:r>
          </w:p>
        </w:tc>
        <w:tc>
          <w:tcPr>
            <w:tcW w:w="1855" w:type="dxa"/>
            <w:vAlign w:val="center"/>
          </w:tcPr>
          <w:p w14:paraId="1C237A94"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IHF5, IHF6</w:t>
            </w:r>
          </w:p>
        </w:tc>
      </w:tr>
      <w:tr w:rsidR="005875E7" w:rsidRPr="00026511" w14:paraId="3F327300" w14:textId="77777777" w:rsidTr="00497702">
        <w:trPr>
          <w:jc w:val="center"/>
        </w:trPr>
        <w:tc>
          <w:tcPr>
            <w:tcW w:w="421" w:type="dxa"/>
          </w:tcPr>
          <w:p w14:paraId="75A6E594"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6</w:t>
            </w:r>
          </w:p>
        </w:tc>
        <w:tc>
          <w:tcPr>
            <w:tcW w:w="1605" w:type="dxa"/>
            <w:vAlign w:val="center"/>
          </w:tcPr>
          <w:p w14:paraId="1EC24785"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IFV</w:t>
            </w:r>
          </w:p>
          <w:p w14:paraId="1E3E6A66"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Integral Freezer Vertical</w:t>
            </w:r>
          </w:p>
        </w:tc>
        <w:tc>
          <w:tcPr>
            <w:tcW w:w="1513" w:type="dxa"/>
            <w:vMerge/>
            <w:vAlign w:val="center"/>
          </w:tcPr>
          <w:p w14:paraId="5B847D8E" w14:textId="77777777" w:rsidR="005875E7" w:rsidRPr="0041262C" w:rsidRDefault="005875E7" w:rsidP="005875E7">
            <w:pPr>
              <w:pStyle w:val="E3tabletext1"/>
              <w:rPr>
                <w:rFonts w:ascii="Helvetica" w:hAnsi="Helvetica" w:cs="Helvetica"/>
                <w:sz w:val="15"/>
                <w:szCs w:val="15"/>
              </w:rPr>
            </w:pPr>
          </w:p>
        </w:tc>
        <w:tc>
          <w:tcPr>
            <w:tcW w:w="1559" w:type="dxa"/>
            <w:vMerge/>
            <w:vAlign w:val="center"/>
          </w:tcPr>
          <w:p w14:paraId="04D19AC3" w14:textId="77777777" w:rsidR="005875E7" w:rsidRPr="0041262C" w:rsidRDefault="005875E7" w:rsidP="005875E7">
            <w:pPr>
              <w:pStyle w:val="E3tabletext1"/>
              <w:rPr>
                <w:rFonts w:ascii="Helvetica" w:hAnsi="Helvetica" w:cs="Helvetica"/>
                <w:sz w:val="15"/>
                <w:szCs w:val="15"/>
              </w:rPr>
            </w:pPr>
          </w:p>
        </w:tc>
        <w:tc>
          <w:tcPr>
            <w:tcW w:w="1701" w:type="dxa"/>
            <w:vAlign w:val="center"/>
          </w:tcPr>
          <w:p w14:paraId="782AED13"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Vertical</w:t>
            </w:r>
          </w:p>
        </w:tc>
        <w:tc>
          <w:tcPr>
            <w:tcW w:w="1468" w:type="dxa"/>
            <w:vAlign w:val="center"/>
          </w:tcPr>
          <w:p w14:paraId="21D5E19F"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IVF1, IVF2, IVF4 Glass door</w:t>
            </w:r>
          </w:p>
        </w:tc>
        <w:tc>
          <w:tcPr>
            <w:tcW w:w="1855" w:type="dxa"/>
            <w:vAlign w:val="center"/>
          </w:tcPr>
          <w:p w14:paraId="253D6402"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IVF1, IVF2, IVF4, IYF1, IYF2, IYF3, IYF4</w:t>
            </w:r>
          </w:p>
        </w:tc>
      </w:tr>
      <w:tr w:rsidR="005875E7" w:rsidRPr="00026511" w14:paraId="215BC38A" w14:textId="77777777" w:rsidTr="00497702">
        <w:trPr>
          <w:jc w:val="center"/>
        </w:trPr>
        <w:tc>
          <w:tcPr>
            <w:tcW w:w="421" w:type="dxa"/>
          </w:tcPr>
          <w:p w14:paraId="0D728B6A"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7</w:t>
            </w:r>
          </w:p>
        </w:tc>
        <w:tc>
          <w:tcPr>
            <w:tcW w:w="1605" w:type="dxa"/>
            <w:vAlign w:val="center"/>
          </w:tcPr>
          <w:p w14:paraId="7E5B0EC3"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RRH</w:t>
            </w:r>
          </w:p>
          <w:p w14:paraId="065243F5"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Remote Refrigerated Horizontal Cabinets</w:t>
            </w:r>
          </w:p>
        </w:tc>
        <w:tc>
          <w:tcPr>
            <w:tcW w:w="1513" w:type="dxa"/>
            <w:vMerge w:val="restart"/>
            <w:vAlign w:val="center"/>
          </w:tcPr>
          <w:p w14:paraId="1D05BDE3"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 xml:space="preserve">Remote Refrigerated Display Cabinets </w:t>
            </w:r>
          </w:p>
        </w:tc>
        <w:tc>
          <w:tcPr>
            <w:tcW w:w="1559" w:type="dxa"/>
            <w:vMerge w:val="restart"/>
            <w:vAlign w:val="center"/>
          </w:tcPr>
          <w:p w14:paraId="00526391"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Refrigerator</w:t>
            </w:r>
          </w:p>
        </w:tc>
        <w:tc>
          <w:tcPr>
            <w:tcW w:w="1701" w:type="dxa"/>
            <w:vAlign w:val="center"/>
          </w:tcPr>
          <w:p w14:paraId="73C26AB2"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Horizontal</w:t>
            </w:r>
          </w:p>
        </w:tc>
        <w:tc>
          <w:tcPr>
            <w:tcW w:w="1468" w:type="dxa"/>
            <w:vAlign w:val="center"/>
          </w:tcPr>
          <w:p w14:paraId="04841146"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RS6, RS7, RS8, RS9</w:t>
            </w:r>
          </w:p>
        </w:tc>
        <w:tc>
          <w:tcPr>
            <w:tcW w:w="1855" w:type="dxa"/>
            <w:vAlign w:val="center"/>
          </w:tcPr>
          <w:p w14:paraId="59976DCA"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RHC1, RHC2, RHC3, RHC4, RHC5, RHC6, RHC7</w:t>
            </w:r>
          </w:p>
        </w:tc>
      </w:tr>
      <w:tr w:rsidR="005875E7" w:rsidRPr="00026511" w14:paraId="5A21BC4B" w14:textId="77777777" w:rsidTr="00497702">
        <w:trPr>
          <w:jc w:val="center"/>
        </w:trPr>
        <w:tc>
          <w:tcPr>
            <w:tcW w:w="421" w:type="dxa"/>
          </w:tcPr>
          <w:p w14:paraId="586940D9"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8</w:t>
            </w:r>
          </w:p>
        </w:tc>
        <w:tc>
          <w:tcPr>
            <w:tcW w:w="1605" w:type="dxa"/>
            <w:vAlign w:val="center"/>
          </w:tcPr>
          <w:p w14:paraId="58E9BC1E"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 xml:space="preserve">RRV </w:t>
            </w:r>
          </w:p>
          <w:p w14:paraId="19E2AB55"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Remote Refrigerated Vertical Cabinets</w:t>
            </w:r>
          </w:p>
        </w:tc>
        <w:tc>
          <w:tcPr>
            <w:tcW w:w="1513" w:type="dxa"/>
            <w:vMerge/>
            <w:vAlign w:val="center"/>
          </w:tcPr>
          <w:p w14:paraId="27D3ACF4" w14:textId="77777777" w:rsidR="005875E7" w:rsidRPr="0041262C" w:rsidRDefault="005875E7" w:rsidP="005875E7">
            <w:pPr>
              <w:pStyle w:val="E3tabletext1"/>
              <w:rPr>
                <w:rFonts w:ascii="Helvetica" w:hAnsi="Helvetica" w:cs="Helvetica"/>
                <w:sz w:val="15"/>
                <w:szCs w:val="15"/>
              </w:rPr>
            </w:pPr>
          </w:p>
        </w:tc>
        <w:tc>
          <w:tcPr>
            <w:tcW w:w="1559" w:type="dxa"/>
            <w:vMerge/>
            <w:vAlign w:val="center"/>
          </w:tcPr>
          <w:p w14:paraId="7E9ED4A5" w14:textId="77777777" w:rsidR="005875E7" w:rsidRPr="0041262C" w:rsidRDefault="005875E7" w:rsidP="005875E7">
            <w:pPr>
              <w:pStyle w:val="E3tabletext1"/>
              <w:rPr>
                <w:rFonts w:ascii="Helvetica" w:hAnsi="Helvetica" w:cs="Helvetica"/>
                <w:sz w:val="15"/>
                <w:szCs w:val="15"/>
              </w:rPr>
            </w:pPr>
          </w:p>
        </w:tc>
        <w:tc>
          <w:tcPr>
            <w:tcW w:w="1701" w:type="dxa"/>
            <w:vMerge w:val="restart"/>
            <w:vAlign w:val="center"/>
          </w:tcPr>
          <w:p w14:paraId="2E50AD23"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Vertical</w:t>
            </w:r>
          </w:p>
        </w:tc>
        <w:tc>
          <w:tcPr>
            <w:tcW w:w="1468" w:type="dxa"/>
            <w:vAlign w:val="center"/>
          </w:tcPr>
          <w:p w14:paraId="680EE078"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RS1, RS3, RS4, RS5, RS10</w:t>
            </w:r>
          </w:p>
        </w:tc>
        <w:tc>
          <w:tcPr>
            <w:tcW w:w="1855" w:type="dxa"/>
            <w:vAlign w:val="center"/>
          </w:tcPr>
          <w:p w14:paraId="1DC643BF"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RVC1, RVC3, RVC4, RYC1, RYC2, RYC3, RYC4</w:t>
            </w:r>
          </w:p>
        </w:tc>
      </w:tr>
      <w:tr w:rsidR="005875E7" w:rsidRPr="00026511" w14:paraId="5FBD5427" w14:textId="77777777" w:rsidTr="00497702">
        <w:trPr>
          <w:jc w:val="center"/>
        </w:trPr>
        <w:tc>
          <w:tcPr>
            <w:tcW w:w="421" w:type="dxa"/>
          </w:tcPr>
          <w:p w14:paraId="5B417524"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9</w:t>
            </w:r>
          </w:p>
        </w:tc>
        <w:tc>
          <w:tcPr>
            <w:tcW w:w="1605" w:type="dxa"/>
            <w:vAlign w:val="center"/>
          </w:tcPr>
          <w:p w14:paraId="7937D57E"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RRV-2</w:t>
            </w:r>
          </w:p>
          <w:p w14:paraId="6E0646CB" w14:textId="36A55058"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 xml:space="preserve">Remote Refrigerated </w:t>
            </w:r>
            <w:r w:rsidR="00497702">
              <w:rPr>
                <w:rFonts w:ascii="Helvetica" w:hAnsi="Helvetica" w:cs="Helvetica"/>
                <w:sz w:val="15"/>
                <w:szCs w:val="15"/>
              </w:rPr>
              <w:t xml:space="preserve">Vertical Cabinet, open, medium </w:t>
            </w:r>
            <w:r w:rsidRPr="0041262C">
              <w:rPr>
                <w:rFonts w:ascii="Helvetica" w:hAnsi="Helvetica" w:cs="Helvetica"/>
                <w:sz w:val="15"/>
                <w:szCs w:val="15"/>
              </w:rPr>
              <w:t>temp</w:t>
            </w:r>
          </w:p>
        </w:tc>
        <w:tc>
          <w:tcPr>
            <w:tcW w:w="1513" w:type="dxa"/>
            <w:vMerge/>
            <w:vAlign w:val="center"/>
          </w:tcPr>
          <w:p w14:paraId="01D6DC0D" w14:textId="77777777" w:rsidR="005875E7" w:rsidRPr="0041262C" w:rsidRDefault="005875E7" w:rsidP="005875E7">
            <w:pPr>
              <w:pStyle w:val="E3tabletext1"/>
              <w:rPr>
                <w:rFonts w:ascii="Helvetica" w:hAnsi="Helvetica" w:cs="Helvetica"/>
                <w:sz w:val="15"/>
                <w:szCs w:val="15"/>
              </w:rPr>
            </w:pPr>
          </w:p>
        </w:tc>
        <w:tc>
          <w:tcPr>
            <w:tcW w:w="1559" w:type="dxa"/>
            <w:vMerge/>
            <w:vAlign w:val="center"/>
          </w:tcPr>
          <w:p w14:paraId="2AC48D68" w14:textId="77777777" w:rsidR="005875E7" w:rsidRPr="0041262C" w:rsidRDefault="005875E7" w:rsidP="005875E7">
            <w:pPr>
              <w:pStyle w:val="E3tabletext1"/>
              <w:rPr>
                <w:rFonts w:ascii="Helvetica" w:hAnsi="Helvetica" w:cs="Helvetica"/>
                <w:sz w:val="15"/>
                <w:szCs w:val="15"/>
              </w:rPr>
            </w:pPr>
          </w:p>
        </w:tc>
        <w:tc>
          <w:tcPr>
            <w:tcW w:w="1701" w:type="dxa"/>
            <w:vMerge/>
            <w:vAlign w:val="center"/>
          </w:tcPr>
          <w:p w14:paraId="5171887A" w14:textId="77777777" w:rsidR="005875E7" w:rsidRPr="0041262C" w:rsidRDefault="005875E7" w:rsidP="005875E7">
            <w:pPr>
              <w:pStyle w:val="E3tabletext1"/>
              <w:rPr>
                <w:rFonts w:ascii="Helvetica" w:hAnsi="Helvetica" w:cs="Helvetica"/>
                <w:sz w:val="15"/>
                <w:szCs w:val="15"/>
              </w:rPr>
            </w:pPr>
          </w:p>
        </w:tc>
        <w:tc>
          <w:tcPr>
            <w:tcW w:w="1468" w:type="dxa"/>
            <w:vAlign w:val="center"/>
          </w:tcPr>
          <w:p w14:paraId="0B8D9BEC"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RS2</w:t>
            </w:r>
          </w:p>
        </w:tc>
        <w:tc>
          <w:tcPr>
            <w:tcW w:w="1855" w:type="dxa"/>
            <w:vAlign w:val="center"/>
          </w:tcPr>
          <w:p w14:paraId="52A359EA"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RVC2</w:t>
            </w:r>
          </w:p>
        </w:tc>
      </w:tr>
      <w:tr w:rsidR="005875E7" w:rsidRPr="00026511" w14:paraId="332FCE78" w14:textId="77777777" w:rsidTr="00497702">
        <w:trPr>
          <w:jc w:val="center"/>
        </w:trPr>
        <w:tc>
          <w:tcPr>
            <w:tcW w:w="421" w:type="dxa"/>
          </w:tcPr>
          <w:p w14:paraId="7D523674"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10</w:t>
            </w:r>
          </w:p>
        </w:tc>
        <w:tc>
          <w:tcPr>
            <w:tcW w:w="1605" w:type="dxa"/>
            <w:vAlign w:val="center"/>
          </w:tcPr>
          <w:p w14:paraId="55FFFB9F"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RFH</w:t>
            </w:r>
          </w:p>
          <w:p w14:paraId="5864E9C9"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Remote Freezer Horizontal</w:t>
            </w:r>
          </w:p>
        </w:tc>
        <w:tc>
          <w:tcPr>
            <w:tcW w:w="1513" w:type="dxa"/>
            <w:vMerge/>
            <w:vAlign w:val="center"/>
          </w:tcPr>
          <w:p w14:paraId="3269BADB" w14:textId="77777777" w:rsidR="005875E7" w:rsidRPr="0041262C" w:rsidRDefault="005875E7" w:rsidP="005875E7">
            <w:pPr>
              <w:pStyle w:val="E3tabletext1"/>
              <w:rPr>
                <w:rFonts w:ascii="Helvetica" w:hAnsi="Helvetica" w:cs="Helvetica"/>
                <w:sz w:val="15"/>
                <w:szCs w:val="15"/>
              </w:rPr>
            </w:pPr>
          </w:p>
        </w:tc>
        <w:tc>
          <w:tcPr>
            <w:tcW w:w="1559" w:type="dxa"/>
            <w:vMerge w:val="restart"/>
            <w:vAlign w:val="center"/>
          </w:tcPr>
          <w:p w14:paraId="1D32408C"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Freezer</w:t>
            </w:r>
          </w:p>
        </w:tc>
        <w:tc>
          <w:tcPr>
            <w:tcW w:w="1701" w:type="dxa"/>
            <w:vAlign w:val="center"/>
          </w:tcPr>
          <w:p w14:paraId="2BE2FE4C"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Horizontal</w:t>
            </w:r>
          </w:p>
        </w:tc>
        <w:tc>
          <w:tcPr>
            <w:tcW w:w="1468" w:type="dxa"/>
            <w:vAlign w:val="center"/>
          </w:tcPr>
          <w:p w14:paraId="3E426F5E"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RS13, RS14,</w:t>
            </w:r>
          </w:p>
        </w:tc>
        <w:tc>
          <w:tcPr>
            <w:tcW w:w="1855" w:type="dxa"/>
            <w:vAlign w:val="center"/>
          </w:tcPr>
          <w:p w14:paraId="15B7471D"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RHF1, RHF3, RHF4, RHF5, RHF6, RHF7</w:t>
            </w:r>
          </w:p>
        </w:tc>
      </w:tr>
      <w:tr w:rsidR="005875E7" w:rsidRPr="00026511" w14:paraId="46A40AF2" w14:textId="77777777" w:rsidTr="00497702">
        <w:trPr>
          <w:jc w:val="center"/>
        </w:trPr>
        <w:tc>
          <w:tcPr>
            <w:tcW w:w="421" w:type="dxa"/>
          </w:tcPr>
          <w:p w14:paraId="4C10AE81"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11</w:t>
            </w:r>
          </w:p>
        </w:tc>
        <w:tc>
          <w:tcPr>
            <w:tcW w:w="1605" w:type="dxa"/>
            <w:vAlign w:val="center"/>
          </w:tcPr>
          <w:p w14:paraId="37036DB2"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RFV</w:t>
            </w:r>
          </w:p>
          <w:p w14:paraId="19940F8C"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Remote Freezer Vertical</w:t>
            </w:r>
          </w:p>
        </w:tc>
        <w:tc>
          <w:tcPr>
            <w:tcW w:w="1513" w:type="dxa"/>
            <w:vMerge/>
            <w:vAlign w:val="center"/>
          </w:tcPr>
          <w:p w14:paraId="60252514" w14:textId="77777777" w:rsidR="005875E7" w:rsidRPr="0041262C" w:rsidRDefault="005875E7" w:rsidP="005875E7">
            <w:pPr>
              <w:pStyle w:val="E3tabletext1"/>
              <w:rPr>
                <w:rFonts w:ascii="Helvetica" w:hAnsi="Helvetica" w:cs="Helvetica"/>
                <w:sz w:val="15"/>
                <w:szCs w:val="15"/>
              </w:rPr>
            </w:pPr>
          </w:p>
        </w:tc>
        <w:tc>
          <w:tcPr>
            <w:tcW w:w="1559" w:type="dxa"/>
            <w:vMerge/>
            <w:vAlign w:val="center"/>
          </w:tcPr>
          <w:p w14:paraId="0C0C6B74" w14:textId="77777777" w:rsidR="005875E7" w:rsidRPr="0041262C" w:rsidRDefault="005875E7" w:rsidP="005875E7">
            <w:pPr>
              <w:pStyle w:val="E3tabletext1"/>
              <w:rPr>
                <w:rFonts w:ascii="Helvetica" w:hAnsi="Helvetica" w:cs="Helvetica"/>
                <w:sz w:val="15"/>
                <w:szCs w:val="15"/>
              </w:rPr>
            </w:pPr>
          </w:p>
        </w:tc>
        <w:tc>
          <w:tcPr>
            <w:tcW w:w="1701" w:type="dxa"/>
            <w:vAlign w:val="center"/>
          </w:tcPr>
          <w:p w14:paraId="5382E5EE"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Vertical</w:t>
            </w:r>
          </w:p>
        </w:tc>
        <w:tc>
          <w:tcPr>
            <w:tcW w:w="1468" w:type="dxa"/>
            <w:vAlign w:val="center"/>
          </w:tcPr>
          <w:p w14:paraId="5FBBBC6B"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RS11, RS12, RS15, RS16, RS17, RS18, RS19, RS20</w:t>
            </w:r>
          </w:p>
        </w:tc>
        <w:tc>
          <w:tcPr>
            <w:tcW w:w="1855" w:type="dxa"/>
            <w:vAlign w:val="center"/>
          </w:tcPr>
          <w:p w14:paraId="4038305C"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RVF1, RVF2, RVF4, RYF1, RYF2, RYF3, RYF4</w:t>
            </w:r>
          </w:p>
        </w:tc>
      </w:tr>
      <w:tr w:rsidR="005875E7" w:rsidRPr="00026511" w14:paraId="190BAF67" w14:textId="77777777" w:rsidTr="00497702">
        <w:trPr>
          <w:jc w:val="center"/>
        </w:trPr>
        <w:tc>
          <w:tcPr>
            <w:tcW w:w="421" w:type="dxa"/>
          </w:tcPr>
          <w:p w14:paraId="1E44B15F"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12</w:t>
            </w:r>
          </w:p>
        </w:tc>
        <w:tc>
          <w:tcPr>
            <w:tcW w:w="1605" w:type="dxa"/>
            <w:vAlign w:val="center"/>
          </w:tcPr>
          <w:p w14:paraId="4C55399E"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SRH</w:t>
            </w:r>
          </w:p>
          <w:p w14:paraId="7C902D66"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Service Cabinet, refrigerated Horizontal with solid door</w:t>
            </w:r>
          </w:p>
        </w:tc>
        <w:tc>
          <w:tcPr>
            <w:tcW w:w="1513" w:type="dxa"/>
            <w:vMerge w:val="restart"/>
            <w:vAlign w:val="center"/>
          </w:tcPr>
          <w:p w14:paraId="422A9B70"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 xml:space="preserve">Integral Refrigerated Storage cabinet  </w:t>
            </w:r>
          </w:p>
        </w:tc>
        <w:tc>
          <w:tcPr>
            <w:tcW w:w="1559" w:type="dxa"/>
            <w:vMerge w:val="restart"/>
            <w:vAlign w:val="center"/>
          </w:tcPr>
          <w:p w14:paraId="7799FB6A"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Refrigerator</w:t>
            </w:r>
          </w:p>
        </w:tc>
        <w:tc>
          <w:tcPr>
            <w:tcW w:w="1701" w:type="dxa"/>
            <w:vAlign w:val="center"/>
          </w:tcPr>
          <w:p w14:paraId="694F08A4"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Counter (Horizontal)</w:t>
            </w:r>
          </w:p>
        </w:tc>
        <w:tc>
          <w:tcPr>
            <w:tcW w:w="1468" w:type="dxa"/>
            <w:vAlign w:val="center"/>
          </w:tcPr>
          <w:p w14:paraId="180B7497"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No equivalent registered</w:t>
            </w:r>
          </w:p>
        </w:tc>
        <w:tc>
          <w:tcPr>
            <w:tcW w:w="1855" w:type="dxa"/>
            <w:vMerge w:val="restart"/>
            <w:vAlign w:val="center"/>
          </w:tcPr>
          <w:p w14:paraId="0A8485BF"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Storage cabinet types are defined into four categories (but not classified by the technical standards yet)</w:t>
            </w:r>
          </w:p>
        </w:tc>
      </w:tr>
      <w:tr w:rsidR="005875E7" w:rsidRPr="00026511" w14:paraId="7AC60868" w14:textId="77777777" w:rsidTr="00497702">
        <w:trPr>
          <w:jc w:val="center"/>
        </w:trPr>
        <w:tc>
          <w:tcPr>
            <w:tcW w:w="421" w:type="dxa"/>
          </w:tcPr>
          <w:p w14:paraId="7054D30A"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13</w:t>
            </w:r>
          </w:p>
        </w:tc>
        <w:tc>
          <w:tcPr>
            <w:tcW w:w="1605" w:type="dxa"/>
            <w:vAlign w:val="center"/>
          </w:tcPr>
          <w:p w14:paraId="0131118F"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SRV</w:t>
            </w:r>
          </w:p>
          <w:p w14:paraId="527B5637"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Service Cabinet, Refrigerated, Vertical with solid door</w:t>
            </w:r>
          </w:p>
        </w:tc>
        <w:tc>
          <w:tcPr>
            <w:tcW w:w="1513" w:type="dxa"/>
            <w:vMerge/>
            <w:vAlign w:val="center"/>
          </w:tcPr>
          <w:p w14:paraId="60A76FD2" w14:textId="77777777" w:rsidR="005875E7" w:rsidRPr="0041262C" w:rsidRDefault="005875E7" w:rsidP="005875E7">
            <w:pPr>
              <w:pStyle w:val="E3tabletext1"/>
              <w:rPr>
                <w:rFonts w:ascii="Helvetica" w:hAnsi="Helvetica" w:cs="Helvetica"/>
                <w:sz w:val="15"/>
                <w:szCs w:val="15"/>
              </w:rPr>
            </w:pPr>
          </w:p>
        </w:tc>
        <w:tc>
          <w:tcPr>
            <w:tcW w:w="1559" w:type="dxa"/>
            <w:vMerge/>
            <w:vAlign w:val="center"/>
          </w:tcPr>
          <w:p w14:paraId="1279A98D" w14:textId="77777777" w:rsidR="005875E7" w:rsidRPr="0041262C" w:rsidRDefault="005875E7" w:rsidP="005875E7">
            <w:pPr>
              <w:pStyle w:val="E3tabletext1"/>
              <w:rPr>
                <w:rFonts w:ascii="Helvetica" w:hAnsi="Helvetica" w:cs="Helvetica"/>
                <w:sz w:val="15"/>
                <w:szCs w:val="15"/>
              </w:rPr>
            </w:pPr>
          </w:p>
        </w:tc>
        <w:tc>
          <w:tcPr>
            <w:tcW w:w="1701" w:type="dxa"/>
            <w:vAlign w:val="center"/>
          </w:tcPr>
          <w:p w14:paraId="606A4D07"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Vertical</w:t>
            </w:r>
          </w:p>
        </w:tc>
        <w:tc>
          <w:tcPr>
            <w:tcW w:w="1468" w:type="dxa"/>
            <w:vAlign w:val="center"/>
          </w:tcPr>
          <w:p w14:paraId="6919F855"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 xml:space="preserve">IVC4 Solid door </w:t>
            </w:r>
            <w:r w:rsidRPr="0041262C">
              <w:rPr>
                <w:rFonts w:ascii="Helvetica" w:hAnsi="Helvetica" w:cs="Helvetica"/>
                <w:sz w:val="15"/>
                <w:szCs w:val="15"/>
              </w:rPr>
              <w:br/>
              <w:t xml:space="preserve">M1 &amp; M2 </w:t>
            </w:r>
            <w:r w:rsidRPr="0041262C">
              <w:rPr>
                <w:rFonts w:ascii="Helvetica" w:hAnsi="Helvetica" w:cs="Helvetica"/>
                <w:sz w:val="15"/>
                <w:szCs w:val="15"/>
              </w:rPr>
              <w:br/>
            </w:r>
          </w:p>
        </w:tc>
        <w:tc>
          <w:tcPr>
            <w:tcW w:w="1855" w:type="dxa"/>
            <w:vMerge/>
            <w:vAlign w:val="center"/>
          </w:tcPr>
          <w:p w14:paraId="2458B936" w14:textId="77777777" w:rsidR="005875E7" w:rsidRPr="00026511" w:rsidRDefault="005875E7" w:rsidP="005875E7">
            <w:pPr>
              <w:pStyle w:val="E3tabletext1"/>
            </w:pPr>
          </w:p>
        </w:tc>
      </w:tr>
      <w:tr w:rsidR="005875E7" w:rsidRPr="00026511" w14:paraId="61865FFA" w14:textId="77777777" w:rsidTr="00497702">
        <w:trPr>
          <w:jc w:val="center"/>
        </w:trPr>
        <w:tc>
          <w:tcPr>
            <w:tcW w:w="421" w:type="dxa"/>
          </w:tcPr>
          <w:p w14:paraId="1A3D7C0A"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14</w:t>
            </w:r>
          </w:p>
        </w:tc>
        <w:tc>
          <w:tcPr>
            <w:tcW w:w="1605" w:type="dxa"/>
            <w:vAlign w:val="center"/>
          </w:tcPr>
          <w:p w14:paraId="43CC41A8"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SFH</w:t>
            </w:r>
          </w:p>
          <w:p w14:paraId="0DFFA273"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Service Cabinet, Freezer, Horizontal with solid door</w:t>
            </w:r>
          </w:p>
        </w:tc>
        <w:tc>
          <w:tcPr>
            <w:tcW w:w="1513" w:type="dxa"/>
            <w:vMerge/>
            <w:vAlign w:val="center"/>
          </w:tcPr>
          <w:p w14:paraId="2307D625" w14:textId="77777777" w:rsidR="005875E7" w:rsidRPr="0041262C" w:rsidRDefault="005875E7" w:rsidP="005875E7">
            <w:pPr>
              <w:pStyle w:val="E3tabletext1"/>
              <w:rPr>
                <w:rFonts w:ascii="Helvetica" w:hAnsi="Helvetica" w:cs="Helvetica"/>
                <w:sz w:val="15"/>
                <w:szCs w:val="15"/>
              </w:rPr>
            </w:pPr>
          </w:p>
        </w:tc>
        <w:tc>
          <w:tcPr>
            <w:tcW w:w="1559" w:type="dxa"/>
            <w:vMerge w:val="restart"/>
            <w:vAlign w:val="center"/>
          </w:tcPr>
          <w:p w14:paraId="7EAEFE0A"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Freezer</w:t>
            </w:r>
          </w:p>
        </w:tc>
        <w:tc>
          <w:tcPr>
            <w:tcW w:w="1701" w:type="dxa"/>
            <w:vAlign w:val="center"/>
          </w:tcPr>
          <w:p w14:paraId="1A54B31B"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Counter (Horizontal)</w:t>
            </w:r>
          </w:p>
        </w:tc>
        <w:tc>
          <w:tcPr>
            <w:tcW w:w="1468" w:type="dxa"/>
            <w:vAlign w:val="center"/>
          </w:tcPr>
          <w:p w14:paraId="3E67D4D2"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No equivalent registered</w:t>
            </w:r>
          </w:p>
        </w:tc>
        <w:tc>
          <w:tcPr>
            <w:tcW w:w="1855" w:type="dxa"/>
            <w:vMerge/>
            <w:vAlign w:val="center"/>
          </w:tcPr>
          <w:p w14:paraId="305C571A" w14:textId="77777777" w:rsidR="005875E7" w:rsidRPr="00026511" w:rsidRDefault="005875E7" w:rsidP="005875E7">
            <w:pPr>
              <w:pStyle w:val="E3tabletext1"/>
            </w:pPr>
          </w:p>
        </w:tc>
      </w:tr>
      <w:tr w:rsidR="005875E7" w:rsidRPr="00026511" w14:paraId="0B8F168E" w14:textId="77777777" w:rsidTr="00497702">
        <w:trPr>
          <w:trHeight w:val="645"/>
          <w:jc w:val="center"/>
        </w:trPr>
        <w:tc>
          <w:tcPr>
            <w:tcW w:w="421" w:type="dxa"/>
          </w:tcPr>
          <w:p w14:paraId="7B1CEA5C"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15</w:t>
            </w:r>
          </w:p>
        </w:tc>
        <w:tc>
          <w:tcPr>
            <w:tcW w:w="1605" w:type="dxa"/>
            <w:vAlign w:val="center"/>
          </w:tcPr>
          <w:p w14:paraId="1F57C4E2"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SFV</w:t>
            </w:r>
          </w:p>
          <w:p w14:paraId="0528D684"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Service Cabinet Freezer, Vertical with solid door</w:t>
            </w:r>
          </w:p>
        </w:tc>
        <w:tc>
          <w:tcPr>
            <w:tcW w:w="1513" w:type="dxa"/>
            <w:vMerge/>
            <w:vAlign w:val="center"/>
          </w:tcPr>
          <w:p w14:paraId="0ABA3337" w14:textId="77777777" w:rsidR="005875E7" w:rsidRPr="0041262C" w:rsidRDefault="005875E7" w:rsidP="005875E7">
            <w:pPr>
              <w:pStyle w:val="E3tabletext1"/>
              <w:rPr>
                <w:rFonts w:ascii="Helvetica" w:hAnsi="Helvetica" w:cs="Helvetica"/>
                <w:sz w:val="15"/>
                <w:szCs w:val="15"/>
              </w:rPr>
            </w:pPr>
          </w:p>
        </w:tc>
        <w:tc>
          <w:tcPr>
            <w:tcW w:w="1559" w:type="dxa"/>
            <w:vMerge/>
            <w:vAlign w:val="center"/>
          </w:tcPr>
          <w:p w14:paraId="244B6D5E" w14:textId="77777777" w:rsidR="005875E7" w:rsidRPr="0041262C" w:rsidRDefault="005875E7" w:rsidP="005875E7">
            <w:pPr>
              <w:pStyle w:val="E3tabletext1"/>
              <w:rPr>
                <w:rFonts w:ascii="Helvetica" w:hAnsi="Helvetica" w:cs="Helvetica"/>
                <w:sz w:val="15"/>
                <w:szCs w:val="15"/>
              </w:rPr>
            </w:pPr>
          </w:p>
        </w:tc>
        <w:tc>
          <w:tcPr>
            <w:tcW w:w="1701" w:type="dxa"/>
            <w:vAlign w:val="center"/>
          </w:tcPr>
          <w:p w14:paraId="7CAF8550" w14:textId="77777777" w:rsidR="005875E7" w:rsidRPr="0041262C" w:rsidRDefault="005875E7" w:rsidP="005875E7">
            <w:pPr>
              <w:pStyle w:val="E3tabletext1"/>
              <w:rPr>
                <w:rFonts w:ascii="Helvetica" w:hAnsi="Helvetica" w:cs="Helvetica"/>
                <w:sz w:val="15"/>
                <w:szCs w:val="15"/>
              </w:rPr>
            </w:pPr>
            <w:r w:rsidRPr="0041262C">
              <w:rPr>
                <w:rFonts w:ascii="Helvetica" w:hAnsi="Helvetica" w:cs="Helvetica"/>
                <w:sz w:val="15"/>
                <w:szCs w:val="15"/>
              </w:rPr>
              <w:t>Vertical</w:t>
            </w:r>
          </w:p>
        </w:tc>
        <w:tc>
          <w:tcPr>
            <w:tcW w:w="1468" w:type="dxa"/>
            <w:vAlign w:val="center"/>
          </w:tcPr>
          <w:p w14:paraId="749A49EB" w14:textId="159D62A1" w:rsidR="005875E7" w:rsidRPr="0041262C" w:rsidRDefault="00497702" w:rsidP="005875E7">
            <w:pPr>
              <w:pStyle w:val="E3tabletext1"/>
              <w:rPr>
                <w:rFonts w:ascii="Helvetica" w:hAnsi="Helvetica" w:cs="Helvetica"/>
                <w:sz w:val="15"/>
                <w:szCs w:val="15"/>
              </w:rPr>
            </w:pPr>
            <w:r>
              <w:rPr>
                <w:rFonts w:ascii="Helvetica" w:hAnsi="Helvetica" w:cs="Helvetica"/>
                <w:sz w:val="15"/>
                <w:szCs w:val="15"/>
              </w:rPr>
              <w:t xml:space="preserve">IVF4 Solid doors </w:t>
            </w:r>
            <w:r>
              <w:rPr>
                <w:rFonts w:ascii="Helvetica" w:hAnsi="Helvetica" w:cs="Helvetica"/>
                <w:sz w:val="15"/>
                <w:szCs w:val="15"/>
              </w:rPr>
              <w:br/>
              <w:t>L1 &amp; L2</w:t>
            </w:r>
          </w:p>
        </w:tc>
        <w:tc>
          <w:tcPr>
            <w:tcW w:w="1855" w:type="dxa"/>
            <w:vMerge/>
            <w:vAlign w:val="center"/>
          </w:tcPr>
          <w:p w14:paraId="5E129FF3" w14:textId="77777777" w:rsidR="005875E7" w:rsidRPr="00026511" w:rsidRDefault="005875E7" w:rsidP="005875E7">
            <w:pPr>
              <w:pStyle w:val="E3tabletext1"/>
            </w:pPr>
          </w:p>
        </w:tc>
      </w:tr>
    </w:tbl>
    <w:p w14:paraId="6F3F2379" w14:textId="77777777" w:rsidR="00243B70" w:rsidRDefault="00243B70" w:rsidP="00A86560">
      <w:pPr>
        <w:pStyle w:val="E3BodyText"/>
        <w:jc w:val="both"/>
      </w:pPr>
    </w:p>
    <w:p w14:paraId="3A625FE9" w14:textId="7DF65C48" w:rsidR="00B4374E" w:rsidRDefault="00B4374E" w:rsidP="00A86560">
      <w:pPr>
        <w:pStyle w:val="E3BodyText"/>
        <w:jc w:val="both"/>
      </w:pPr>
      <w:r>
        <w:t>Options 2 and 3 were developed on the basis of</w:t>
      </w:r>
      <w:r w:rsidRPr="00066675">
        <w:t xml:space="preserve"> local registration data, overseas data and New Zealand sales weighted data</w:t>
      </w:r>
      <w:r>
        <w:t>.</w:t>
      </w:r>
      <w:r w:rsidRPr="00066675" w:rsidDel="00D6773C">
        <w:t xml:space="preserve"> </w:t>
      </w:r>
      <w:r w:rsidRPr="00066675">
        <w:t xml:space="preserve">For ease of interpretation, </w:t>
      </w:r>
      <w:r>
        <w:t xml:space="preserve">cabinets were divided </w:t>
      </w:r>
      <w:r w:rsidRPr="00066675">
        <w:t xml:space="preserve">into 15 groups of similar types, to distinguish </w:t>
      </w:r>
      <w:r>
        <w:t xml:space="preserve">between </w:t>
      </w:r>
      <w:r w:rsidRPr="00066675">
        <w:t xml:space="preserve">high selling types (beverage cabinets) and those that would need to comply with distinct standards (ice-cream, beverage, gelato, storage). MEPS levels </w:t>
      </w:r>
      <w:r>
        <w:t xml:space="preserve">were </w:t>
      </w:r>
      <w:r w:rsidRPr="00066675">
        <w:t>imposed per group – an approach which is simpler to understand and enforce.</w:t>
      </w:r>
    </w:p>
    <w:p w14:paraId="05E84316" w14:textId="45212482" w:rsidR="00B4374E" w:rsidRDefault="00B4374E" w:rsidP="00A86560">
      <w:pPr>
        <w:pStyle w:val="E3BodyText"/>
        <w:jc w:val="both"/>
      </w:pPr>
      <w:r w:rsidRPr="00066675">
        <w:t xml:space="preserve">These </w:t>
      </w:r>
      <w:r>
        <w:t>15</w:t>
      </w:r>
      <w:r w:rsidRPr="00066675">
        <w:t xml:space="preserve"> groups have distinct efficiency levels and dates of implementation. </w:t>
      </w:r>
      <w:r w:rsidRPr="003D5BD2">
        <w:rPr>
          <w:b/>
        </w:rPr>
        <w:t>Table 5</w:t>
      </w:r>
      <w:r>
        <w:t xml:space="preserve"> </w:t>
      </w:r>
      <w:r w:rsidRPr="00066675">
        <w:t>outlines the groups for the purpose of setting MEPS in Australia and New Zealand.</w:t>
      </w:r>
    </w:p>
    <w:p w14:paraId="236D7EE8" w14:textId="020EB705" w:rsidR="005875E7" w:rsidRDefault="005875E7" w:rsidP="00A86560">
      <w:pPr>
        <w:jc w:val="both"/>
        <w:rPr>
          <w:sz w:val="24"/>
          <w:lang w:val="en-NZ" w:eastAsia="en-NZ"/>
        </w:rPr>
      </w:pPr>
      <w:r w:rsidRPr="00066675">
        <w:rPr>
          <w:sz w:val="24"/>
        </w:rPr>
        <w:t xml:space="preserve">MEPS levels in Europe are imposed per group irrespective of cabinet type (remote or integral, closed or open).  </w:t>
      </w:r>
      <w:r>
        <w:rPr>
          <w:sz w:val="24"/>
        </w:rPr>
        <w:t>This approach to MEP</w:t>
      </w:r>
      <w:r w:rsidR="00B4374E">
        <w:rPr>
          <w:sz w:val="24"/>
        </w:rPr>
        <w:t>S</w:t>
      </w:r>
      <w:r>
        <w:rPr>
          <w:sz w:val="24"/>
        </w:rPr>
        <w:t xml:space="preserve"> levels (</w:t>
      </w:r>
      <w:r w:rsidRPr="00066675">
        <w:rPr>
          <w:sz w:val="24"/>
        </w:rPr>
        <w:t>broad definitions based on cabinet groups and group-level MEPS</w:t>
      </w:r>
      <w:r>
        <w:rPr>
          <w:sz w:val="24"/>
        </w:rPr>
        <w:t>),</w:t>
      </w:r>
      <w:r w:rsidRPr="00066675">
        <w:rPr>
          <w:sz w:val="24"/>
        </w:rPr>
        <w:t xml:space="preserve"> </w:t>
      </w:r>
      <w:r>
        <w:rPr>
          <w:sz w:val="24"/>
        </w:rPr>
        <w:t xml:space="preserve">is preferable to the </w:t>
      </w:r>
      <w:r w:rsidRPr="00066675">
        <w:rPr>
          <w:sz w:val="24"/>
        </w:rPr>
        <w:t xml:space="preserve">specific class and MEPS definitions in AS 1731. </w:t>
      </w:r>
      <w:r w:rsidRPr="00066675">
        <w:rPr>
          <w:sz w:val="24"/>
          <w:lang w:val="en-NZ" w:eastAsia="en-NZ"/>
        </w:rPr>
        <w:t xml:space="preserve">Separate </w:t>
      </w:r>
      <w:r>
        <w:rPr>
          <w:sz w:val="24"/>
          <w:lang w:val="en-NZ" w:eastAsia="en-NZ"/>
        </w:rPr>
        <w:t>type</w:t>
      </w:r>
      <w:r w:rsidRPr="00066675">
        <w:rPr>
          <w:sz w:val="24"/>
          <w:lang w:val="en-NZ" w:eastAsia="en-NZ"/>
        </w:rPr>
        <w:t xml:space="preserve"> definitions are still essential for specific test methods and test setups. Essentially the supplier must define what temperature</w:t>
      </w:r>
      <w:r>
        <w:rPr>
          <w:sz w:val="24"/>
          <w:lang w:val="en-NZ" w:eastAsia="en-NZ"/>
        </w:rPr>
        <w:t xml:space="preserve"> </w:t>
      </w:r>
      <w:r w:rsidRPr="00066675">
        <w:rPr>
          <w:sz w:val="24"/>
          <w:lang w:val="en-NZ" w:eastAsia="en-NZ"/>
        </w:rPr>
        <w:t>their units will operate at – and from there, work out what group it will be classified into.</w:t>
      </w:r>
    </w:p>
    <w:p w14:paraId="098FEAA0" w14:textId="414BA95E" w:rsidR="00243B70" w:rsidRDefault="00243B70" w:rsidP="00A86560">
      <w:pPr>
        <w:jc w:val="both"/>
        <w:rPr>
          <w:sz w:val="24"/>
          <w:lang w:val="en-NZ" w:eastAsia="en-NZ"/>
        </w:rPr>
      </w:pPr>
    </w:p>
    <w:p w14:paraId="0EAD5823" w14:textId="472EC75F" w:rsidR="00243B70" w:rsidRDefault="00243B70" w:rsidP="00A86560">
      <w:pPr>
        <w:jc w:val="both"/>
        <w:rPr>
          <w:sz w:val="24"/>
          <w:lang w:val="en-NZ" w:eastAsia="en-NZ"/>
        </w:rPr>
      </w:pPr>
    </w:p>
    <w:p w14:paraId="68A354E9" w14:textId="685CF055" w:rsidR="00243B70" w:rsidRDefault="00243B70" w:rsidP="00A86560">
      <w:pPr>
        <w:jc w:val="both"/>
        <w:rPr>
          <w:sz w:val="24"/>
          <w:lang w:val="en-NZ" w:eastAsia="en-NZ"/>
        </w:rPr>
      </w:pPr>
    </w:p>
    <w:p w14:paraId="507CE271" w14:textId="0D861303" w:rsidR="00243B70" w:rsidRDefault="00243B70" w:rsidP="00A86560">
      <w:pPr>
        <w:jc w:val="both"/>
        <w:rPr>
          <w:sz w:val="24"/>
          <w:lang w:val="en-NZ" w:eastAsia="en-NZ"/>
        </w:rPr>
      </w:pPr>
    </w:p>
    <w:p w14:paraId="6B93FFA0" w14:textId="5004DB76" w:rsidR="00243B70" w:rsidRDefault="00243B70" w:rsidP="00A86560">
      <w:pPr>
        <w:jc w:val="both"/>
        <w:rPr>
          <w:sz w:val="24"/>
          <w:lang w:val="en-NZ" w:eastAsia="en-NZ"/>
        </w:rPr>
      </w:pPr>
    </w:p>
    <w:p w14:paraId="656413CF" w14:textId="44AFBE8B" w:rsidR="00243B70" w:rsidRDefault="00243B70" w:rsidP="00A86560">
      <w:pPr>
        <w:jc w:val="both"/>
        <w:rPr>
          <w:sz w:val="24"/>
          <w:lang w:val="en-NZ" w:eastAsia="en-NZ"/>
        </w:rPr>
      </w:pPr>
    </w:p>
    <w:p w14:paraId="252DC0C6" w14:textId="401ADC40" w:rsidR="00243B70" w:rsidRDefault="00243B70" w:rsidP="00A86560">
      <w:pPr>
        <w:jc w:val="both"/>
        <w:rPr>
          <w:sz w:val="24"/>
          <w:lang w:val="en-NZ" w:eastAsia="en-NZ"/>
        </w:rPr>
      </w:pPr>
    </w:p>
    <w:p w14:paraId="61804AE1" w14:textId="456F40AD" w:rsidR="00243B70" w:rsidRDefault="00243B70" w:rsidP="00A86560">
      <w:pPr>
        <w:jc w:val="both"/>
        <w:rPr>
          <w:sz w:val="24"/>
          <w:lang w:val="en-NZ" w:eastAsia="en-NZ"/>
        </w:rPr>
      </w:pPr>
    </w:p>
    <w:p w14:paraId="58110F14" w14:textId="7E6ABE19" w:rsidR="00243B70" w:rsidRDefault="00243B70" w:rsidP="00A86560">
      <w:pPr>
        <w:jc w:val="both"/>
        <w:rPr>
          <w:sz w:val="24"/>
          <w:lang w:val="en-NZ" w:eastAsia="en-NZ"/>
        </w:rPr>
      </w:pPr>
    </w:p>
    <w:p w14:paraId="600BAFB4" w14:textId="04A6A57E" w:rsidR="00243B70" w:rsidRDefault="00243B70" w:rsidP="00A86560">
      <w:pPr>
        <w:jc w:val="both"/>
        <w:rPr>
          <w:sz w:val="24"/>
          <w:lang w:val="en-NZ" w:eastAsia="en-NZ"/>
        </w:rPr>
      </w:pPr>
    </w:p>
    <w:p w14:paraId="0827971D" w14:textId="48684DB3" w:rsidR="00243B70" w:rsidRDefault="00243B70" w:rsidP="00A86560">
      <w:pPr>
        <w:jc w:val="both"/>
        <w:rPr>
          <w:sz w:val="24"/>
          <w:lang w:val="en-NZ" w:eastAsia="en-NZ"/>
        </w:rPr>
      </w:pPr>
    </w:p>
    <w:p w14:paraId="6479B8BF" w14:textId="08574343" w:rsidR="00243B70" w:rsidRDefault="00243B70" w:rsidP="00A86560">
      <w:pPr>
        <w:jc w:val="both"/>
        <w:rPr>
          <w:sz w:val="24"/>
          <w:lang w:val="en-NZ" w:eastAsia="en-NZ"/>
        </w:rPr>
      </w:pPr>
    </w:p>
    <w:p w14:paraId="16BC18B7" w14:textId="5FD0FB6D" w:rsidR="00243B70" w:rsidRDefault="00243B70" w:rsidP="00A86560">
      <w:pPr>
        <w:jc w:val="both"/>
        <w:rPr>
          <w:sz w:val="24"/>
          <w:lang w:val="en-NZ" w:eastAsia="en-NZ"/>
        </w:rPr>
      </w:pPr>
    </w:p>
    <w:p w14:paraId="6F4A6780" w14:textId="2A04442D" w:rsidR="00243B70" w:rsidRDefault="00243B70" w:rsidP="00A86560">
      <w:pPr>
        <w:jc w:val="both"/>
        <w:rPr>
          <w:sz w:val="24"/>
          <w:lang w:val="en-NZ" w:eastAsia="en-NZ"/>
        </w:rPr>
      </w:pPr>
    </w:p>
    <w:p w14:paraId="00B82CDF" w14:textId="5F6F2F5F" w:rsidR="00243B70" w:rsidRDefault="00243B70" w:rsidP="00A86560">
      <w:pPr>
        <w:jc w:val="both"/>
        <w:rPr>
          <w:sz w:val="24"/>
          <w:lang w:val="en-NZ" w:eastAsia="en-NZ"/>
        </w:rPr>
      </w:pPr>
    </w:p>
    <w:p w14:paraId="47792DD9" w14:textId="090021CB" w:rsidR="00243B70" w:rsidRDefault="00243B70" w:rsidP="00A86560">
      <w:pPr>
        <w:jc w:val="both"/>
        <w:rPr>
          <w:sz w:val="24"/>
          <w:lang w:val="en-NZ" w:eastAsia="en-NZ"/>
        </w:rPr>
      </w:pPr>
    </w:p>
    <w:p w14:paraId="651D2596" w14:textId="5A69820A" w:rsidR="00243B70" w:rsidRDefault="00243B70" w:rsidP="00A86560">
      <w:pPr>
        <w:jc w:val="both"/>
        <w:rPr>
          <w:sz w:val="24"/>
          <w:lang w:val="en-NZ" w:eastAsia="en-NZ"/>
        </w:rPr>
      </w:pPr>
    </w:p>
    <w:p w14:paraId="1CAE9DBD" w14:textId="1BC527AD" w:rsidR="00243B70" w:rsidRDefault="00243B70" w:rsidP="00A86560">
      <w:pPr>
        <w:jc w:val="both"/>
        <w:rPr>
          <w:sz w:val="24"/>
          <w:lang w:val="en-NZ" w:eastAsia="en-NZ"/>
        </w:rPr>
      </w:pPr>
    </w:p>
    <w:p w14:paraId="758FDD91" w14:textId="77777777" w:rsidR="00243B70" w:rsidRPr="00105013" w:rsidRDefault="00243B70" w:rsidP="00A86560">
      <w:pPr>
        <w:jc w:val="both"/>
        <w:rPr>
          <w:sz w:val="24"/>
          <w:lang w:val="en-NZ" w:eastAsia="en-NZ"/>
        </w:rPr>
      </w:pPr>
    </w:p>
    <w:p w14:paraId="34237E34" w14:textId="29AD4BAD" w:rsidR="005875E7" w:rsidRPr="004C3E41" w:rsidRDefault="005875E7" w:rsidP="004C3E41">
      <w:pPr>
        <w:pStyle w:val="E3TableTitles"/>
      </w:pPr>
      <w:bookmarkStart w:id="154" w:name="_Ref449960606"/>
      <w:bookmarkStart w:id="155" w:name="_Toc449708961"/>
      <w:bookmarkStart w:id="156" w:name="_Toc449968525"/>
      <w:bookmarkStart w:id="157" w:name="_Toc494142456"/>
      <w:bookmarkStart w:id="158" w:name="_Toc500159656"/>
      <w:r w:rsidRPr="004C3E41">
        <w:lastRenderedPageBreak/>
        <w:t xml:space="preserve">Table </w:t>
      </w:r>
      <w:r w:rsidRPr="004C3E41">
        <w:fldChar w:fldCharType="begin"/>
      </w:r>
      <w:r w:rsidRPr="004C3E41">
        <w:instrText xml:space="preserve"> SEQ Table \* ARABIC </w:instrText>
      </w:r>
      <w:r w:rsidRPr="004C3E41">
        <w:fldChar w:fldCharType="separate"/>
      </w:r>
      <w:r w:rsidR="00D51B4B">
        <w:rPr>
          <w:noProof/>
        </w:rPr>
        <w:t>6</w:t>
      </w:r>
      <w:r w:rsidRPr="004C3E41">
        <w:fldChar w:fldCharType="end"/>
      </w:r>
      <w:bookmarkEnd w:id="154"/>
      <w:r w:rsidRPr="004C3E41">
        <w:t>: Proportion of cabinet types per group, estimated from European data vs local sales data.</w:t>
      </w:r>
      <w:bookmarkEnd w:id="155"/>
      <w:bookmarkEnd w:id="156"/>
      <w:bookmarkEnd w:id="157"/>
      <w:bookmarkEnd w:id="158"/>
    </w:p>
    <w:tbl>
      <w:tblPr>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1276"/>
        <w:gridCol w:w="1417"/>
        <w:gridCol w:w="1418"/>
        <w:gridCol w:w="1134"/>
        <w:gridCol w:w="1134"/>
        <w:gridCol w:w="1032"/>
      </w:tblGrid>
      <w:tr w:rsidR="005875E7" w:rsidRPr="00532AE7" w14:paraId="15304F69" w14:textId="77777777" w:rsidTr="005875E7">
        <w:trPr>
          <w:jc w:val="center"/>
        </w:trPr>
        <w:tc>
          <w:tcPr>
            <w:tcW w:w="2250" w:type="dxa"/>
            <w:vMerge w:val="restart"/>
            <w:shd w:val="clear" w:color="auto" w:fill="0C0C0C"/>
            <w:vAlign w:val="center"/>
          </w:tcPr>
          <w:p w14:paraId="50AD6A81" w14:textId="77777777" w:rsidR="005875E7" w:rsidRPr="001A279D" w:rsidRDefault="005875E7" w:rsidP="005875E7">
            <w:pPr>
              <w:pStyle w:val="E3TableHeading"/>
              <w:jc w:val="both"/>
              <w:rPr>
                <w:szCs w:val="15"/>
              </w:rPr>
            </w:pPr>
            <w:r w:rsidRPr="001A279D">
              <w:rPr>
                <w:szCs w:val="15"/>
              </w:rPr>
              <w:t>Application</w:t>
            </w:r>
          </w:p>
        </w:tc>
        <w:tc>
          <w:tcPr>
            <w:tcW w:w="1276" w:type="dxa"/>
            <w:vMerge w:val="restart"/>
            <w:shd w:val="clear" w:color="auto" w:fill="0C0C0C"/>
            <w:vAlign w:val="center"/>
          </w:tcPr>
          <w:p w14:paraId="27DBB9FF" w14:textId="77777777" w:rsidR="005875E7" w:rsidRPr="00D646FE" w:rsidRDefault="005875E7" w:rsidP="005875E7">
            <w:pPr>
              <w:pStyle w:val="E3TableHeading"/>
              <w:jc w:val="both"/>
              <w:rPr>
                <w:szCs w:val="15"/>
              </w:rPr>
            </w:pPr>
            <w:r w:rsidRPr="00D646FE">
              <w:rPr>
                <w:szCs w:val="15"/>
              </w:rPr>
              <w:t>Temperature</w:t>
            </w:r>
          </w:p>
        </w:tc>
        <w:tc>
          <w:tcPr>
            <w:tcW w:w="1417" w:type="dxa"/>
            <w:vMerge w:val="restart"/>
            <w:shd w:val="clear" w:color="auto" w:fill="0C0C0C"/>
            <w:vAlign w:val="center"/>
          </w:tcPr>
          <w:p w14:paraId="337B2B07" w14:textId="77777777" w:rsidR="005875E7" w:rsidRPr="00DA4189" w:rsidRDefault="005875E7" w:rsidP="005875E7">
            <w:pPr>
              <w:pStyle w:val="E3TableHeading"/>
              <w:jc w:val="both"/>
              <w:rPr>
                <w:szCs w:val="15"/>
              </w:rPr>
            </w:pPr>
            <w:r w:rsidRPr="00DA4189">
              <w:rPr>
                <w:szCs w:val="15"/>
              </w:rPr>
              <w:t>Configuration</w:t>
            </w:r>
          </w:p>
        </w:tc>
        <w:tc>
          <w:tcPr>
            <w:tcW w:w="1418" w:type="dxa"/>
            <w:vMerge w:val="restart"/>
            <w:shd w:val="clear" w:color="auto" w:fill="0C0C0C"/>
            <w:vAlign w:val="center"/>
          </w:tcPr>
          <w:p w14:paraId="172E78A6" w14:textId="77777777" w:rsidR="005875E7" w:rsidRPr="00DA4189" w:rsidRDefault="005875E7" w:rsidP="005875E7">
            <w:pPr>
              <w:pStyle w:val="E3TableHeading"/>
              <w:jc w:val="both"/>
              <w:rPr>
                <w:szCs w:val="15"/>
              </w:rPr>
            </w:pPr>
            <w:r w:rsidRPr="00DA4189">
              <w:rPr>
                <w:szCs w:val="15"/>
              </w:rPr>
              <w:t>AS 1731.14 Types</w:t>
            </w:r>
          </w:p>
        </w:tc>
        <w:tc>
          <w:tcPr>
            <w:tcW w:w="3300" w:type="dxa"/>
            <w:gridSpan w:val="3"/>
            <w:shd w:val="clear" w:color="auto" w:fill="0C0C0C"/>
          </w:tcPr>
          <w:p w14:paraId="6CD72842" w14:textId="77777777" w:rsidR="005875E7" w:rsidRPr="00DA4189" w:rsidRDefault="005875E7" w:rsidP="005875E7">
            <w:pPr>
              <w:pStyle w:val="E3TableHeading"/>
              <w:jc w:val="both"/>
              <w:rPr>
                <w:szCs w:val="15"/>
              </w:rPr>
            </w:pPr>
            <w:r w:rsidRPr="00DA4189">
              <w:rPr>
                <w:szCs w:val="15"/>
              </w:rPr>
              <w:t>Dissection by type and sub-type</w:t>
            </w:r>
          </w:p>
        </w:tc>
      </w:tr>
      <w:tr w:rsidR="005875E7" w:rsidRPr="00532AE7" w14:paraId="21E7F518" w14:textId="77777777" w:rsidTr="005875E7">
        <w:trPr>
          <w:jc w:val="center"/>
        </w:trPr>
        <w:tc>
          <w:tcPr>
            <w:tcW w:w="2250" w:type="dxa"/>
            <w:vMerge/>
            <w:shd w:val="clear" w:color="auto" w:fill="0C0C0C"/>
            <w:vAlign w:val="center"/>
          </w:tcPr>
          <w:p w14:paraId="7963241E" w14:textId="77777777" w:rsidR="005875E7" w:rsidRPr="00A4659E" w:rsidRDefault="005875E7" w:rsidP="005875E7">
            <w:pPr>
              <w:pStyle w:val="E3TableHeading"/>
              <w:jc w:val="both"/>
              <w:rPr>
                <w:szCs w:val="15"/>
              </w:rPr>
            </w:pPr>
          </w:p>
        </w:tc>
        <w:tc>
          <w:tcPr>
            <w:tcW w:w="1276" w:type="dxa"/>
            <w:vMerge/>
            <w:shd w:val="clear" w:color="auto" w:fill="0C0C0C"/>
            <w:vAlign w:val="center"/>
          </w:tcPr>
          <w:p w14:paraId="6B6D7CD8" w14:textId="77777777" w:rsidR="005875E7" w:rsidRPr="00A4659E" w:rsidRDefault="005875E7" w:rsidP="005875E7">
            <w:pPr>
              <w:pStyle w:val="E3TableHeading"/>
              <w:jc w:val="both"/>
              <w:rPr>
                <w:szCs w:val="15"/>
              </w:rPr>
            </w:pPr>
          </w:p>
        </w:tc>
        <w:tc>
          <w:tcPr>
            <w:tcW w:w="1417" w:type="dxa"/>
            <w:vMerge/>
            <w:shd w:val="clear" w:color="auto" w:fill="0C0C0C"/>
            <w:vAlign w:val="center"/>
          </w:tcPr>
          <w:p w14:paraId="625B64AD" w14:textId="77777777" w:rsidR="005875E7" w:rsidRPr="00A4659E" w:rsidRDefault="005875E7" w:rsidP="005875E7">
            <w:pPr>
              <w:pStyle w:val="E3TableHeading"/>
              <w:jc w:val="both"/>
              <w:rPr>
                <w:szCs w:val="15"/>
              </w:rPr>
            </w:pPr>
          </w:p>
        </w:tc>
        <w:tc>
          <w:tcPr>
            <w:tcW w:w="1418" w:type="dxa"/>
            <w:vMerge/>
            <w:shd w:val="clear" w:color="auto" w:fill="0C0C0C"/>
            <w:vAlign w:val="center"/>
          </w:tcPr>
          <w:p w14:paraId="67322493" w14:textId="77777777" w:rsidR="005875E7" w:rsidRPr="00A4659E" w:rsidRDefault="005875E7" w:rsidP="005875E7">
            <w:pPr>
              <w:pStyle w:val="E3TableHeading"/>
              <w:jc w:val="both"/>
              <w:rPr>
                <w:szCs w:val="15"/>
              </w:rPr>
            </w:pPr>
          </w:p>
        </w:tc>
        <w:tc>
          <w:tcPr>
            <w:tcW w:w="1134" w:type="dxa"/>
            <w:shd w:val="clear" w:color="auto" w:fill="0C0C0C"/>
          </w:tcPr>
          <w:p w14:paraId="09B2128B" w14:textId="77777777" w:rsidR="005875E7" w:rsidRPr="00A4659E" w:rsidRDefault="005875E7" w:rsidP="005875E7">
            <w:pPr>
              <w:pStyle w:val="E3TableHeading"/>
              <w:jc w:val="both"/>
              <w:rPr>
                <w:szCs w:val="15"/>
              </w:rPr>
            </w:pPr>
            <w:r w:rsidRPr="00A4659E">
              <w:rPr>
                <w:szCs w:val="15"/>
              </w:rPr>
              <w:t>EU</w:t>
            </w:r>
          </w:p>
        </w:tc>
        <w:tc>
          <w:tcPr>
            <w:tcW w:w="2166" w:type="dxa"/>
            <w:gridSpan w:val="2"/>
            <w:shd w:val="clear" w:color="auto" w:fill="0C0C0C"/>
          </w:tcPr>
          <w:p w14:paraId="0F7E0AA2" w14:textId="77777777" w:rsidR="005875E7" w:rsidRPr="001A279D" w:rsidRDefault="005875E7" w:rsidP="005875E7">
            <w:pPr>
              <w:pStyle w:val="E3TableHeading"/>
              <w:jc w:val="both"/>
              <w:rPr>
                <w:szCs w:val="15"/>
              </w:rPr>
            </w:pPr>
            <w:r w:rsidRPr="00A4659E">
              <w:rPr>
                <w:szCs w:val="15"/>
              </w:rPr>
              <w:t xml:space="preserve">Local </w:t>
            </w:r>
            <w:r w:rsidRPr="00A4659E">
              <w:rPr>
                <w:szCs w:val="15"/>
                <w:vertAlign w:val="superscript"/>
              </w:rPr>
              <w:t>(1)</w:t>
            </w:r>
            <w:r w:rsidRPr="001A279D">
              <w:rPr>
                <w:rStyle w:val="FootnoteReference"/>
                <w:szCs w:val="15"/>
              </w:rPr>
              <w:footnoteReference w:id="33"/>
            </w:r>
          </w:p>
        </w:tc>
      </w:tr>
      <w:tr w:rsidR="005875E7" w:rsidRPr="001073B6" w14:paraId="56A79F49" w14:textId="77777777" w:rsidTr="005875E7">
        <w:trPr>
          <w:jc w:val="center"/>
        </w:trPr>
        <w:tc>
          <w:tcPr>
            <w:tcW w:w="2250" w:type="dxa"/>
            <w:vMerge w:val="restart"/>
            <w:vAlign w:val="center"/>
          </w:tcPr>
          <w:p w14:paraId="5AB269AA"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Refrigerated Display Cabinet (Integral)</w:t>
            </w:r>
          </w:p>
        </w:tc>
        <w:tc>
          <w:tcPr>
            <w:tcW w:w="1276" w:type="dxa"/>
            <w:vMerge w:val="restart"/>
            <w:vAlign w:val="center"/>
          </w:tcPr>
          <w:p w14:paraId="098C97B2"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Refrigerator</w:t>
            </w:r>
          </w:p>
        </w:tc>
        <w:tc>
          <w:tcPr>
            <w:tcW w:w="1417" w:type="dxa"/>
            <w:vAlign w:val="center"/>
          </w:tcPr>
          <w:p w14:paraId="71A44195"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Horizontal</w:t>
            </w:r>
          </w:p>
        </w:tc>
        <w:tc>
          <w:tcPr>
            <w:tcW w:w="1418" w:type="dxa"/>
            <w:vAlign w:val="center"/>
          </w:tcPr>
          <w:p w14:paraId="4574DAA1"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HC1, HC2, HC3, HC4, HC5, HC6</w:t>
            </w:r>
          </w:p>
        </w:tc>
        <w:tc>
          <w:tcPr>
            <w:tcW w:w="1134" w:type="dxa"/>
            <w:vMerge w:val="restart"/>
            <w:vAlign w:val="center"/>
          </w:tcPr>
          <w:p w14:paraId="2EF422BD"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67%</w:t>
            </w:r>
          </w:p>
        </w:tc>
        <w:tc>
          <w:tcPr>
            <w:tcW w:w="1134" w:type="dxa"/>
            <w:vMerge w:val="restart"/>
            <w:vAlign w:val="center"/>
          </w:tcPr>
          <w:p w14:paraId="66E574BD"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62%</w:t>
            </w:r>
          </w:p>
        </w:tc>
        <w:tc>
          <w:tcPr>
            <w:tcW w:w="1032" w:type="dxa"/>
            <w:vAlign w:val="center"/>
          </w:tcPr>
          <w:p w14:paraId="0BBC6CD3"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1.4%</w:t>
            </w:r>
          </w:p>
        </w:tc>
      </w:tr>
      <w:tr w:rsidR="005875E7" w:rsidRPr="001073B6" w14:paraId="11B614B2" w14:textId="77777777" w:rsidTr="005875E7">
        <w:trPr>
          <w:jc w:val="center"/>
        </w:trPr>
        <w:tc>
          <w:tcPr>
            <w:tcW w:w="2250" w:type="dxa"/>
            <w:vMerge/>
            <w:vAlign w:val="center"/>
          </w:tcPr>
          <w:p w14:paraId="77969C0B" w14:textId="77777777" w:rsidR="005875E7" w:rsidRPr="0041262C" w:rsidRDefault="005875E7" w:rsidP="005875E7">
            <w:pPr>
              <w:pStyle w:val="E3tabletext1"/>
              <w:jc w:val="both"/>
              <w:rPr>
                <w:rFonts w:ascii="Helvetica" w:hAnsi="Helvetica" w:cs="Helvetica"/>
                <w:sz w:val="15"/>
                <w:szCs w:val="15"/>
              </w:rPr>
            </w:pPr>
          </w:p>
        </w:tc>
        <w:tc>
          <w:tcPr>
            <w:tcW w:w="1276" w:type="dxa"/>
            <w:vMerge/>
            <w:vAlign w:val="center"/>
          </w:tcPr>
          <w:p w14:paraId="67ED3ABE" w14:textId="77777777" w:rsidR="005875E7" w:rsidRPr="0041262C" w:rsidRDefault="005875E7" w:rsidP="005875E7">
            <w:pPr>
              <w:pStyle w:val="E3tabletext1"/>
              <w:jc w:val="both"/>
              <w:rPr>
                <w:rFonts w:ascii="Helvetica" w:hAnsi="Helvetica" w:cs="Helvetica"/>
                <w:sz w:val="15"/>
                <w:szCs w:val="15"/>
              </w:rPr>
            </w:pPr>
          </w:p>
        </w:tc>
        <w:tc>
          <w:tcPr>
            <w:tcW w:w="1417" w:type="dxa"/>
            <w:vMerge w:val="restart"/>
            <w:vAlign w:val="center"/>
          </w:tcPr>
          <w:p w14:paraId="12F388D5"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Vertical</w:t>
            </w:r>
          </w:p>
        </w:tc>
        <w:tc>
          <w:tcPr>
            <w:tcW w:w="1418" w:type="dxa"/>
            <w:vAlign w:val="center"/>
          </w:tcPr>
          <w:p w14:paraId="23D505E2"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IVC1, IVC2, IVC3</w:t>
            </w:r>
          </w:p>
        </w:tc>
        <w:tc>
          <w:tcPr>
            <w:tcW w:w="1134" w:type="dxa"/>
            <w:vMerge/>
            <w:vAlign w:val="center"/>
          </w:tcPr>
          <w:p w14:paraId="3E4F72E9" w14:textId="77777777" w:rsidR="005875E7" w:rsidRPr="0041262C" w:rsidRDefault="005875E7" w:rsidP="005875E7">
            <w:pPr>
              <w:pStyle w:val="E3tabletext1"/>
              <w:jc w:val="both"/>
              <w:rPr>
                <w:rFonts w:ascii="Helvetica" w:hAnsi="Helvetica" w:cs="Helvetica"/>
                <w:sz w:val="15"/>
                <w:szCs w:val="15"/>
              </w:rPr>
            </w:pPr>
          </w:p>
        </w:tc>
        <w:tc>
          <w:tcPr>
            <w:tcW w:w="1134" w:type="dxa"/>
            <w:vMerge/>
            <w:vAlign w:val="center"/>
          </w:tcPr>
          <w:p w14:paraId="08F83D40" w14:textId="77777777" w:rsidR="005875E7" w:rsidRPr="0041262C" w:rsidRDefault="005875E7" w:rsidP="005875E7">
            <w:pPr>
              <w:pStyle w:val="E3tabletext1"/>
              <w:jc w:val="both"/>
              <w:rPr>
                <w:rFonts w:ascii="Helvetica" w:hAnsi="Helvetica" w:cs="Helvetica"/>
                <w:sz w:val="15"/>
                <w:szCs w:val="15"/>
              </w:rPr>
            </w:pPr>
          </w:p>
        </w:tc>
        <w:tc>
          <w:tcPr>
            <w:tcW w:w="1032" w:type="dxa"/>
            <w:vAlign w:val="center"/>
          </w:tcPr>
          <w:p w14:paraId="3652633E"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5.9%</w:t>
            </w:r>
          </w:p>
        </w:tc>
      </w:tr>
      <w:tr w:rsidR="005875E7" w:rsidRPr="001073B6" w14:paraId="06B18DE9" w14:textId="77777777" w:rsidTr="005875E7">
        <w:trPr>
          <w:jc w:val="center"/>
        </w:trPr>
        <w:tc>
          <w:tcPr>
            <w:tcW w:w="2250" w:type="dxa"/>
            <w:vMerge/>
            <w:vAlign w:val="center"/>
          </w:tcPr>
          <w:p w14:paraId="1144BBF8" w14:textId="77777777" w:rsidR="005875E7" w:rsidRPr="0041262C" w:rsidRDefault="005875E7" w:rsidP="005875E7">
            <w:pPr>
              <w:pStyle w:val="E3tabletext1"/>
              <w:jc w:val="both"/>
              <w:rPr>
                <w:rFonts w:ascii="Helvetica" w:hAnsi="Helvetica" w:cs="Helvetica"/>
                <w:sz w:val="15"/>
                <w:szCs w:val="15"/>
              </w:rPr>
            </w:pPr>
          </w:p>
        </w:tc>
        <w:tc>
          <w:tcPr>
            <w:tcW w:w="1276" w:type="dxa"/>
            <w:vMerge/>
            <w:vAlign w:val="center"/>
          </w:tcPr>
          <w:p w14:paraId="14EBE1A1" w14:textId="77777777" w:rsidR="005875E7" w:rsidRPr="0041262C" w:rsidRDefault="005875E7" w:rsidP="005875E7">
            <w:pPr>
              <w:pStyle w:val="E3tabletext1"/>
              <w:jc w:val="both"/>
              <w:rPr>
                <w:rFonts w:ascii="Helvetica" w:hAnsi="Helvetica" w:cs="Helvetica"/>
                <w:sz w:val="15"/>
                <w:szCs w:val="15"/>
              </w:rPr>
            </w:pPr>
          </w:p>
        </w:tc>
        <w:tc>
          <w:tcPr>
            <w:tcW w:w="1417" w:type="dxa"/>
            <w:vMerge/>
            <w:vAlign w:val="center"/>
          </w:tcPr>
          <w:p w14:paraId="383B8A5F" w14:textId="77777777" w:rsidR="005875E7" w:rsidRPr="0041262C" w:rsidRDefault="005875E7" w:rsidP="005875E7">
            <w:pPr>
              <w:pStyle w:val="E3tabletext1"/>
              <w:jc w:val="both"/>
              <w:rPr>
                <w:rFonts w:ascii="Helvetica" w:hAnsi="Helvetica" w:cs="Helvetica"/>
                <w:sz w:val="15"/>
                <w:szCs w:val="15"/>
              </w:rPr>
            </w:pPr>
          </w:p>
        </w:tc>
        <w:tc>
          <w:tcPr>
            <w:tcW w:w="1418" w:type="dxa"/>
            <w:vAlign w:val="center"/>
          </w:tcPr>
          <w:p w14:paraId="5F3830C8"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IVC4</w:t>
            </w:r>
          </w:p>
        </w:tc>
        <w:tc>
          <w:tcPr>
            <w:tcW w:w="1134" w:type="dxa"/>
            <w:vMerge/>
            <w:vAlign w:val="center"/>
          </w:tcPr>
          <w:p w14:paraId="09B4536F" w14:textId="77777777" w:rsidR="005875E7" w:rsidRPr="0041262C" w:rsidRDefault="005875E7" w:rsidP="005875E7">
            <w:pPr>
              <w:pStyle w:val="E3tabletext1"/>
              <w:jc w:val="both"/>
              <w:rPr>
                <w:rFonts w:ascii="Helvetica" w:hAnsi="Helvetica" w:cs="Helvetica"/>
                <w:sz w:val="15"/>
                <w:szCs w:val="15"/>
              </w:rPr>
            </w:pPr>
          </w:p>
        </w:tc>
        <w:tc>
          <w:tcPr>
            <w:tcW w:w="1134" w:type="dxa"/>
            <w:vMerge/>
            <w:vAlign w:val="center"/>
          </w:tcPr>
          <w:p w14:paraId="65F17694" w14:textId="77777777" w:rsidR="005875E7" w:rsidRPr="0041262C" w:rsidRDefault="005875E7" w:rsidP="005875E7">
            <w:pPr>
              <w:pStyle w:val="E3tabletext1"/>
              <w:jc w:val="both"/>
              <w:rPr>
                <w:rFonts w:ascii="Helvetica" w:hAnsi="Helvetica" w:cs="Helvetica"/>
                <w:sz w:val="15"/>
                <w:szCs w:val="15"/>
              </w:rPr>
            </w:pPr>
          </w:p>
        </w:tc>
        <w:tc>
          <w:tcPr>
            <w:tcW w:w="1032" w:type="dxa"/>
            <w:vAlign w:val="center"/>
          </w:tcPr>
          <w:p w14:paraId="7B5F00E0"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46.5%</w:t>
            </w:r>
          </w:p>
        </w:tc>
      </w:tr>
      <w:tr w:rsidR="005875E7" w:rsidRPr="001073B6" w14:paraId="6B579041" w14:textId="77777777" w:rsidTr="005875E7">
        <w:trPr>
          <w:jc w:val="center"/>
        </w:trPr>
        <w:tc>
          <w:tcPr>
            <w:tcW w:w="2250" w:type="dxa"/>
            <w:vMerge/>
            <w:vAlign w:val="center"/>
          </w:tcPr>
          <w:p w14:paraId="649DD2EC" w14:textId="77777777" w:rsidR="005875E7" w:rsidRPr="0041262C" w:rsidRDefault="005875E7" w:rsidP="005875E7">
            <w:pPr>
              <w:pStyle w:val="E3tabletext1"/>
              <w:jc w:val="both"/>
              <w:rPr>
                <w:rFonts w:ascii="Helvetica" w:hAnsi="Helvetica" w:cs="Helvetica"/>
                <w:sz w:val="15"/>
                <w:szCs w:val="15"/>
              </w:rPr>
            </w:pPr>
          </w:p>
        </w:tc>
        <w:tc>
          <w:tcPr>
            <w:tcW w:w="1276" w:type="dxa"/>
            <w:vMerge w:val="restart"/>
            <w:vAlign w:val="center"/>
          </w:tcPr>
          <w:p w14:paraId="15B1992E"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Freezer</w:t>
            </w:r>
          </w:p>
        </w:tc>
        <w:tc>
          <w:tcPr>
            <w:tcW w:w="1417" w:type="dxa"/>
            <w:vMerge w:val="restart"/>
            <w:vAlign w:val="center"/>
          </w:tcPr>
          <w:p w14:paraId="594E2D56"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Horizontal</w:t>
            </w:r>
          </w:p>
        </w:tc>
        <w:tc>
          <w:tcPr>
            <w:tcW w:w="1418" w:type="dxa"/>
            <w:vAlign w:val="center"/>
          </w:tcPr>
          <w:p w14:paraId="272E1BDA"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HF1, HF3, HF4</w:t>
            </w:r>
          </w:p>
        </w:tc>
        <w:tc>
          <w:tcPr>
            <w:tcW w:w="1134" w:type="dxa"/>
            <w:vMerge/>
            <w:vAlign w:val="center"/>
          </w:tcPr>
          <w:p w14:paraId="2EEF4B58" w14:textId="77777777" w:rsidR="005875E7" w:rsidRPr="0041262C" w:rsidRDefault="005875E7" w:rsidP="005875E7">
            <w:pPr>
              <w:pStyle w:val="E3tabletext1"/>
              <w:jc w:val="both"/>
              <w:rPr>
                <w:rFonts w:ascii="Helvetica" w:hAnsi="Helvetica" w:cs="Helvetica"/>
                <w:sz w:val="15"/>
                <w:szCs w:val="15"/>
              </w:rPr>
            </w:pPr>
          </w:p>
        </w:tc>
        <w:tc>
          <w:tcPr>
            <w:tcW w:w="1134" w:type="dxa"/>
            <w:vMerge/>
            <w:vAlign w:val="center"/>
          </w:tcPr>
          <w:p w14:paraId="2D2A3DF2" w14:textId="77777777" w:rsidR="005875E7" w:rsidRPr="0041262C" w:rsidRDefault="005875E7" w:rsidP="005875E7">
            <w:pPr>
              <w:pStyle w:val="E3tabletext1"/>
              <w:jc w:val="both"/>
              <w:rPr>
                <w:rFonts w:ascii="Helvetica" w:hAnsi="Helvetica" w:cs="Helvetica"/>
                <w:sz w:val="15"/>
                <w:szCs w:val="15"/>
              </w:rPr>
            </w:pPr>
          </w:p>
        </w:tc>
        <w:tc>
          <w:tcPr>
            <w:tcW w:w="1032" w:type="dxa"/>
            <w:vAlign w:val="center"/>
          </w:tcPr>
          <w:p w14:paraId="489731A0"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0.6%</w:t>
            </w:r>
          </w:p>
        </w:tc>
      </w:tr>
      <w:tr w:rsidR="005875E7" w:rsidRPr="001073B6" w14:paraId="00FEFB02" w14:textId="77777777" w:rsidTr="005875E7">
        <w:trPr>
          <w:jc w:val="center"/>
        </w:trPr>
        <w:tc>
          <w:tcPr>
            <w:tcW w:w="2250" w:type="dxa"/>
            <w:vMerge/>
            <w:vAlign w:val="center"/>
          </w:tcPr>
          <w:p w14:paraId="1945F23F" w14:textId="77777777" w:rsidR="005875E7" w:rsidRPr="0041262C" w:rsidRDefault="005875E7" w:rsidP="005875E7">
            <w:pPr>
              <w:pStyle w:val="E3tabletext1"/>
              <w:jc w:val="both"/>
              <w:rPr>
                <w:rFonts w:ascii="Helvetica" w:hAnsi="Helvetica" w:cs="Helvetica"/>
                <w:sz w:val="15"/>
                <w:szCs w:val="15"/>
              </w:rPr>
            </w:pPr>
          </w:p>
        </w:tc>
        <w:tc>
          <w:tcPr>
            <w:tcW w:w="1276" w:type="dxa"/>
            <w:vMerge/>
            <w:vAlign w:val="center"/>
          </w:tcPr>
          <w:p w14:paraId="2B6B0C44" w14:textId="77777777" w:rsidR="005875E7" w:rsidRPr="0041262C" w:rsidRDefault="005875E7" w:rsidP="005875E7">
            <w:pPr>
              <w:pStyle w:val="E3tabletext1"/>
              <w:jc w:val="both"/>
              <w:rPr>
                <w:rFonts w:ascii="Helvetica" w:hAnsi="Helvetica" w:cs="Helvetica"/>
                <w:sz w:val="15"/>
                <w:szCs w:val="15"/>
              </w:rPr>
            </w:pPr>
          </w:p>
        </w:tc>
        <w:tc>
          <w:tcPr>
            <w:tcW w:w="1417" w:type="dxa"/>
            <w:vMerge/>
            <w:vAlign w:val="center"/>
          </w:tcPr>
          <w:p w14:paraId="44C25B14" w14:textId="77777777" w:rsidR="005875E7" w:rsidRPr="0041262C" w:rsidRDefault="005875E7" w:rsidP="005875E7">
            <w:pPr>
              <w:pStyle w:val="E3tabletext1"/>
              <w:jc w:val="both"/>
              <w:rPr>
                <w:rFonts w:ascii="Helvetica" w:hAnsi="Helvetica" w:cs="Helvetica"/>
                <w:sz w:val="15"/>
                <w:szCs w:val="15"/>
              </w:rPr>
            </w:pPr>
          </w:p>
        </w:tc>
        <w:tc>
          <w:tcPr>
            <w:tcW w:w="1418" w:type="dxa"/>
            <w:vAlign w:val="center"/>
          </w:tcPr>
          <w:p w14:paraId="6F2CE7F4"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HF5, HF6</w:t>
            </w:r>
          </w:p>
        </w:tc>
        <w:tc>
          <w:tcPr>
            <w:tcW w:w="1134" w:type="dxa"/>
            <w:vMerge/>
            <w:vAlign w:val="center"/>
          </w:tcPr>
          <w:p w14:paraId="28CB65BE" w14:textId="77777777" w:rsidR="005875E7" w:rsidRPr="0041262C" w:rsidRDefault="005875E7" w:rsidP="005875E7">
            <w:pPr>
              <w:pStyle w:val="E3tabletext1"/>
              <w:jc w:val="both"/>
              <w:rPr>
                <w:rFonts w:ascii="Helvetica" w:hAnsi="Helvetica" w:cs="Helvetica"/>
                <w:sz w:val="15"/>
                <w:szCs w:val="15"/>
              </w:rPr>
            </w:pPr>
          </w:p>
        </w:tc>
        <w:tc>
          <w:tcPr>
            <w:tcW w:w="1134" w:type="dxa"/>
            <w:vMerge/>
            <w:vAlign w:val="center"/>
          </w:tcPr>
          <w:p w14:paraId="1E0AE54B" w14:textId="77777777" w:rsidR="005875E7" w:rsidRPr="0041262C" w:rsidRDefault="005875E7" w:rsidP="005875E7">
            <w:pPr>
              <w:pStyle w:val="E3tabletext1"/>
              <w:jc w:val="both"/>
              <w:rPr>
                <w:rFonts w:ascii="Helvetica" w:hAnsi="Helvetica" w:cs="Helvetica"/>
                <w:sz w:val="15"/>
                <w:szCs w:val="15"/>
              </w:rPr>
            </w:pPr>
          </w:p>
        </w:tc>
        <w:tc>
          <w:tcPr>
            <w:tcW w:w="1032" w:type="dxa"/>
            <w:vAlign w:val="center"/>
          </w:tcPr>
          <w:p w14:paraId="230B3BB9"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2.7%</w:t>
            </w:r>
          </w:p>
        </w:tc>
      </w:tr>
      <w:tr w:rsidR="005875E7" w:rsidRPr="001073B6" w14:paraId="3552C9A9" w14:textId="77777777" w:rsidTr="005875E7">
        <w:trPr>
          <w:jc w:val="center"/>
        </w:trPr>
        <w:tc>
          <w:tcPr>
            <w:tcW w:w="2250" w:type="dxa"/>
            <w:vMerge/>
            <w:vAlign w:val="center"/>
          </w:tcPr>
          <w:p w14:paraId="50F02430" w14:textId="77777777" w:rsidR="005875E7" w:rsidRPr="0041262C" w:rsidRDefault="005875E7" w:rsidP="005875E7">
            <w:pPr>
              <w:pStyle w:val="E3tabletext1"/>
              <w:jc w:val="both"/>
              <w:rPr>
                <w:rFonts w:ascii="Helvetica" w:hAnsi="Helvetica" w:cs="Helvetica"/>
                <w:sz w:val="15"/>
                <w:szCs w:val="15"/>
              </w:rPr>
            </w:pPr>
          </w:p>
        </w:tc>
        <w:tc>
          <w:tcPr>
            <w:tcW w:w="1276" w:type="dxa"/>
            <w:vMerge/>
            <w:vAlign w:val="center"/>
          </w:tcPr>
          <w:p w14:paraId="27A92294" w14:textId="77777777" w:rsidR="005875E7" w:rsidRPr="0041262C" w:rsidRDefault="005875E7" w:rsidP="005875E7">
            <w:pPr>
              <w:pStyle w:val="E3tabletext1"/>
              <w:jc w:val="both"/>
              <w:rPr>
                <w:rFonts w:ascii="Helvetica" w:hAnsi="Helvetica" w:cs="Helvetica"/>
                <w:sz w:val="15"/>
                <w:szCs w:val="15"/>
              </w:rPr>
            </w:pPr>
          </w:p>
        </w:tc>
        <w:tc>
          <w:tcPr>
            <w:tcW w:w="1417" w:type="dxa"/>
            <w:vAlign w:val="center"/>
          </w:tcPr>
          <w:p w14:paraId="1EA03E3E"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Vertical</w:t>
            </w:r>
          </w:p>
        </w:tc>
        <w:tc>
          <w:tcPr>
            <w:tcW w:w="1418" w:type="dxa"/>
            <w:vAlign w:val="center"/>
          </w:tcPr>
          <w:p w14:paraId="04808607"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IVF1, IVF2, IVF4</w:t>
            </w:r>
          </w:p>
        </w:tc>
        <w:tc>
          <w:tcPr>
            <w:tcW w:w="1134" w:type="dxa"/>
            <w:vMerge/>
            <w:vAlign w:val="center"/>
          </w:tcPr>
          <w:p w14:paraId="51A2622E" w14:textId="77777777" w:rsidR="005875E7" w:rsidRPr="0041262C" w:rsidRDefault="005875E7" w:rsidP="005875E7">
            <w:pPr>
              <w:pStyle w:val="E3tabletext1"/>
              <w:jc w:val="both"/>
              <w:rPr>
                <w:rFonts w:ascii="Helvetica" w:hAnsi="Helvetica" w:cs="Helvetica"/>
                <w:sz w:val="15"/>
                <w:szCs w:val="15"/>
              </w:rPr>
            </w:pPr>
          </w:p>
        </w:tc>
        <w:tc>
          <w:tcPr>
            <w:tcW w:w="1134" w:type="dxa"/>
            <w:vMerge/>
            <w:vAlign w:val="center"/>
          </w:tcPr>
          <w:p w14:paraId="5D9D5BEC" w14:textId="77777777" w:rsidR="005875E7" w:rsidRPr="0041262C" w:rsidRDefault="005875E7" w:rsidP="005875E7">
            <w:pPr>
              <w:pStyle w:val="E3tabletext1"/>
              <w:jc w:val="both"/>
              <w:rPr>
                <w:rFonts w:ascii="Helvetica" w:hAnsi="Helvetica" w:cs="Helvetica"/>
                <w:sz w:val="15"/>
                <w:szCs w:val="15"/>
              </w:rPr>
            </w:pPr>
          </w:p>
        </w:tc>
        <w:tc>
          <w:tcPr>
            <w:tcW w:w="1032" w:type="dxa"/>
            <w:vAlign w:val="center"/>
          </w:tcPr>
          <w:p w14:paraId="78DC4512"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2.6%</w:t>
            </w:r>
          </w:p>
        </w:tc>
      </w:tr>
      <w:tr w:rsidR="005875E7" w:rsidRPr="001073B6" w14:paraId="761872CA" w14:textId="77777777" w:rsidTr="005875E7">
        <w:trPr>
          <w:jc w:val="center"/>
        </w:trPr>
        <w:tc>
          <w:tcPr>
            <w:tcW w:w="2250" w:type="dxa"/>
            <w:vMerge w:val="restart"/>
            <w:vAlign w:val="center"/>
          </w:tcPr>
          <w:p w14:paraId="440F37A1"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Refrigerated Display Cabinet (Remote)</w:t>
            </w:r>
          </w:p>
        </w:tc>
        <w:tc>
          <w:tcPr>
            <w:tcW w:w="1276" w:type="dxa"/>
            <w:vMerge w:val="restart"/>
            <w:vAlign w:val="center"/>
          </w:tcPr>
          <w:p w14:paraId="16D5F029"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Refrigerator</w:t>
            </w:r>
          </w:p>
        </w:tc>
        <w:tc>
          <w:tcPr>
            <w:tcW w:w="1417" w:type="dxa"/>
            <w:vAlign w:val="center"/>
          </w:tcPr>
          <w:p w14:paraId="286B121D"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Horizontal</w:t>
            </w:r>
          </w:p>
        </w:tc>
        <w:tc>
          <w:tcPr>
            <w:tcW w:w="1418" w:type="dxa"/>
            <w:vAlign w:val="center"/>
          </w:tcPr>
          <w:p w14:paraId="2EA2A55F"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RS6, RS7, RS8, RS9</w:t>
            </w:r>
          </w:p>
        </w:tc>
        <w:tc>
          <w:tcPr>
            <w:tcW w:w="1134" w:type="dxa"/>
            <w:vMerge w:val="restart"/>
            <w:vAlign w:val="center"/>
          </w:tcPr>
          <w:p w14:paraId="30AF0840"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14%</w:t>
            </w:r>
          </w:p>
        </w:tc>
        <w:tc>
          <w:tcPr>
            <w:tcW w:w="1134" w:type="dxa"/>
            <w:vMerge w:val="restart"/>
            <w:vAlign w:val="center"/>
          </w:tcPr>
          <w:p w14:paraId="45DC57D1"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18%</w:t>
            </w:r>
          </w:p>
        </w:tc>
        <w:tc>
          <w:tcPr>
            <w:tcW w:w="1032" w:type="dxa"/>
            <w:vAlign w:val="center"/>
          </w:tcPr>
          <w:p w14:paraId="3121BB3A"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1.2%</w:t>
            </w:r>
          </w:p>
        </w:tc>
      </w:tr>
      <w:tr w:rsidR="005875E7" w:rsidRPr="001073B6" w14:paraId="6734D199" w14:textId="77777777" w:rsidTr="005875E7">
        <w:trPr>
          <w:jc w:val="center"/>
        </w:trPr>
        <w:tc>
          <w:tcPr>
            <w:tcW w:w="2250" w:type="dxa"/>
            <w:vMerge/>
            <w:vAlign w:val="center"/>
          </w:tcPr>
          <w:p w14:paraId="22F89D9B" w14:textId="77777777" w:rsidR="005875E7" w:rsidRPr="0041262C" w:rsidRDefault="005875E7" w:rsidP="005875E7">
            <w:pPr>
              <w:pStyle w:val="E3tabletext1"/>
              <w:jc w:val="both"/>
              <w:rPr>
                <w:rFonts w:ascii="Helvetica" w:hAnsi="Helvetica" w:cs="Helvetica"/>
                <w:sz w:val="15"/>
                <w:szCs w:val="15"/>
              </w:rPr>
            </w:pPr>
          </w:p>
        </w:tc>
        <w:tc>
          <w:tcPr>
            <w:tcW w:w="1276" w:type="dxa"/>
            <w:vMerge/>
            <w:vAlign w:val="center"/>
          </w:tcPr>
          <w:p w14:paraId="36C2FE47" w14:textId="77777777" w:rsidR="005875E7" w:rsidRPr="0041262C" w:rsidRDefault="005875E7" w:rsidP="005875E7">
            <w:pPr>
              <w:pStyle w:val="E3tabletext1"/>
              <w:jc w:val="both"/>
              <w:rPr>
                <w:rFonts w:ascii="Helvetica" w:hAnsi="Helvetica" w:cs="Helvetica"/>
                <w:sz w:val="15"/>
                <w:szCs w:val="15"/>
              </w:rPr>
            </w:pPr>
          </w:p>
        </w:tc>
        <w:tc>
          <w:tcPr>
            <w:tcW w:w="1417" w:type="dxa"/>
            <w:vMerge w:val="restart"/>
            <w:vAlign w:val="center"/>
          </w:tcPr>
          <w:p w14:paraId="71A1C1C2"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Vertical</w:t>
            </w:r>
          </w:p>
        </w:tc>
        <w:tc>
          <w:tcPr>
            <w:tcW w:w="1418" w:type="dxa"/>
            <w:vAlign w:val="center"/>
          </w:tcPr>
          <w:p w14:paraId="659312C1"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RS1, RS3, RS4, RS5, RS10</w:t>
            </w:r>
          </w:p>
        </w:tc>
        <w:tc>
          <w:tcPr>
            <w:tcW w:w="1134" w:type="dxa"/>
            <w:vMerge/>
            <w:vAlign w:val="center"/>
          </w:tcPr>
          <w:p w14:paraId="564369E0" w14:textId="77777777" w:rsidR="005875E7" w:rsidRPr="0041262C" w:rsidRDefault="005875E7" w:rsidP="005875E7">
            <w:pPr>
              <w:pStyle w:val="E3tabletext1"/>
              <w:jc w:val="both"/>
              <w:rPr>
                <w:rFonts w:ascii="Helvetica" w:hAnsi="Helvetica" w:cs="Helvetica"/>
                <w:sz w:val="15"/>
                <w:szCs w:val="15"/>
              </w:rPr>
            </w:pPr>
          </w:p>
        </w:tc>
        <w:tc>
          <w:tcPr>
            <w:tcW w:w="1134" w:type="dxa"/>
            <w:vMerge/>
            <w:vAlign w:val="center"/>
          </w:tcPr>
          <w:p w14:paraId="7341A890" w14:textId="77777777" w:rsidR="005875E7" w:rsidRPr="0041262C" w:rsidRDefault="005875E7" w:rsidP="005875E7">
            <w:pPr>
              <w:pStyle w:val="E3tabletext1"/>
              <w:jc w:val="both"/>
              <w:rPr>
                <w:rFonts w:ascii="Helvetica" w:hAnsi="Helvetica" w:cs="Helvetica"/>
                <w:sz w:val="15"/>
                <w:szCs w:val="15"/>
              </w:rPr>
            </w:pPr>
          </w:p>
        </w:tc>
        <w:tc>
          <w:tcPr>
            <w:tcW w:w="1032" w:type="dxa"/>
            <w:vAlign w:val="center"/>
          </w:tcPr>
          <w:p w14:paraId="38EC959F"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2.7%</w:t>
            </w:r>
          </w:p>
        </w:tc>
      </w:tr>
      <w:tr w:rsidR="005875E7" w:rsidRPr="001073B6" w14:paraId="750C8DE9" w14:textId="77777777" w:rsidTr="005875E7">
        <w:trPr>
          <w:jc w:val="center"/>
        </w:trPr>
        <w:tc>
          <w:tcPr>
            <w:tcW w:w="2250" w:type="dxa"/>
            <w:vMerge/>
            <w:vAlign w:val="center"/>
          </w:tcPr>
          <w:p w14:paraId="7059B671" w14:textId="77777777" w:rsidR="005875E7" w:rsidRPr="0041262C" w:rsidRDefault="005875E7" w:rsidP="005875E7">
            <w:pPr>
              <w:pStyle w:val="E3tabletext1"/>
              <w:jc w:val="both"/>
              <w:rPr>
                <w:rFonts w:ascii="Helvetica" w:hAnsi="Helvetica" w:cs="Helvetica"/>
                <w:sz w:val="15"/>
                <w:szCs w:val="15"/>
              </w:rPr>
            </w:pPr>
          </w:p>
        </w:tc>
        <w:tc>
          <w:tcPr>
            <w:tcW w:w="1276" w:type="dxa"/>
            <w:vMerge/>
            <w:vAlign w:val="center"/>
          </w:tcPr>
          <w:p w14:paraId="3CB9016A" w14:textId="77777777" w:rsidR="005875E7" w:rsidRPr="0041262C" w:rsidRDefault="005875E7" w:rsidP="005875E7">
            <w:pPr>
              <w:pStyle w:val="E3tabletext1"/>
              <w:jc w:val="both"/>
              <w:rPr>
                <w:rFonts w:ascii="Helvetica" w:hAnsi="Helvetica" w:cs="Helvetica"/>
                <w:sz w:val="15"/>
                <w:szCs w:val="15"/>
              </w:rPr>
            </w:pPr>
          </w:p>
        </w:tc>
        <w:tc>
          <w:tcPr>
            <w:tcW w:w="1417" w:type="dxa"/>
            <w:vMerge/>
            <w:vAlign w:val="center"/>
          </w:tcPr>
          <w:p w14:paraId="20781CCC" w14:textId="77777777" w:rsidR="005875E7" w:rsidRPr="0041262C" w:rsidRDefault="005875E7" w:rsidP="005875E7">
            <w:pPr>
              <w:pStyle w:val="E3tabletext1"/>
              <w:jc w:val="both"/>
              <w:rPr>
                <w:rFonts w:ascii="Helvetica" w:hAnsi="Helvetica" w:cs="Helvetica"/>
                <w:sz w:val="15"/>
                <w:szCs w:val="15"/>
              </w:rPr>
            </w:pPr>
          </w:p>
        </w:tc>
        <w:tc>
          <w:tcPr>
            <w:tcW w:w="1418" w:type="dxa"/>
            <w:vAlign w:val="center"/>
          </w:tcPr>
          <w:p w14:paraId="3AF5770E"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RS2</w:t>
            </w:r>
          </w:p>
        </w:tc>
        <w:tc>
          <w:tcPr>
            <w:tcW w:w="1134" w:type="dxa"/>
            <w:vMerge/>
            <w:vAlign w:val="center"/>
          </w:tcPr>
          <w:p w14:paraId="75E52FB8" w14:textId="77777777" w:rsidR="005875E7" w:rsidRPr="0041262C" w:rsidRDefault="005875E7" w:rsidP="005875E7">
            <w:pPr>
              <w:pStyle w:val="E3tabletext1"/>
              <w:jc w:val="both"/>
              <w:rPr>
                <w:rFonts w:ascii="Helvetica" w:hAnsi="Helvetica" w:cs="Helvetica"/>
                <w:sz w:val="15"/>
                <w:szCs w:val="15"/>
              </w:rPr>
            </w:pPr>
          </w:p>
        </w:tc>
        <w:tc>
          <w:tcPr>
            <w:tcW w:w="1134" w:type="dxa"/>
            <w:vMerge/>
            <w:vAlign w:val="center"/>
          </w:tcPr>
          <w:p w14:paraId="7464ABAA" w14:textId="77777777" w:rsidR="005875E7" w:rsidRPr="0041262C" w:rsidRDefault="005875E7" w:rsidP="005875E7">
            <w:pPr>
              <w:pStyle w:val="E3tabletext1"/>
              <w:jc w:val="both"/>
              <w:rPr>
                <w:rFonts w:ascii="Helvetica" w:hAnsi="Helvetica" w:cs="Helvetica"/>
                <w:sz w:val="15"/>
                <w:szCs w:val="15"/>
              </w:rPr>
            </w:pPr>
          </w:p>
        </w:tc>
        <w:tc>
          <w:tcPr>
            <w:tcW w:w="1032" w:type="dxa"/>
            <w:vAlign w:val="center"/>
          </w:tcPr>
          <w:p w14:paraId="551A827B"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10.5%</w:t>
            </w:r>
          </w:p>
        </w:tc>
      </w:tr>
      <w:tr w:rsidR="005875E7" w:rsidRPr="001073B6" w14:paraId="6FF8F68D" w14:textId="77777777" w:rsidTr="005875E7">
        <w:trPr>
          <w:jc w:val="center"/>
        </w:trPr>
        <w:tc>
          <w:tcPr>
            <w:tcW w:w="2250" w:type="dxa"/>
            <w:vMerge/>
            <w:vAlign w:val="center"/>
          </w:tcPr>
          <w:p w14:paraId="7DAD0CB1" w14:textId="77777777" w:rsidR="005875E7" w:rsidRPr="0041262C" w:rsidRDefault="005875E7" w:rsidP="005875E7">
            <w:pPr>
              <w:pStyle w:val="E3tabletext1"/>
              <w:jc w:val="both"/>
              <w:rPr>
                <w:rFonts w:ascii="Helvetica" w:hAnsi="Helvetica" w:cs="Helvetica"/>
                <w:sz w:val="15"/>
                <w:szCs w:val="15"/>
              </w:rPr>
            </w:pPr>
          </w:p>
        </w:tc>
        <w:tc>
          <w:tcPr>
            <w:tcW w:w="1276" w:type="dxa"/>
            <w:vMerge w:val="restart"/>
            <w:vAlign w:val="center"/>
          </w:tcPr>
          <w:p w14:paraId="72CCD59D"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Freezer</w:t>
            </w:r>
          </w:p>
        </w:tc>
        <w:tc>
          <w:tcPr>
            <w:tcW w:w="1417" w:type="dxa"/>
            <w:vAlign w:val="center"/>
          </w:tcPr>
          <w:p w14:paraId="372BD6DB"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Horizontal</w:t>
            </w:r>
          </w:p>
        </w:tc>
        <w:tc>
          <w:tcPr>
            <w:tcW w:w="1418" w:type="dxa"/>
            <w:vAlign w:val="center"/>
          </w:tcPr>
          <w:p w14:paraId="27DE5BEA"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RS13, RS14,</w:t>
            </w:r>
          </w:p>
        </w:tc>
        <w:tc>
          <w:tcPr>
            <w:tcW w:w="1134" w:type="dxa"/>
            <w:vMerge/>
            <w:vAlign w:val="center"/>
          </w:tcPr>
          <w:p w14:paraId="1878D702" w14:textId="77777777" w:rsidR="005875E7" w:rsidRPr="0041262C" w:rsidRDefault="005875E7" w:rsidP="005875E7">
            <w:pPr>
              <w:pStyle w:val="E3tabletext1"/>
              <w:jc w:val="both"/>
              <w:rPr>
                <w:rFonts w:ascii="Helvetica" w:hAnsi="Helvetica" w:cs="Helvetica"/>
                <w:sz w:val="15"/>
                <w:szCs w:val="15"/>
              </w:rPr>
            </w:pPr>
          </w:p>
        </w:tc>
        <w:tc>
          <w:tcPr>
            <w:tcW w:w="1134" w:type="dxa"/>
            <w:vMerge/>
            <w:vAlign w:val="center"/>
          </w:tcPr>
          <w:p w14:paraId="6EDD27A3" w14:textId="77777777" w:rsidR="005875E7" w:rsidRPr="0041262C" w:rsidRDefault="005875E7" w:rsidP="005875E7">
            <w:pPr>
              <w:pStyle w:val="E3tabletext1"/>
              <w:jc w:val="both"/>
              <w:rPr>
                <w:rFonts w:ascii="Helvetica" w:hAnsi="Helvetica" w:cs="Helvetica"/>
                <w:sz w:val="15"/>
                <w:szCs w:val="15"/>
              </w:rPr>
            </w:pPr>
          </w:p>
        </w:tc>
        <w:tc>
          <w:tcPr>
            <w:tcW w:w="1032" w:type="dxa"/>
            <w:vAlign w:val="center"/>
          </w:tcPr>
          <w:p w14:paraId="35469618"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1.0%</w:t>
            </w:r>
          </w:p>
        </w:tc>
      </w:tr>
      <w:tr w:rsidR="005875E7" w:rsidRPr="001073B6" w14:paraId="6A7B067E" w14:textId="77777777" w:rsidTr="005875E7">
        <w:trPr>
          <w:jc w:val="center"/>
        </w:trPr>
        <w:tc>
          <w:tcPr>
            <w:tcW w:w="2250" w:type="dxa"/>
            <w:vMerge/>
            <w:vAlign w:val="center"/>
          </w:tcPr>
          <w:p w14:paraId="3D176547" w14:textId="77777777" w:rsidR="005875E7" w:rsidRPr="0041262C" w:rsidRDefault="005875E7" w:rsidP="005875E7">
            <w:pPr>
              <w:pStyle w:val="E3tabletext1"/>
              <w:jc w:val="both"/>
              <w:rPr>
                <w:rFonts w:ascii="Helvetica" w:hAnsi="Helvetica" w:cs="Helvetica"/>
                <w:sz w:val="15"/>
                <w:szCs w:val="15"/>
              </w:rPr>
            </w:pPr>
          </w:p>
        </w:tc>
        <w:tc>
          <w:tcPr>
            <w:tcW w:w="1276" w:type="dxa"/>
            <w:vMerge/>
            <w:vAlign w:val="center"/>
          </w:tcPr>
          <w:p w14:paraId="4595178E" w14:textId="77777777" w:rsidR="005875E7" w:rsidRPr="0041262C" w:rsidRDefault="005875E7" w:rsidP="005875E7">
            <w:pPr>
              <w:pStyle w:val="E3tabletext1"/>
              <w:jc w:val="both"/>
              <w:rPr>
                <w:rFonts w:ascii="Helvetica" w:hAnsi="Helvetica" w:cs="Helvetica"/>
                <w:sz w:val="15"/>
                <w:szCs w:val="15"/>
              </w:rPr>
            </w:pPr>
          </w:p>
        </w:tc>
        <w:tc>
          <w:tcPr>
            <w:tcW w:w="1417" w:type="dxa"/>
            <w:vAlign w:val="center"/>
          </w:tcPr>
          <w:p w14:paraId="03B5765C"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Vertical</w:t>
            </w:r>
          </w:p>
        </w:tc>
        <w:tc>
          <w:tcPr>
            <w:tcW w:w="1418" w:type="dxa"/>
            <w:vAlign w:val="center"/>
          </w:tcPr>
          <w:p w14:paraId="638A5DBE"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RS11, RS12, RS15, RS16, RS17, RS18, RS19, RS20</w:t>
            </w:r>
          </w:p>
        </w:tc>
        <w:tc>
          <w:tcPr>
            <w:tcW w:w="1134" w:type="dxa"/>
            <w:vMerge/>
            <w:vAlign w:val="center"/>
          </w:tcPr>
          <w:p w14:paraId="4E3B3650" w14:textId="77777777" w:rsidR="005875E7" w:rsidRPr="0041262C" w:rsidRDefault="005875E7" w:rsidP="005875E7">
            <w:pPr>
              <w:pStyle w:val="E3tabletext1"/>
              <w:jc w:val="both"/>
              <w:rPr>
                <w:rFonts w:ascii="Helvetica" w:hAnsi="Helvetica" w:cs="Helvetica"/>
                <w:sz w:val="15"/>
                <w:szCs w:val="15"/>
              </w:rPr>
            </w:pPr>
          </w:p>
        </w:tc>
        <w:tc>
          <w:tcPr>
            <w:tcW w:w="1134" w:type="dxa"/>
            <w:vMerge/>
            <w:vAlign w:val="center"/>
          </w:tcPr>
          <w:p w14:paraId="509F714E" w14:textId="77777777" w:rsidR="005875E7" w:rsidRPr="0041262C" w:rsidRDefault="005875E7" w:rsidP="005875E7">
            <w:pPr>
              <w:pStyle w:val="E3tabletext1"/>
              <w:jc w:val="both"/>
              <w:rPr>
                <w:rFonts w:ascii="Helvetica" w:hAnsi="Helvetica" w:cs="Helvetica"/>
                <w:sz w:val="15"/>
                <w:szCs w:val="15"/>
              </w:rPr>
            </w:pPr>
          </w:p>
        </w:tc>
        <w:tc>
          <w:tcPr>
            <w:tcW w:w="1032" w:type="dxa"/>
            <w:vAlign w:val="center"/>
          </w:tcPr>
          <w:p w14:paraId="0FCA99CD"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2.3%</w:t>
            </w:r>
          </w:p>
        </w:tc>
      </w:tr>
      <w:tr w:rsidR="005875E7" w:rsidRPr="001073B6" w14:paraId="6DF82E82" w14:textId="77777777" w:rsidTr="005875E7">
        <w:trPr>
          <w:jc w:val="center"/>
        </w:trPr>
        <w:tc>
          <w:tcPr>
            <w:tcW w:w="2250" w:type="dxa"/>
            <w:vMerge w:val="restart"/>
            <w:vAlign w:val="center"/>
          </w:tcPr>
          <w:p w14:paraId="0CB4F262"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Refrigerated Storage Cabinet  (Integral)</w:t>
            </w:r>
          </w:p>
        </w:tc>
        <w:tc>
          <w:tcPr>
            <w:tcW w:w="1276" w:type="dxa"/>
            <w:vMerge w:val="restart"/>
            <w:vAlign w:val="center"/>
          </w:tcPr>
          <w:p w14:paraId="14C34E94"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Refrigerator</w:t>
            </w:r>
          </w:p>
        </w:tc>
        <w:tc>
          <w:tcPr>
            <w:tcW w:w="1417" w:type="dxa"/>
            <w:vAlign w:val="center"/>
          </w:tcPr>
          <w:p w14:paraId="23AA475A"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Counter (Horizontal)</w:t>
            </w:r>
          </w:p>
        </w:tc>
        <w:tc>
          <w:tcPr>
            <w:tcW w:w="1418" w:type="dxa"/>
            <w:vMerge w:val="restart"/>
            <w:vAlign w:val="center"/>
          </w:tcPr>
          <w:p w14:paraId="56801B64" w14:textId="77777777" w:rsidR="005875E7" w:rsidRPr="0041262C" w:rsidRDefault="005875E7" w:rsidP="005875E7">
            <w:pPr>
              <w:pStyle w:val="E3tabletext1"/>
              <w:jc w:val="left"/>
              <w:rPr>
                <w:rFonts w:ascii="Helvetica" w:hAnsi="Helvetica" w:cs="Helvetica"/>
                <w:sz w:val="15"/>
                <w:szCs w:val="15"/>
              </w:rPr>
            </w:pPr>
            <w:r w:rsidRPr="0041262C">
              <w:rPr>
                <w:rFonts w:ascii="Helvetica" w:hAnsi="Helvetica" w:cs="Helvetica"/>
                <w:sz w:val="15"/>
                <w:szCs w:val="15"/>
              </w:rPr>
              <w:t>Storage cabinet types are defined into four categories. No further breakdown  of types yet</w:t>
            </w:r>
          </w:p>
        </w:tc>
        <w:tc>
          <w:tcPr>
            <w:tcW w:w="1134" w:type="dxa"/>
            <w:vMerge w:val="restart"/>
            <w:vAlign w:val="center"/>
          </w:tcPr>
          <w:p w14:paraId="0BA7A10D"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19%</w:t>
            </w:r>
          </w:p>
        </w:tc>
        <w:tc>
          <w:tcPr>
            <w:tcW w:w="1134" w:type="dxa"/>
            <w:vMerge w:val="restart"/>
            <w:vAlign w:val="center"/>
          </w:tcPr>
          <w:p w14:paraId="38DA1B68"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 xml:space="preserve">20% </w:t>
            </w:r>
            <w:r w:rsidRPr="0041262C">
              <w:rPr>
                <w:rFonts w:ascii="Helvetica" w:hAnsi="Helvetica" w:cs="Helvetica"/>
                <w:sz w:val="15"/>
                <w:szCs w:val="15"/>
                <w:vertAlign w:val="superscript"/>
              </w:rPr>
              <w:t>(2)</w:t>
            </w:r>
            <w:r w:rsidRPr="0041262C">
              <w:rPr>
                <w:rStyle w:val="FootnoteReference"/>
                <w:rFonts w:ascii="Helvetica" w:hAnsi="Helvetica" w:cs="Helvetica"/>
                <w:sz w:val="15"/>
                <w:szCs w:val="15"/>
              </w:rPr>
              <w:footnoteReference w:id="34"/>
            </w:r>
          </w:p>
        </w:tc>
        <w:tc>
          <w:tcPr>
            <w:tcW w:w="1032" w:type="dxa"/>
            <w:vAlign w:val="center"/>
          </w:tcPr>
          <w:p w14:paraId="7A88D249"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1.4%</w:t>
            </w:r>
          </w:p>
        </w:tc>
      </w:tr>
      <w:tr w:rsidR="005875E7" w:rsidRPr="001073B6" w14:paraId="51F339E1" w14:textId="77777777" w:rsidTr="005875E7">
        <w:trPr>
          <w:jc w:val="center"/>
        </w:trPr>
        <w:tc>
          <w:tcPr>
            <w:tcW w:w="2250" w:type="dxa"/>
            <w:vMerge/>
            <w:vAlign w:val="center"/>
          </w:tcPr>
          <w:p w14:paraId="651D11F5" w14:textId="77777777" w:rsidR="005875E7" w:rsidRPr="0041262C" w:rsidRDefault="005875E7" w:rsidP="005875E7">
            <w:pPr>
              <w:pStyle w:val="E3tabletext1"/>
              <w:jc w:val="both"/>
              <w:rPr>
                <w:rFonts w:ascii="Helvetica" w:hAnsi="Helvetica" w:cs="Helvetica"/>
                <w:sz w:val="15"/>
                <w:szCs w:val="15"/>
              </w:rPr>
            </w:pPr>
          </w:p>
        </w:tc>
        <w:tc>
          <w:tcPr>
            <w:tcW w:w="1276" w:type="dxa"/>
            <w:vMerge/>
            <w:vAlign w:val="center"/>
          </w:tcPr>
          <w:p w14:paraId="2746D107" w14:textId="77777777" w:rsidR="005875E7" w:rsidRPr="0041262C" w:rsidRDefault="005875E7" w:rsidP="005875E7">
            <w:pPr>
              <w:pStyle w:val="E3tabletext1"/>
              <w:jc w:val="both"/>
              <w:rPr>
                <w:rFonts w:ascii="Helvetica" w:hAnsi="Helvetica" w:cs="Helvetica"/>
                <w:sz w:val="15"/>
                <w:szCs w:val="15"/>
              </w:rPr>
            </w:pPr>
          </w:p>
        </w:tc>
        <w:tc>
          <w:tcPr>
            <w:tcW w:w="1417" w:type="dxa"/>
            <w:vAlign w:val="center"/>
          </w:tcPr>
          <w:p w14:paraId="62CDB808"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Vertical</w:t>
            </w:r>
          </w:p>
        </w:tc>
        <w:tc>
          <w:tcPr>
            <w:tcW w:w="1418" w:type="dxa"/>
            <w:vMerge/>
          </w:tcPr>
          <w:p w14:paraId="0919F77B" w14:textId="77777777" w:rsidR="005875E7" w:rsidRPr="0041262C" w:rsidRDefault="005875E7" w:rsidP="005875E7">
            <w:pPr>
              <w:pStyle w:val="E3tabletext1"/>
              <w:jc w:val="both"/>
              <w:rPr>
                <w:rFonts w:ascii="Helvetica" w:hAnsi="Helvetica" w:cs="Helvetica"/>
                <w:sz w:val="15"/>
                <w:szCs w:val="15"/>
              </w:rPr>
            </w:pPr>
          </w:p>
        </w:tc>
        <w:tc>
          <w:tcPr>
            <w:tcW w:w="1134" w:type="dxa"/>
            <w:vMerge/>
          </w:tcPr>
          <w:p w14:paraId="4437E4BA" w14:textId="77777777" w:rsidR="005875E7" w:rsidRPr="0041262C" w:rsidRDefault="005875E7" w:rsidP="005875E7">
            <w:pPr>
              <w:pStyle w:val="E3tabletext1"/>
              <w:jc w:val="both"/>
              <w:rPr>
                <w:rFonts w:ascii="Helvetica" w:hAnsi="Helvetica" w:cs="Helvetica"/>
                <w:sz w:val="15"/>
                <w:szCs w:val="15"/>
              </w:rPr>
            </w:pPr>
          </w:p>
        </w:tc>
        <w:tc>
          <w:tcPr>
            <w:tcW w:w="1134" w:type="dxa"/>
            <w:vMerge/>
          </w:tcPr>
          <w:p w14:paraId="2F4E9281" w14:textId="77777777" w:rsidR="005875E7" w:rsidRPr="0041262C" w:rsidRDefault="005875E7" w:rsidP="005875E7">
            <w:pPr>
              <w:pStyle w:val="E3tabletext1"/>
              <w:jc w:val="both"/>
              <w:rPr>
                <w:rFonts w:ascii="Helvetica" w:hAnsi="Helvetica" w:cs="Helvetica"/>
                <w:sz w:val="15"/>
                <w:szCs w:val="15"/>
              </w:rPr>
            </w:pPr>
          </w:p>
        </w:tc>
        <w:tc>
          <w:tcPr>
            <w:tcW w:w="1032" w:type="dxa"/>
            <w:vAlign w:val="center"/>
          </w:tcPr>
          <w:p w14:paraId="74573E05"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5.9%</w:t>
            </w:r>
          </w:p>
        </w:tc>
      </w:tr>
      <w:tr w:rsidR="005875E7" w:rsidRPr="001073B6" w14:paraId="7C6A9100" w14:textId="77777777" w:rsidTr="005875E7">
        <w:trPr>
          <w:jc w:val="center"/>
        </w:trPr>
        <w:tc>
          <w:tcPr>
            <w:tcW w:w="2250" w:type="dxa"/>
            <w:vMerge/>
            <w:vAlign w:val="center"/>
          </w:tcPr>
          <w:p w14:paraId="7B005483" w14:textId="77777777" w:rsidR="005875E7" w:rsidRPr="0041262C" w:rsidRDefault="005875E7" w:rsidP="005875E7">
            <w:pPr>
              <w:pStyle w:val="E3tabletext1"/>
              <w:jc w:val="both"/>
              <w:rPr>
                <w:rFonts w:ascii="Helvetica" w:hAnsi="Helvetica" w:cs="Helvetica"/>
                <w:sz w:val="15"/>
                <w:szCs w:val="15"/>
              </w:rPr>
            </w:pPr>
          </w:p>
        </w:tc>
        <w:tc>
          <w:tcPr>
            <w:tcW w:w="1276" w:type="dxa"/>
            <w:vMerge w:val="restart"/>
            <w:vAlign w:val="center"/>
          </w:tcPr>
          <w:p w14:paraId="56B71562"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Freezer</w:t>
            </w:r>
          </w:p>
        </w:tc>
        <w:tc>
          <w:tcPr>
            <w:tcW w:w="1417" w:type="dxa"/>
            <w:vAlign w:val="center"/>
          </w:tcPr>
          <w:p w14:paraId="48BC2ABD"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Counter (Horizontal)</w:t>
            </w:r>
          </w:p>
        </w:tc>
        <w:tc>
          <w:tcPr>
            <w:tcW w:w="1418" w:type="dxa"/>
            <w:vMerge/>
          </w:tcPr>
          <w:p w14:paraId="75C08234" w14:textId="77777777" w:rsidR="005875E7" w:rsidRPr="0041262C" w:rsidRDefault="005875E7" w:rsidP="005875E7">
            <w:pPr>
              <w:pStyle w:val="E3tabletext1"/>
              <w:jc w:val="both"/>
              <w:rPr>
                <w:rFonts w:ascii="Helvetica" w:hAnsi="Helvetica" w:cs="Helvetica"/>
                <w:sz w:val="15"/>
                <w:szCs w:val="15"/>
              </w:rPr>
            </w:pPr>
          </w:p>
        </w:tc>
        <w:tc>
          <w:tcPr>
            <w:tcW w:w="1134" w:type="dxa"/>
            <w:vMerge/>
          </w:tcPr>
          <w:p w14:paraId="754FF428" w14:textId="77777777" w:rsidR="005875E7" w:rsidRPr="0041262C" w:rsidRDefault="005875E7" w:rsidP="005875E7">
            <w:pPr>
              <w:pStyle w:val="E3tabletext1"/>
              <w:jc w:val="both"/>
              <w:rPr>
                <w:rFonts w:ascii="Helvetica" w:hAnsi="Helvetica" w:cs="Helvetica"/>
                <w:sz w:val="15"/>
                <w:szCs w:val="15"/>
              </w:rPr>
            </w:pPr>
          </w:p>
        </w:tc>
        <w:tc>
          <w:tcPr>
            <w:tcW w:w="1134" w:type="dxa"/>
            <w:vMerge/>
          </w:tcPr>
          <w:p w14:paraId="175698B2" w14:textId="77777777" w:rsidR="005875E7" w:rsidRPr="0041262C" w:rsidRDefault="005875E7" w:rsidP="005875E7">
            <w:pPr>
              <w:pStyle w:val="E3tabletext1"/>
              <w:jc w:val="both"/>
              <w:rPr>
                <w:rFonts w:ascii="Helvetica" w:hAnsi="Helvetica" w:cs="Helvetica"/>
                <w:sz w:val="15"/>
                <w:szCs w:val="15"/>
              </w:rPr>
            </w:pPr>
          </w:p>
        </w:tc>
        <w:tc>
          <w:tcPr>
            <w:tcW w:w="1032" w:type="dxa"/>
            <w:vAlign w:val="center"/>
          </w:tcPr>
          <w:p w14:paraId="702CA95F"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46.5%</w:t>
            </w:r>
          </w:p>
        </w:tc>
      </w:tr>
      <w:tr w:rsidR="005875E7" w:rsidRPr="001073B6" w14:paraId="495473C1" w14:textId="77777777" w:rsidTr="005875E7">
        <w:trPr>
          <w:jc w:val="center"/>
        </w:trPr>
        <w:tc>
          <w:tcPr>
            <w:tcW w:w="2250" w:type="dxa"/>
            <w:vMerge/>
            <w:vAlign w:val="center"/>
          </w:tcPr>
          <w:p w14:paraId="1F49B7FF" w14:textId="77777777" w:rsidR="005875E7" w:rsidRPr="0041262C" w:rsidRDefault="005875E7" w:rsidP="005875E7">
            <w:pPr>
              <w:pStyle w:val="E3tabletext1"/>
              <w:jc w:val="both"/>
              <w:rPr>
                <w:rFonts w:ascii="Helvetica" w:hAnsi="Helvetica" w:cs="Helvetica"/>
                <w:sz w:val="15"/>
                <w:szCs w:val="15"/>
              </w:rPr>
            </w:pPr>
          </w:p>
        </w:tc>
        <w:tc>
          <w:tcPr>
            <w:tcW w:w="1276" w:type="dxa"/>
            <w:vMerge/>
            <w:vAlign w:val="center"/>
          </w:tcPr>
          <w:p w14:paraId="6A246303" w14:textId="77777777" w:rsidR="005875E7" w:rsidRPr="0041262C" w:rsidRDefault="005875E7" w:rsidP="005875E7">
            <w:pPr>
              <w:pStyle w:val="E3tabletext1"/>
              <w:jc w:val="both"/>
              <w:rPr>
                <w:rFonts w:ascii="Helvetica" w:hAnsi="Helvetica" w:cs="Helvetica"/>
                <w:sz w:val="15"/>
                <w:szCs w:val="15"/>
              </w:rPr>
            </w:pPr>
          </w:p>
        </w:tc>
        <w:tc>
          <w:tcPr>
            <w:tcW w:w="1417" w:type="dxa"/>
            <w:vAlign w:val="center"/>
          </w:tcPr>
          <w:p w14:paraId="10F75ED5"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Vertical</w:t>
            </w:r>
          </w:p>
        </w:tc>
        <w:tc>
          <w:tcPr>
            <w:tcW w:w="1418" w:type="dxa"/>
            <w:vMerge/>
          </w:tcPr>
          <w:p w14:paraId="7CFDC4B4" w14:textId="77777777" w:rsidR="005875E7" w:rsidRPr="0041262C" w:rsidRDefault="005875E7" w:rsidP="005875E7">
            <w:pPr>
              <w:pStyle w:val="E3tabletext1"/>
              <w:jc w:val="both"/>
              <w:rPr>
                <w:rFonts w:ascii="Helvetica" w:hAnsi="Helvetica" w:cs="Helvetica"/>
                <w:sz w:val="15"/>
                <w:szCs w:val="15"/>
              </w:rPr>
            </w:pPr>
          </w:p>
        </w:tc>
        <w:tc>
          <w:tcPr>
            <w:tcW w:w="1134" w:type="dxa"/>
            <w:vMerge/>
          </w:tcPr>
          <w:p w14:paraId="2E70177E" w14:textId="77777777" w:rsidR="005875E7" w:rsidRPr="0041262C" w:rsidRDefault="005875E7" w:rsidP="005875E7">
            <w:pPr>
              <w:pStyle w:val="E3tabletext1"/>
              <w:jc w:val="both"/>
              <w:rPr>
                <w:rFonts w:ascii="Helvetica" w:hAnsi="Helvetica" w:cs="Helvetica"/>
                <w:sz w:val="15"/>
                <w:szCs w:val="15"/>
              </w:rPr>
            </w:pPr>
          </w:p>
        </w:tc>
        <w:tc>
          <w:tcPr>
            <w:tcW w:w="1134" w:type="dxa"/>
            <w:vMerge/>
          </w:tcPr>
          <w:p w14:paraId="1D41F80B" w14:textId="77777777" w:rsidR="005875E7" w:rsidRPr="0041262C" w:rsidRDefault="005875E7" w:rsidP="005875E7">
            <w:pPr>
              <w:pStyle w:val="E3tabletext1"/>
              <w:jc w:val="both"/>
              <w:rPr>
                <w:rFonts w:ascii="Helvetica" w:hAnsi="Helvetica" w:cs="Helvetica"/>
                <w:sz w:val="15"/>
                <w:szCs w:val="15"/>
              </w:rPr>
            </w:pPr>
          </w:p>
        </w:tc>
        <w:tc>
          <w:tcPr>
            <w:tcW w:w="1032" w:type="dxa"/>
            <w:vAlign w:val="center"/>
          </w:tcPr>
          <w:p w14:paraId="06D58B7A"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0.6%</w:t>
            </w:r>
          </w:p>
        </w:tc>
      </w:tr>
    </w:tbl>
    <w:p w14:paraId="47E981F0" w14:textId="77777777" w:rsidR="005875E7" w:rsidRDefault="005875E7" w:rsidP="005875E7">
      <w:pPr>
        <w:pStyle w:val="E3Figuretitles"/>
        <w:jc w:val="both"/>
      </w:pPr>
    </w:p>
    <w:p w14:paraId="32CBAE2D" w14:textId="77777777" w:rsidR="00781983" w:rsidRDefault="00B4374E" w:rsidP="00781983">
      <w:pPr>
        <w:spacing w:before="60"/>
        <w:jc w:val="both"/>
        <w:rPr>
          <w:b/>
          <w:sz w:val="18"/>
          <w:szCs w:val="18"/>
        </w:rPr>
      </w:pPr>
      <w:r w:rsidRPr="00934F3C">
        <w:rPr>
          <w:b/>
          <w:sz w:val="24"/>
        </w:rPr>
        <w:t>Table 6</w:t>
      </w:r>
      <w:r>
        <w:rPr>
          <w:sz w:val="24"/>
        </w:rPr>
        <w:t xml:space="preserve"> above </w:t>
      </w:r>
      <w:r w:rsidRPr="00105013">
        <w:rPr>
          <w:sz w:val="24"/>
        </w:rPr>
        <w:t>shows a sales profile of grouped cabinet types, including a comparison of Australian and New Zealand registered</w:t>
      </w:r>
      <w:r>
        <w:rPr>
          <w:sz w:val="24"/>
        </w:rPr>
        <w:t xml:space="preserve"> cabinets and s</w:t>
      </w:r>
      <w:r w:rsidRPr="00105013">
        <w:rPr>
          <w:sz w:val="24"/>
        </w:rPr>
        <w:t>torage types</w:t>
      </w:r>
      <w:r>
        <w:rPr>
          <w:sz w:val="24"/>
        </w:rPr>
        <w:t xml:space="preserve"> with</w:t>
      </w:r>
      <w:r w:rsidRPr="00105013">
        <w:rPr>
          <w:sz w:val="24"/>
        </w:rPr>
        <w:t xml:space="preserve"> the European sales profile of broader categories (EC 2014b and EC 2012). Sales of integral display cabinets are slightly higher in the EU than </w:t>
      </w:r>
      <w:r>
        <w:rPr>
          <w:sz w:val="24"/>
        </w:rPr>
        <w:t xml:space="preserve">in </w:t>
      </w:r>
      <w:r w:rsidRPr="00105013">
        <w:rPr>
          <w:sz w:val="24"/>
        </w:rPr>
        <w:t>Australia</w:t>
      </w:r>
      <w:r>
        <w:rPr>
          <w:sz w:val="24"/>
        </w:rPr>
        <w:t xml:space="preserve"> and </w:t>
      </w:r>
      <w:r w:rsidRPr="00105013">
        <w:rPr>
          <w:sz w:val="24"/>
        </w:rPr>
        <w:t>New Zealand, and remote types are lower.</w:t>
      </w:r>
      <w:bookmarkStart w:id="159" w:name="_Ref449960664"/>
      <w:bookmarkStart w:id="160" w:name="_Toc449709073"/>
      <w:bookmarkStart w:id="161" w:name="_Toc494142480"/>
    </w:p>
    <w:p w14:paraId="6C8B7FF6" w14:textId="2F6D3DC6" w:rsidR="00781983" w:rsidRDefault="00781983" w:rsidP="00781983">
      <w:pPr>
        <w:spacing w:before="60"/>
        <w:jc w:val="both"/>
        <w:rPr>
          <w:b/>
          <w:sz w:val="18"/>
          <w:szCs w:val="18"/>
        </w:rPr>
      </w:pPr>
    </w:p>
    <w:p w14:paraId="6609124D" w14:textId="77777777" w:rsidR="00243B70" w:rsidRDefault="00243B70" w:rsidP="00781983">
      <w:pPr>
        <w:pStyle w:val="E3Figuretitles"/>
        <w:rPr>
          <w:bCs w:val="0"/>
          <w:sz w:val="18"/>
          <w:szCs w:val="18"/>
          <w:lang w:val="en-AU"/>
        </w:rPr>
      </w:pPr>
    </w:p>
    <w:p w14:paraId="6E1C2D04" w14:textId="77777777" w:rsidR="00243B70" w:rsidRDefault="00243B70" w:rsidP="00781983">
      <w:pPr>
        <w:pStyle w:val="E3Figuretitles"/>
        <w:rPr>
          <w:bCs w:val="0"/>
          <w:sz w:val="18"/>
          <w:szCs w:val="18"/>
          <w:lang w:val="en-AU"/>
        </w:rPr>
      </w:pPr>
    </w:p>
    <w:p w14:paraId="25E5E41F" w14:textId="77777777" w:rsidR="00243B70" w:rsidRDefault="00243B70" w:rsidP="00781983">
      <w:pPr>
        <w:pStyle w:val="E3Figuretitles"/>
        <w:rPr>
          <w:bCs w:val="0"/>
          <w:sz w:val="18"/>
          <w:szCs w:val="18"/>
          <w:lang w:val="en-AU"/>
        </w:rPr>
      </w:pPr>
    </w:p>
    <w:p w14:paraId="54E18E86" w14:textId="798CB418" w:rsidR="005875E7" w:rsidRPr="00781983" w:rsidRDefault="005875E7" w:rsidP="00781983">
      <w:pPr>
        <w:pStyle w:val="E3Figuretitles"/>
        <w:rPr>
          <w:sz w:val="18"/>
          <w:szCs w:val="18"/>
          <w:lang w:val="en-AU"/>
        </w:rPr>
      </w:pPr>
      <w:r w:rsidRPr="00A929F6">
        <w:lastRenderedPageBreak/>
        <w:t xml:space="preserve">Figure </w:t>
      </w:r>
      <w:bookmarkEnd w:id="159"/>
      <w:r w:rsidRPr="00A929F6">
        <w:t>12: Sales profile for Australia and New Zealand in 2016, based on 15 groups of cabinet types.</w:t>
      </w:r>
      <w:bookmarkEnd w:id="160"/>
      <w:bookmarkEnd w:id="161"/>
    </w:p>
    <w:tbl>
      <w:tblPr>
        <w:tblW w:w="9100" w:type="dxa"/>
        <w:tblInd w:w="108" w:type="dxa"/>
        <w:tblBorders>
          <w:top w:val="single" w:sz="4" w:space="0" w:color="000000"/>
          <w:left w:val="single" w:sz="4" w:space="0" w:color="000000"/>
          <w:right w:val="single" w:sz="4" w:space="0" w:color="000000"/>
        </w:tblBorders>
        <w:tblLayout w:type="fixed"/>
        <w:tblLook w:val="00A0" w:firstRow="1" w:lastRow="0" w:firstColumn="1" w:lastColumn="0" w:noHBand="0" w:noVBand="0"/>
      </w:tblPr>
      <w:tblGrid>
        <w:gridCol w:w="9100"/>
      </w:tblGrid>
      <w:tr w:rsidR="005875E7" w:rsidRPr="00BD20BC" w14:paraId="77DAE2A8" w14:textId="77777777" w:rsidTr="005875E7">
        <w:trPr>
          <w:trHeight w:val="5799"/>
        </w:trPr>
        <w:tc>
          <w:tcPr>
            <w:tcW w:w="9100" w:type="dxa"/>
            <w:tcBorders>
              <w:top w:val="single" w:sz="4" w:space="0" w:color="000000"/>
              <w:bottom w:val="single" w:sz="4" w:space="0" w:color="auto"/>
            </w:tcBorders>
            <w:vAlign w:val="center"/>
          </w:tcPr>
          <w:p w14:paraId="6C258E8F" w14:textId="77777777" w:rsidR="005875E7" w:rsidRPr="00BD20BC" w:rsidRDefault="005875E7" w:rsidP="005875E7">
            <w:pPr>
              <w:keepLines/>
              <w:spacing w:before="60"/>
              <w:jc w:val="both"/>
              <w:rPr>
                <w:sz w:val="16"/>
                <w:szCs w:val="16"/>
              </w:rPr>
            </w:pPr>
            <w:r>
              <w:rPr>
                <w:noProof/>
                <w:lang w:eastAsia="en-AU"/>
              </w:rPr>
              <w:drawing>
                <wp:inline distT="0" distB="0" distL="0" distR="0" wp14:anchorId="33C45DCE" wp14:editId="147E85D1">
                  <wp:extent cx="5303520" cy="3896139"/>
                  <wp:effectExtent l="0" t="0" r="0" b="0"/>
                  <wp:docPr id="31" name="Chart 31" descr="Cabinet types can be broadly split into similar sub-sets, and then given the same performance level to pass, irrespective of whether they are open, closed, high or low temperature. This is a similar approach to that proposed in Europe. Beverage chillers make up nealy half all sales. " title="Sales profile of Australian and New Zealand cabinet types split into groupssplit of cabinet types into groups. "/>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14:paraId="233637A7" w14:textId="77777777" w:rsidR="005875E7" w:rsidRDefault="005875E7" w:rsidP="00AF7405">
      <w:pPr>
        <w:pStyle w:val="E3Bullets"/>
        <w:numPr>
          <w:ilvl w:val="0"/>
          <w:numId w:val="0"/>
        </w:numPr>
        <w:rPr>
          <w:b/>
          <w:highlight w:val="yellow"/>
        </w:rPr>
      </w:pPr>
    </w:p>
    <w:p w14:paraId="192DF041" w14:textId="77777777" w:rsidR="00781983" w:rsidRDefault="00781983" w:rsidP="00AF7405">
      <w:pPr>
        <w:pStyle w:val="E3Heading4"/>
      </w:pPr>
    </w:p>
    <w:p w14:paraId="7201B571" w14:textId="0424C4DC" w:rsidR="005875E7" w:rsidRPr="0041262C" w:rsidRDefault="005875E7" w:rsidP="00781983">
      <w:pPr>
        <w:pStyle w:val="E3Heading4"/>
        <w:jc w:val="both"/>
      </w:pPr>
      <w:r w:rsidRPr="0041262C">
        <w:t>European Energy Efficiency Index calculation for MEPS</w:t>
      </w:r>
    </w:p>
    <w:p w14:paraId="469A9D99" w14:textId="39A9A752" w:rsidR="005875E7" w:rsidRDefault="005875E7" w:rsidP="00781983">
      <w:pPr>
        <w:pStyle w:val="E3BodyText"/>
        <w:jc w:val="both"/>
      </w:pPr>
      <w:r>
        <w:t xml:space="preserve">The proposed move to adopt international standards and test methods </w:t>
      </w:r>
      <w:r w:rsidR="00B4374E">
        <w:t xml:space="preserve">would </w:t>
      </w:r>
      <w:r>
        <w:t xml:space="preserve">involve adopting the European approach to testing and calculating energy efficiency for refrigerated commercial cabinets. </w:t>
      </w:r>
    </w:p>
    <w:p w14:paraId="349CBFA3" w14:textId="1F488BA4" w:rsidR="005875E7" w:rsidRPr="00066675" w:rsidRDefault="005875E7" w:rsidP="00781983">
      <w:pPr>
        <w:pStyle w:val="E3BodyText"/>
        <w:jc w:val="both"/>
      </w:pPr>
      <w:r w:rsidRPr="00066675">
        <w:t xml:space="preserve">The European approach uses a simple Energy Efficiency Index (EEI) – a linear equation based on the tested efficiency of a cabinet, </w:t>
      </w:r>
      <w:r w:rsidR="00B4374E">
        <w:t>compared with the</w:t>
      </w:r>
      <w:r w:rsidR="00B4374E" w:rsidRPr="00066675">
        <w:t xml:space="preserve"> </w:t>
      </w:r>
      <w:r w:rsidRPr="00066675">
        <w:t xml:space="preserve">Standard Annual Energy Consumption (SAEC). The EEI score shows how much more efficient a cabinet model is than its </w:t>
      </w:r>
      <w:r>
        <w:t>SAEC</w:t>
      </w:r>
      <w:r w:rsidRPr="00066675">
        <w:t>.</w:t>
      </w:r>
      <w:r w:rsidRPr="00066675">
        <w:rPr>
          <w:rStyle w:val="FootnoteReference"/>
        </w:rPr>
        <w:footnoteReference w:id="35"/>
      </w:r>
      <w:r w:rsidRPr="00066675">
        <w:t xml:space="preserve">  </w:t>
      </w:r>
    </w:p>
    <w:p w14:paraId="09CB462A" w14:textId="4175545B" w:rsidR="005875E7" w:rsidRDefault="005875E7" w:rsidP="00781983">
      <w:pPr>
        <w:pStyle w:val="E3BodyText"/>
        <w:jc w:val="both"/>
        <w:rPr>
          <w:lang w:val="en-NZ" w:eastAsia="en-NZ"/>
        </w:rPr>
      </w:pPr>
      <w:r w:rsidRPr="00066675">
        <w:lastRenderedPageBreak/>
        <w:t xml:space="preserve">The European Commission has specified </w:t>
      </w:r>
      <w:r>
        <w:t xml:space="preserve">minimum </w:t>
      </w:r>
      <w:r w:rsidRPr="00066675">
        <w:t>EEI</w:t>
      </w:r>
      <w:r>
        <w:t>’s</w:t>
      </w:r>
      <w:r w:rsidRPr="00066675">
        <w:t xml:space="preserve"> that must be achieved by specific years, for all cabinet types. These have been </w:t>
      </w:r>
      <w:r w:rsidR="009111B2" w:rsidRPr="00066675">
        <w:t>signaled</w:t>
      </w:r>
      <w:r w:rsidRPr="00066675">
        <w:t xml:space="preserve"> well in advance by </w:t>
      </w:r>
      <w:r w:rsidR="009111B2" w:rsidRPr="00066675">
        <w:t>publicizing</w:t>
      </w:r>
      <w:r w:rsidRPr="00066675">
        <w:t xml:space="preserve"> the simple index levels and dates when they will come into force. </w:t>
      </w:r>
      <w:r w:rsidR="00B4374E">
        <w:t xml:space="preserve">Table 7 </w:t>
      </w:r>
      <w:r w:rsidR="00344946">
        <w:t>overleaf shows</w:t>
      </w:r>
      <w:r w:rsidRPr="009E72D0">
        <w:rPr>
          <w:lang w:val="en-NZ" w:eastAsia="en-NZ"/>
        </w:rPr>
        <w:t xml:space="preserve"> </w:t>
      </w:r>
      <w:r>
        <w:rPr>
          <w:lang w:val="en-NZ" w:eastAsia="en-NZ"/>
        </w:rPr>
        <w:t xml:space="preserve">the MEPS </w:t>
      </w:r>
      <w:r w:rsidRPr="009E72D0">
        <w:rPr>
          <w:lang w:val="en-NZ" w:eastAsia="en-NZ"/>
        </w:rPr>
        <w:t>implementation dates in Europe.</w:t>
      </w:r>
      <w:r>
        <w:rPr>
          <w:lang w:val="en-NZ" w:eastAsia="en-NZ"/>
        </w:rPr>
        <w:t xml:space="preserve"> MEPS were introduced for storage cabinets from 1 July 2016.</w:t>
      </w:r>
    </w:p>
    <w:p w14:paraId="1910F050" w14:textId="78C6169B" w:rsidR="009111B2" w:rsidRDefault="005875E7" w:rsidP="004C3E41">
      <w:pPr>
        <w:pStyle w:val="E3TableTitles"/>
      </w:pPr>
      <w:bookmarkStart w:id="162" w:name="_Toc500159657"/>
      <w:r w:rsidRPr="004C3E41">
        <w:t xml:space="preserve">Table </w:t>
      </w:r>
      <w:r w:rsidRPr="004C3E41">
        <w:fldChar w:fldCharType="begin"/>
      </w:r>
      <w:r w:rsidRPr="004C3E41">
        <w:instrText xml:space="preserve"> SEQ Table \* ARABIC </w:instrText>
      </w:r>
      <w:r w:rsidRPr="004C3E41">
        <w:fldChar w:fldCharType="separate"/>
      </w:r>
      <w:r w:rsidR="00D51B4B">
        <w:rPr>
          <w:noProof/>
        </w:rPr>
        <w:t>7</w:t>
      </w:r>
      <w:r w:rsidRPr="004C3E41">
        <w:fldChar w:fldCharType="end"/>
      </w:r>
      <w:r w:rsidRPr="004C3E41">
        <w:t>: European introduction dates and MEPS for storage cabinets, and draft MEPS for display cabinets.</w:t>
      </w:r>
      <w:bookmarkEnd w:id="162"/>
      <w:r w:rsidRPr="004C3E41">
        <w:t xml:space="preserve"> </w:t>
      </w:r>
    </w:p>
    <w:tbl>
      <w:tblPr>
        <w:tblW w:w="9526" w:type="dxa"/>
        <w:tblInd w:w="103" w:type="dxa"/>
        <w:tblLook w:val="04A0" w:firstRow="1" w:lastRow="0" w:firstColumn="1" w:lastColumn="0" w:noHBand="0" w:noVBand="1"/>
      </w:tblPr>
      <w:tblGrid>
        <w:gridCol w:w="1923"/>
        <w:gridCol w:w="1540"/>
        <w:gridCol w:w="824"/>
        <w:gridCol w:w="2551"/>
        <w:gridCol w:w="1148"/>
        <w:gridCol w:w="1540"/>
      </w:tblGrid>
      <w:tr w:rsidR="009111B2" w:rsidRPr="009111B2" w14:paraId="17C5E23D" w14:textId="77777777" w:rsidTr="009111B2">
        <w:trPr>
          <w:trHeight w:val="315"/>
        </w:trPr>
        <w:tc>
          <w:tcPr>
            <w:tcW w:w="1923" w:type="dxa"/>
            <w:tcBorders>
              <w:top w:val="single" w:sz="4" w:space="0" w:color="auto"/>
              <w:left w:val="single" w:sz="4" w:space="0" w:color="auto"/>
              <w:bottom w:val="nil"/>
              <w:right w:val="single" w:sz="4" w:space="0" w:color="auto"/>
            </w:tcBorders>
            <w:shd w:val="clear" w:color="auto" w:fill="000000"/>
            <w:vAlign w:val="bottom"/>
            <w:hideMark/>
          </w:tcPr>
          <w:p w14:paraId="179CDF82" w14:textId="77777777" w:rsidR="009111B2" w:rsidRPr="009111B2" w:rsidRDefault="009111B2" w:rsidP="005376DD">
            <w:pPr>
              <w:pStyle w:val="E3TableHeading"/>
              <w:jc w:val="center"/>
              <w:rPr>
                <w:color w:val="FFFFFF"/>
                <w:sz w:val="15"/>
                <w:szCs w:val="15"/>
                <w:lang w:val="en-NZ"/>
              </w:rPr>
            </w:pPr>
            <w:r w:rsidRPr="009111B2">
              <w:rPr>
                <w:color w:val="FFFFFF"/>
                <w:sz w:val="15"/>
                <w:szCs w:val="15"/>
                <w:lang w:val="en-NZ"/>
              </w:rPr>
              <w:t>Introduction date</w:t>
            </w:r>
          </w:p>
        </w:tc>
        <w:tc>
          <w:tcPr>
            <w:tcW w:w="2364" w:type="dxa"/>
            <w:gridSpan w:val="2"/>
            <w:tcBorders>
              <w:top w:val="nil"/>
              <w:left w:val="nil"/>
              <w:bottom w:val="nil"/>
              <w:right w:val="single" w:sz="4" w:space="0" w:color="auto"/>
            </w:tcBorders>
            <w:shd w:val="clear" w:color="auto" w:fill="000000"/>
            <w:vAlign w:val="center"/>
            <w:hideMark/>
          </w:tcPr>
          <w:p w14:paraId="78373106" w14:textId="77777777" w:rsidR="009111B2" w:rsidRPr="009111B2" w:rsidRDefault="009111B2" w:rsidP="009111B2">
            <w:pPr>
              <w:spacing w:before="60" w:after="60" w:line="240" w:lineRule="auto"/>
              <w:jc w:val="center"/>
              <w:rPr>
                <w:rFonts w:ascii="Helvetica" w:eastAsia="Times New Roman" w:hAnsi="Helvetica" w:cs="Helvetica"/>
                <w:b/>
                <w:color w:val="FFFFFF"/>
                <w:sz w:val="15"/>
                <w:szCs w:val="15"/>
                <w:lang w:val="en-NZ"/>
              </w:rPr>
            </w:pPr>
            <w:r w:rsidRPr="009111B2">
              <w:rPr>
                <w:rFonts w:ascii="Helvetica" w:eastAsia="Times New Roman" w:hAnsi="Helvetica" w:cs="Helvetica"/>
                <w:b/>
                <w:color w:val="FFFFFF"/>
                <w:sz w:val="15"/>
                <w:szCs w:val="15"/>
                <w:lang w:val="en-NZ"/>
              </w:rPr>
              <w:t>Refrigerated storage cabinets</w:t>
            </w:r>
          </w:p>
        </w:tc>
        <w:tc>
          <w:tcPr>
            <w:tcW w:w="2551" w:type="dxa"/>
            <w:tcBorders>
              <w:top w:val="single" w:sz="4" w:space="0" w:color="auto"/>
              <w:left w:val="single" w:sz="4" w:space="0" w:color="auto"/>
              <w:bottom w:val="single" w:sz="4" w:space="0" w:color="auto"/>
              <w:right w:val="single" w:sz="4" w:space="0" w:color="auto"/>
            </w:tcBorders>
            <w:shd w:val="clear" w:color="auto" w:fill="000000"/>
          </w:tcPr>
          <w:p w14:paraId="7860B939"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r w:rsidRPr="009111B2">
              <w:rPr>
                <w:rFonts w:ascii="Helvetica" w:eastAsia="Times New Roman" w:hAnsi="Helvetica" w:cs="Helvetica"/>
                <w:b/>
                <w:sz w:val="15"/>
                <w:szCs w:val="15"/>
                <w:lang w:val="en-NZ"/>
              </w:rPr>
              <w:t>Heavy Duty Cabinets</w:t>
            </w:r>
          </w:p>
        </w:tc>
        <w:tc>
          <w:tcPr>
            <w:tcW w:w="2688" w:type="dxa"/>
            <w:gridSpan w:val="2"/>
            <w:tcBorders>
              <w:top w:val="single" w:sz="4" w:space="0" w:color="auto"/>
              <w:left w:val="single" w:sz="4" w:space="0" w:color="auto"/>
              <w:bottom w:val="single" w:sz="4" w:space="0" w:color="auto"/>
              <w:right w:val="single" w:sz="4" w:space="0" w:color="000000"/>
            </w:tcBorders>
            <w:shd w:val="clear" w:color="auto" w:fill="000000"/>
            <w:noWrap/>
            <w:vAlign w:val="center"/>
            <w:hideMark/>
          </w:tcPr>
          <w:p w14:paraId="31AEBE43" w14:textId="77777777" w:rsidR="009111B2" w:rsidRPr="009111B2" w:rsidRDefault="009111B2" w:rsidP="009111B2">
            <w:pPr>
              <w:spacing w:before="60" w:after="60" w:line="240" w:lineRule="auto"/>
              <w:jc w:val="center"/>
              <w:rPr>
                <w:rFonts w:ascii="Helvetica" w:eastAsia="Times New Roman" w:hAnsi="Helvetica" w:cs="Helvetica"/>
                <w:b/>
                <w:color w:val="FFFFFF"/>
                <w:sz w:val="15"/>
                <w:szCs w:val="15"/>
                <w:lang w:val="en-NZ"/>
              </w:rPr>
            </w:pPr>
            <w:r w:rsidRPr="009111B2">
              <w:rPr>
                <w:rFonts w:ascii="Helvetica" w:eastAsia="Times New Roman" w:hAnsi="Helvetica" w:cs="Helvetica"/>
                <w:b/>
                <w:color w:val="FFFFFF"/>
                <w:sz w:val="15"/>
                <w:szCs w:val="15"/>
                <w:lang w:val="en-NZ"/>
              </w:rPr>
              <w:t>Refrigerated display cabinets</w:t>
            </w:r>
          </w:p>
        </w:tc>
      </w:tr>
      <w:tr w:rsidR="009111B2" w:rsidRPr="009111B2" w14:paraId="27BAB65E" w14:textId="77777777" w:rsidTr="005376DD">
        <w:trPr>
          <w:trHeight w:val="315"/>
        </w:trPr>
        <w:tc>
          <w:tcPr>
            <w:tcW w:w="192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D850618" w14:textId="77777777" w:rsidR="009111B2" w:rsidRPr="009111B2" w:rsidRDefault="009111B2" w:rsidP="009111B2">
            <w:pPr>
              <w:spacing w:before="60" w:after="60" w:line="240" w:lineRule="auto"/>
              <w:rPr>
                <w:rFonts w:ascii="Helvetica" w:eastAsia="Times New Roman" w:hAnsi="Helvetica" w:cs="Helvetica"/>
                <w:b/>
                <w:sz w:val="15"/>
                <w:szCs w:val="15"/>
                <w:lang w:val="en-NZ"/>
              </w:rPr>
            </w:pPr>
            <w:r w:rsidRPr="009111B2">
              <w:rPr>
                <w:rFonts w:ascii="Helvetica" w:eastAsia="Times New Roman" w:hAnsi="Helvetica" w:cs="Helvetica"/>
                <w:b/>
                <w:sz w:val="15"/>
                <w:szCs w:val="15"/>
                <w:lang w:val="en-NZ"/>
              </w:rPr>
              <w:t>From 1 July 2016</w:t>
            </w:r>
          </w:p>
        </w:tc>
        <w:tc>
          <w:tcPr>
            <w:tcW w:w="236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3478895"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r w:rsidRPr="009111B2">
              <w:rPr>
                <w:rFonts w:ascii="Helvetica" w:eastAsia="Times New Roman" w:hAnsi="Helvetica" w:cs="Helvetica"/>
                <w:b/>
                <w:sz w:val="15"/>
                <w:szCs w:val="15"/>
                <w:lang w:val="en-NZ"/>
              </w:rPr>
              <w:t>EEI &lt; 115</w:t>
            </w:r>
          </w:p>
        </w:tc>
        <w:tc>
          <w:tcPr>
            <w:tcW w:w="2551" w:type="dxa"/>
            <w:vMerge w:val="restart"/>
            <w:tcBorders>
              <w:top w:val="nil"/>
              <w:left w:val="single" w:sz="4" w:space="0" w:color="auto"/>
              <w:right w:val="single" w:sz="4" w:space="0" w:color="auto"/>
            </w:tcBorders>
            <w:vAlign w:val="center"/>
          </w:tcPr>
          <w:p w14:paraId="3A4F8902"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r w:rsidRPr="009111B2">
              <w:rPr>
                <w:rFonts w:ascii="Helvetica" w:eastAsia="Times New Roman" w:hAnsi="Helvetica" w:cs="Helvetica"/>
                <w:b/>
                <w:sz w:val="15"/>
                <w:szCs w:val="15"/>
              </w:rPr>
              <w:t>EEI &lt; 115</w:t>
            </w:r>
          </w:p>
        </w:tc>
        <w:tc>
          <w:tcPr>
            <w:tcW w:w="1148" w:type="dxa"/>
            <w:tcBorders>
              <w:top w:val="nil"/>
              <w:left w:val="single" w:sz="4" w:space="0" w:color="auto"/>
              <w:bottom w:val="nil"/>
              <w:right w:val="nil"/>
            </w:tcBorders>
            <w:shd w:val="clear" w:color="000000" w:fill="D9D9D9"/>
            <w:noWrap/>
            <w:vAlign w:val="bottom"/>
            <w:hideMark/>
          </w:tcPr>
          <w:p w14:paraId="1847D324"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1540" w:type="dxa"/>
            <w:tcBorders>
              <w:top w:val="nil"/>
              <w:left w:val="nil"/>
              <w:bottom w:val="nil"/>
              <w:right w:val="single" w:sz="4" w:space="0" w:color="auto"/>
            </w:tcBorders>
            <w:shd w:val="clear" w:color="000000" w:fill="D9D9D9"/>
            <w:noWrap/>
            <w:vAlign w:val="bottom"/>
            <w:hideMark/>
          </w:tcPr>
          <w:p w14:paraId="167BD583"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r>
      <w:tr w:rsidR="009111B2" w:rsidRPr="009111B2" w14:paraId="5024A086" w14:textId="77777777" w:rsidTr="005376DD">
        <w:trPr>
          <w:trHeight w:val="300"/>
        </w:trPr>
        <w:tc>
          <w:tcPr>
            <w:tcW w:w="1923" w:type="dxa"/>
            <w:vMerge/>
            <w:tcBorders>
              <w:top w:val="single" w:sz="4" w:space="0" w:color="auto"/>
              <w:left w:val="single" w:sz="4" w:space="0" w:color="auto"/>
              <w:bottom w:val="single" w:sz="4" w:space="0" w:color="000000"/>
              <w:right w:val="single" w:sz="4" w:space="0" w:color="000000"/>
            </w:tcBorders>
            <w:vAlign w:val="center"/>
            <w:hideMark/>
          </w:tcPr>
          <w:p w14:paraId="40F2FB55" w14:textId="77777777" w:rsidR="009111B2" w:rsidRPr="009111B2" w:rsidRDefault="009111B2" w:rsidP="009111B2">
            <w:pPr>
              <w:spacing w:before="60" w:after="60" w:line="240" w:lineRule="auto"/>
              <w:rPr>
                <w:rFonts w:ascii="Helvetica" w:eastAsia="Times New Roman" w:hAnsi="Helvetica" w:cs="Helvetica"/>
                <w:b/>
                <w:sz w:val="15"/>
                <w:szCs w:val="15"/>
                <w:lang w:val="en-NZ"/>
              </w:rPr>
            </w:pPr>
          </w:p>
        </w:tc>
        <w:tc>
          <w:tcPr>
            <w:tcW w:w="2364" w:type="dxa"/>
            <w:gridSpan w:val="2"/>
            <w:vMerge/>
            <w:tcBorders>
              <w:top w:val="single" w:sz="4" w:space="0" w:color="auto"/>
              <w:left w:val="single" w:sz="4" w:space="0" w:color="auto"/>
              <w:bottom w:val="single" w:sz="4" w:space="0" w:color="000000"/>
              <w:right w:val="single" w:sz="4" w:space="0" w:color="auto"/>
            </w:tcBorders>
            <w:vAlign w:val="center"/>
            <w:hideMark/>
          </w:tcPr>
          <w:p w14:paraId="44A0B4C9"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2551" w:type="dxa"/>
            <w:vMerge/>
            <w:tcBorders>
              <w:left w:val="single" w:sz="4" w:space="0" w:color="auto"/>
              <w:bottom w:val="single" w:sz="4" w:space="0" w:color="auto"/>
              <w:right w:val="single" w:sz="4" w:space="0" w:color="auto"/>
            </w:tcBorders>
            <w:shd w:val="clear" w:color="000000" w:fill="D9D9D9"/>
          </w:tcPr>
          <w:p w14:paraId="644452BE"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1148" w:type="dxa"/>
            <w:tcBorders>
              <w:top w:val="nil"/>
              <w:left w:val="single" w:sz="4" w:space="0" w:color="auto"/>
              <w:bottom w:val="single" w:sz="4" w:space="0" w:color="auto"/>
              <w:right w:val="nil"/>
            </w:tcBorders>
            <w:shd w:val="clear" w:color="000000" w:fill="D9D9D9"/>
            <w:noWrap/>
            <w:vAlign w:val="bottom"/>
            <w:hideMark/>
          </w:tcPr>
          <w:p w14:paraId="2C27270E"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1540" w:type="dxa"/>
            <w:tcBorders>
              <w:top w:val="nil"/>
              <w:left w:val="nil"/>
              <w:bottom w:val="single" w:sz="4" w:space="0" w:color="auto"/>
              <w:right w:val="single" w:sz="4" w:space="0" w:color="auto"/>
            </w:tcBorders>
            <w:shd w:val="clear" w:color="000000" w:fill="D9D9D9"/>
            <w:noWrap/>
            <w:vAlign w:val="bottom"/>
            <w:hideMark/>
          </w:tcPr>
          <w:p w14:paraId="75120A5E"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r>
      <w:tr w:rsidR="009111B2" w:rsidRPr="009111B2" w14:paraId="3893BAD3" w14:textId="77777777" w:rsidTr="005376DD">
        <w:trPr>
          <w:trHeight w:val="300"/>
        </w:trPr>
        <w:tc>
          <w:tcPr>
            <w:tcW w:w="192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82F0F92" w14:textId="77777777" w:rsidR="009111B2" w:rsidRPr="009111B2" w:rsidRDefault="009111B2" w:rsidP="009111B2">
            <w:pPr>
              <w:spacing w:before="60" w:after="60" w:line="240" w:lineRule="auto"/>
              <w:rPr>
                <w:rFonts w:ascii="Helvetica" w:eastAsia="Times New Roman" w:hAnsi="Helvetica" w:cs="Helvetica"/>
                <w:b/>
                <w:sz w:val="15"/>
                <w:szCs w:val="15"/>
                <w:lang w:val="en-NZ"/>
              </w:rPr>
            </w:pPr>
            <w:r w:rsidRPr="009111B2">
              <w:rPr>
                <w:rFonts w:ascii="Helvetica" w:eastAsia="Times New Roman" w:hAnsi="Helvetica" w:cs="Helvetica"/>
                <w:b/>
                <w:sz w:val="15"/>
                <w:szCs w:val="15"/>
                <w:lang w:val="en-NZ"/>
              </w:rPr>
              <w:t>From 1 January 2018*</w:t>
            </w:r>
          </w:p>
        </w:tc>
        <w:tc>
          <w:tcPr>
            <w:tcW w:w="1540" w:type="dxa"/>
            <w:tcBorders>
              <w:top w:val="nil"/>
              <w:left w:val="nil"/>
              <w:bottom w:val="nil"/>
              <w:right w:val="nil"/>
            </w:tcBorders>
            <w:shd w:val="clear" w:color="000000" w:fill="D9D9D9"/>
            <w:noWrap/>
            <w:vAlign w:val="bottom"/>
            <w:hideMark/>
          </w:tcPr>
          <w:p w14:paraId="3075142E"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824" w:type="dxa"/>
            <w:tcBorders>
              <w:top w:val="nil"/>
              <w:left w:val="nil"/>
              <w:bottom w:val="nil"/>
              <w:right w:val="single" w:sz="4" w:space="0" w:color="auto"/>
            </w:tcBorders>
            <w:shd w:val="clear" w:color="000000" w:fill="D9D9D9"/>
            <w:noWrap/>
            <w:vAlign w:val="bottom"/>
            <w:hideMark/>
          </w:tcPr>
          <w:p w14:paraId="1693EEC6"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2551" w:type="dxa"/>
            <w:vMerge w:val="restart"/>
            <w:tcBorders>
              <w:top w:val="single" w:sz="4" w:space="0" w:color="auto"/>
              <w:left w:val="single" w:sz="4" w:space="0" w:color="auto"/>
              <w:bottom w:val="single" w:sz="4" w:space="0" w:color="auto"/>
              <w:right w:val="single" w:sz="4" w:space="0" w:color="auto"/>
            </w:tcBorders>
          </w:tcPr>
          <w:p w14:paraId="443BCF09"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268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5827372"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r w:rsidRPr="009111B2">
              <w:rPr>
                <w:rFonts w:ascii="Helvetica" w:eastAsia="Times New Roman" w:hAnsi="Helvetica" w:cs="Helvetica"/>
                <w:b/>
                <w:sz w:val="15"/>
                <w:szCs w:val="15"/>
                <w:lang w:val="en-NZ"/>
              </w:rPr>
              <w:t>EEI &lt; 150</w:t>
            </w:r>
          </w:p>
        </w:tc>
      </w:tr>
      <w:tr w:rsidR="009111B2" w:rsidRPr="009111B2" w14:paraId="060B6E05" w14:textId="77777777" w:rsidTr="005376DD">
        <w:trPr>
          <w:trHeight w:val="300"/>
        </w:trPr>
        <w:tc>
          <w:tcPr>
            <w:tcW w:w="1923" w:type="dxa"/>
            <w:vMerge/>
            <w:tcBorders>
              <w:top w:val="single" w:sz="4" w:space="0" w:color="auto"/>
              <w:left w:val="single" w:sz="4" w:space="0" w:color="auto"/>
              <w:bottom w:val="single" w:sz="4" w:space="0" w:color="000000"/>
              <w:right w:val="single" w:sz="4" w:space="0" w:color="000000"/>
            </w:tcBorders>
            <w:vAlign w:val="center"/>
            <w:hideMark/>
          </w:tcPr>
          <w:p w14:paraId="16730566" w14:textId="77777777" w:rsidR="009111B2" w:rsidRPr="009111B2" w:rsidRDefault="009111B2" w:rsidP="009111B2">
            <w:pPr>
              <w:spacing w:before="60" w:after="60" w:line="240" w:lineRule="auto"/>
              <w:rPr>
                <w:rFonts w:ascii="Helvetica" w:eastAsia="Times New Roman" w:hAnsi="Helvetica" w:cs="Helvetica"/>
                <w:b/>
                <w:sz w:val="15"/>
                <w:szCs w:val="15"/>
                <w:lang w:val="en-NZ"/>
              </w:rPr>
            </w:pPr>
          </w:p>
        </w:tc>
        <w:tc>
          <w:tcPr>
            <w:tcW w:w="1540" w:type="dxa"/>
            <w:tcBorders>
              <w:top w:val="nil"/>
              <w:left w:val="nil"/>
              <w:bottom w:val="single" w:sz="4" w:space="0" w:color="auto"/>
              <w:right w:val="nil"/>
            </w:tcBorders>
            <w:shd w:val="clear" w:color="000000" w:fill="D9D9D9"/>
            <w:noWrap/>
            <w:vAlign w:val="bottom"/>
            <w:hideMark/>
          </w:tcPr>
          <w:p w14:paraId="55A2DE3D"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824" w:type="dxa"/>
            <w:tcBorders>
              <w:top w:val="nil"/>
              <w:left w:val="nil"/>
              <w:bottom w:val="single" w:sz="4" w:space="0" w:color="auto"/>
              <w:right w:val="single" w:sz="4" w:space="0" w:color="auto"/>
            </w:tcBorders>
            <w:shd w:val="clear" w:color="000000" w:fill="D9D9D9"/>
            <w:noWrap/>
            <w:vAlign w:val="bottom"/>
            <w:hideMark/>
          </w:tcPr>
          <w:p w14:paraId="6434AF3D"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2551" w:type="dxa"/>
            <w:vMerge/>
            <w:tcBorders>
              <w:left w:val="single" w:sz="4" w:space="0" w:color="auto"/>
              <w:bottom w:val="single" w:sz="4" w:space="0" w:color="auto"/>
              <w:right w:val="single" w:sz="4" w:space="0" w:color="auto"/>
            </w:tcBorders>
          </w:tcPr>
          <w:p w14:paraId="54339246"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2688" w:type="dxa"/>
            <w:gridSpan w:val="2"/>
            <w:vMerge/>
            <w:tcBorders>
              <w:top w:val="nil"/>
              <w:left w:val="single" w:sz="4" w:space="0" w:color="auto"/>
              <w:bottom w:val="single" w:sz="4" w:space="0" w:color="auto"/>
              <w:right w:val="single" w:sz="4" w:space="0" w:color="auto"/>
            </w:tcBorders>
            <w:vAlign w:val="center"/>
            <w:hideMark/>
          </w:tcPr>
          <w:p w14:paraId="597F5C79"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r>
      <w:tr w:rsidR="009111B2" w:rsidRPr="009111B2" w14:paraId="6BFC37FC" w14:textId="77777777" w:rsidTr="005376DD">
        <w:trPr>
          <w:trHeight w:val="300"/>
        </w:trPr>
        <w:tc>
          <w:tcPr>
            <w:tcW w:w="192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F88640B" w14:textId="77777777" w:rsidR="009111B2" w:rsidRPr="009111B2" w:rsidRDefault="009111B2" w:rsidP="009111B2">
            <w:pPr>
              <w:spacing w:before="60" w:after="60" w:line="240" w:lineRule="auto"/>
              <w:rPr>
                <w:rFonts w:ascii="Helvetica" w:eastAsia="Times New Roman" w:hAnsi="Helvetica" w:cs="Helvetica"/>
                <w:b/>
                <w:sz w:val="15"/>
                <w:szCs w:val="15"/>
                <w:lang w:val="en-NZ"/>
              </w:rPr>
            </w:pPr>
            <w:r w:rsidRPr="009111B2">
              <w:rPr>
                <w:rFonts w:ascii="Helvetica" w:eastAsia="Times New Roman" w:hAnsi="Helvetica" w:cs="Helvetica"/>
                <w:b/>
                <w:sz w:val="15"/>
                <w:szCs w:val="15"/>
                <w:lang w:val="en-NZ"/>
              </w:rPr>
              <w:t>From 1 January 2018</w:t>
            </w:r>
          </w:p>
        </w:tc>
        <w:tc>
          <w:tcPr>
            <w:tcW w:w="236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E72FCF9"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r w:rsidRPr="009111B2">
              <w:rPr>
                <w:rFonts w:ascii="Helvetica" w:eastAsia="Times New Roman" w:hAnsi="Helvetica" w:cs="Helvetica"/>
                <w:b/>
                <w:sz w:val="15"/>
                <w:szCs w:val="15"/>
                <w:lang w:val="en-NZ"/>
              </w:rPr>
              <w:t>EEI &lt; 95</w:t>
            </w:r>
          </w:p>
        </w:tc>
        <w:tc>
          <w:tcPr>
            <w:tcW w:w="2551" w:type="dxa"/>
            <w:vMerge w:val="restart"/>
            <w:tcBorders>
              <w:top w:val="nil"/>
              <w:left w:val="single" w:sz="4" w:space="0" w:color="auto"/>
              <w:right w:val="single" w:sz="4" w:space="0" w:color="auto"/>
            </w:tcBorders>
          </w:tcPr>
          <w:p w14:paraId="0C5FA36B"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1148" w:type="dxa"/>
            <w:tcBorders>
              <w:top w:val="nil"/>
              <w:left w:val="single" w:sz="4" w:space="0" w:color="auto"/>
              <w:bottom w:val="nil"/>
              <w:right w:val="nil"/>
            </w:tcBorders>
            <w:shd w:val="clear" w:color="000000" w:fill="D9D9D9"/>
            <w:noWrap/>
            <w:vAlign w:val="bottom"/>
            <w:hideMark/>
          </w:tcPr>
          <w:p w14:paraId="4C0CF3DF"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1540" w:type="dxa"/>
            <w:tcBorders>
              <w:top w:val="nil"/>
              <w:left w:val="nil"/>
              <w:bottom w:val="nil"/>
              <w:right w:val="single" w:sz="4" w:space="0" w:color="auto"/>
            </w:tcBorders>
            <w:shd w:val="clear" w:color="000000" w:fill="D9D9D9"/>
            <w:noWrap/>
            <w:vAlign w:val="bottom"/>
            <w:hideMark/>
          </w:tcPr>
          <w:p w14:paraId="27F48E1A"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r>
      <w:tr w:rsidR="009111B2" w:rsidRPr="009111B2" w14:paraId="419F075A" w14:textId="77777777" w:rsidTr="005376DD">
        <w:trPr>
          <w:trHeight w:val="300"/>
        </w:trPr>
        <w:tc>
          <w:tcPr>
            <w:tcW w:w="1923" w:type="dxa"/>
            <w:vMerge/>
            <w:tcBorders>
              <w:top w:val="single" w:sz="4" w:space="0" w:color="auto"/>
              <w:left w:val="single" w:sz="4" w:space="0" w:color="auto"/>
              <w:bottom w:val="single" w:sz="4" w:space="0" w:color="000000"/>
              <w:right w:val="single" w:sz="4" w:space="0" w:color="000000"/>
            </w:tcBorders>
            <w:vAlign w:val="center"/>
            <w:hideMark/>
          </w:tcPr>
          <w:p w14:paraId="45FCB5C2" w14:textId="77777777" w:rsidR="009111B2" w:rsidRPr="009111B2" w:rsidRDefault="009111B2" w:rsidP="009111B2">
            <w:pPr>
              <w:spacing w:before="60" w:after="60" w:line="240" w:lineRule="auto"/>
              <w:rPr>
                <w:rFonts w:ascii="Helvetica" w:eastAsia="Times New Roman" w:hAnsi="Helvetica" w:cs="Helvetica"/>
                <w:b/>
                <w:sz w:val="15"/>
                <w:szCs w:val="15"/>
                <w:lang w:val="en-NZ"/>
              </w:rPr>
            </w:pPr>
          </w:p>
        </w:tc>
        <w:tc>
          <w:tcPr>
            <w:tcW w:w="2364" w:type="dxa"/>
            <w:gridSpan w:val="2"/>
            <w:vMerge/>
            <w:tcBorders>
              <w:top w:val="single" w:sz="4" w:space="0" w:color="auto"/>
              <w:left w:val="single" w:sz="4" w:space="0" w:color="auto"/>
              <w:bottom w:val="single" w:sz="4" w:space="0" w:color="000000"/>
              <w:right w:val="single" w:sz="4" w:space="0" w:color="auto"/>
            </w:tcBorders>
            <w:vAlign w:val="center"/>
            <w:hideMark/>
          </w:tcPr>
          <w:p w14:paraId="0AD5AD05"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2551" w:type="dxa"/>
            <w:vMerge/>
            <w:tcBorders>
              <w:left w:val="single" w:sz="4" w:space="0" w:color="auto"/>
              <w:bottom w:val="single" w:sz="4" w:space="0" w:color="auto"/>
              <w:right w:val="single" w:sz="4" w:space="0" w:color="auto"/>
            </w:tcBorders>
            <w:shd w:val="clear" w:color="000000" w:fill="D9D9D9"/>
          </w:tcPr>
          <w:p w14:paraId="425B4E9D"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1148" w:type="dxa"/>
            <w:tcBorders>
              <w:top w:val="nil"/>
              <w:left w:val="single" w:sz="4" w:space="0" w:color="auto"/>
              <w:bottom w:val="single" w:sz="4" w:space="0" w:color="auto"/>
              <w:right w:val="nil"/>
            </w:tcBorders>
            <w:shd w:val="clear" w:color="000000" w:fill="D9D9D9"/>
            <w:noWrap/>
            <w:vAlign w:val="bottom"/>
            <w:hideMark/>
          </w:tcPr>
          <w:p w14:paraId="43E3C6E9"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1540" w:type="dxa"/>
            <w:tcBorders>
              <w:top w:val="nil"/>
              <w:left w:val="nil"/>
              <w:bottom w:val="single" w:sz="4" w:space="0" w:color="auto"/>
              <w:right w:val="single" w:sz="4" w:space="0" w:color="auto"/>
            </w:tcBorders>
            <w:shd w:val="clear" w:color="000000" w:fill="D9D9D9"/>
            <w:noWrap/>
            <w:vAlign w:val="bottom"/>
            <w:hideMark/>
          </w:tcPr>
          <w:p w14:paraId="1452A560"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r>
      <w:tr w:rsidR="009111B2" w:rsidRPr="009111B2" w14:paraId="57885855" w14:textId="77777777" w:rsidTr="005376DD">
        <w:trPr>
          <w:trHeight w:val="300"/>
        </w:trPr>
        <w:tc>
          <w:tcPr>
            <w:tcW w:w="192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CE9D95F" w14:textId="77777777" w:rsidR="009111B2" w:rsidRPr="009111B2" w:rsidRDefault="009111B2" w:rsidP="009111B2">
            <w:pPr>
              <w:spacing w:before="60" w:after="60" w:line="240" w:lineRule="auto"/>
              <w:rPr>
                <w:rFonts w:ascii="Helvetica" w:eastAsia="Times New Roman" w:hAnsi="Helvetica" w:cs="Helvetica"/>
                <w:b/>
                <w:sz w:val="15"/>
                <w:szCs w:val="15"/>
                <w:lang w:val="en-NZ"/>
              </w:rPr>
            </w:pPr>
            <w:r w:rsidRPr="009111B2">
              <w:rPr>
                <w:rFonts w:ascii="Helvetica" w:eastAsia="Times New Roman" w:hAnsi="Helvetica" w:cs="Helvetica"/>
                <w:b/>
                <w:sz w:val="15"/>
                <w:szCs w:val="15"/>
                <w:lang w:val="en-NZ"/>
              </w:rPr>
              <w:t>From 1 January 2019*</w:t>
            </w:r>
          </w:p>
        </w:tc>
        <w:tc>
          <w:tcPr>
            <w:tcW w:w="1540" w:type="dxa"/>
            <w:tcBorders>
              <w:top w:val="nil"/>
              <w:left w:val="nil"/>
              <w:bottom w:val="nil"/>
              <w:right w:val="nil"/>
            </w:tcBorders>
            <w:shd w:val="clear" w:color="000000" w:fill="D9D9D9"/>
            <w:noWrap/>
            <w:vAlign w:val="bottom"/>
            <w:hideMark/>
          </w:tcPr>
          <w:p w14:paraId="0244C48B"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824" w:type="dxa"/>
            <w:tcBorders>
              <w:top w:val="nil"/>
              <w:left w:val="nil"/>
              <w:bottom w:val="nil"/>
              <w:right w:val="single" w:sz="4" w:space="0" w:color="auto"/>
            </w:tcBorders>
            <w:shd w:val="clear" w:color="000000" w:fill="D9D9D9"/>
            <w:noWrap/>
            <w:vAlign w:val="bottom"/>
            <w:hideMark/>
          </w:tcPr>
          <w:p w14:paraId="2334B05C"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2551" w:type="dxa"/>
            <w:vMerge w:val="restart"/>
            <w:tcBorders>
              <w:top w:val="single" w:sz="4" w:space="0" w:color="auto"/>
              <w:left w:val="single" w:sz="4" w:space="0" w:color="auto"/>
              <w:bottom w:val="single" w:sz="4" w:space="0" w:color="auto"/>
              <w:right w:val="single" w:sz="4" w:space="0" w:color="auto"/>
            </w:tcBorders>
          </w:tcPr>
          <w:p w14:paraId="375E852D"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268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027F254"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r w:rsidRPr="009111B2">
              <w:rPr>
                <w:rFonts w:ascii="Helvetica" w:eastAsia="Times New Roman" w:hAnsi="Helvetica" w:cs="Helvetica"/>
                <w:b/>
                <w:sz w:val="15"/>
                <w:szCs w:val="15"/>
                <w:lang w:val="en-NZ"/>
              </w:rPr>
              <w:t>EEI &lt; 130</w:t>
            </w:r>
          </w:p>
        </w:tc>
      </w:tr>
      <w:tr w:rsidR="009111B2" w:rsidRPr="009111B2" w14:paraId="7BA486F5" w14:textId="77777777" w:rsidTr="005376DD">
        <w:trPr>
          <w:trHeight w:val="300"/>
        </w:trPr>
        <w:tc>
          <w:tcPr>
            <w:tcW w:w="1923" w:type="dxa"/>
            <w:vMerge/>
            <w:tcBorders>
              <w:top w:val="single" w:sz="4" w:space="0" w:color="auto"/>
              <w:left w:val="single" w:sz="4" w:space="0" w:color="auto"/>
              <w:bottom w:val="single" w:sz="4" w:space="0" w:color="000000"/>
              <w:right w:val="single" w:sz="4" w:space="0" w:color="000000"/>
            </w:tcBorders>
            <w:vAlign w:val="center"/>
            <w:hideMark/>
          </w:tcPr>
          <w:p w14:paraId="24B18A39" w14:textId="77777777" w:rsidR="009111B2" w:rsidRPr="009111B2" w:rsidRDefault="009111B2" w:rsidP="009111B2">
            <w:pPr>
              <w:spacing w:before="60" w:after="60" w:line="240" w:lineRule="auto"/>
              <w:rPr>
                <w:rFonts w:ascii="Helvetica" w:eastAsia="Times New Roman" w:hAnsi="Helvetica" w:cs="Helvetica"/>
                <w:b/>
                <w:sz w:val="15"/>
                <w:szCs w:val="15"/>
                <w:lang w:val="en-NZ"/>
              </w:rPr>
            </w:pPr>
          </w:p>
        </w:tc>
        <w:tc>
          <w:tcPr>
            <w:tcW w:w="1540" w:type="dxa"/>
            <w:tcBorders>
              <w:top w:val="nil"/>
              <w:left w:val="nil"/>
              <w:bottom w:val="single" w:sz="4" w:space="0" w:color="auto"/>
              <w:right w:val="nil"/>
            </w:tcBorders>
            <w:shd w:val="clear" w:color="000000" w:fill="D9D9D9"/>
            <w:noWrap/>
            <w:vAlign w:val="bottom"/>
            <w:hideMark/>
          </w:tcPr>
          <w:p w14:paraId="4A108246"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824" w:type="dxa"/>
            <w:tcBorders>
              <w:top w:val="nil"/>
              <w:left w:val="nil"/>
              <w:bottom w:val="single" w:sz="4" w:space="0" w:color="auto"/>
              <w:right w:val="single" w:sz="4" w:space="0" w:color="auto"/>
            </w:tcBorders>
            <w:shd w:val="clear" w:color="000000" w:fill="D9D9D9"/>
            <w:noWrap/>
            <w:vAlign w:val="bottom"/>
            <w:hideMark/>
          </w:tcPr>
          <w:p w14:paraId="7662A1E6"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2551" w:type="dxa"/>
            <w:vMerge/>
            <w:tcBorders>
              <w:left w:val="single" w:sz="4" w:space="0" w:color="auto"/>
              <w:bottom w:val="single" w:sz="4" w:space="0" w:color="auto"/>
              <w:right w:val="single" w:sz="4" w:space="0" w:color="auto"/>
            </w:tcBorders>
          </w:tcPr>
          <w:p w14:paraId="40E9F907"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2688" w:type="dxa"/>
            <w:gridSpan w:val="2"/>
            <w:vMerge/>
            <w:tcBorders>
              <w:top w:val="nil"/>
              <w:left w:val="single" w:sz="4" w:space="0" w:color="auto"/>
              <w:bottom w:val="single" w:sz="4" w:space="0" w:color="auto"/>
              <w:right w:val="single" w:sz="4" w:space="0" w:color="auto"/>
            </w:tcBorders>
            <w:vAlign w:val="center"/>
            <w:hideMark/>
          </w:tcPr>
          <w:p w14:paraId="6B0360C6"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r>
      <w:tr w:rsidR="009111B2" w:rsidRPr="009111B2" w14:paraId="448C3A4B" w14:textId="77777777" w:rsidTr="005376DD">
        <w:trPr>
          <w:trHeight w:val="300"/>
        </w:trPr>
        <w:tc>
          <w:tcPr>
            <w:tcW w:w="192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1DA6F18" w14:textId="77777777" w:rsidR="009111B2" w:rsidRPr="009111B2" w:rsidRDefault="009111B2" w:rsidP="009111B2">
            <w:pPr>
              <w:spacing w:before="60" w:after="60" w:line="240" w:lineRule="auto"/>
              <w:rPr>
                <w:rFonts w:ascii="Helvetica" w:eastAsia="Times New Roman" w:hAnsi="Helvetica" w:cs="Helvetica"/>
                <w:b/>
                <w:sz w:val="15"/>
                <w:szCs w:val="15"/>
                <w:lang w:val="en-NZ"/>
              </w:rPr>
            </w:pPr>
            <w:r w:rsidRPr="009111B2">
              <w:rPr>
                <w:rFonts w:ascii="Helvetica" w:eastAsia="Times New Roman" w:hAnsi="Helvetica" w:cs="Helvetica"/>
                <w:b/>
                <w:sz w:val="15"/>
                <w:szCs w:val="15"/>
                <w:lang w:val="en-NZ"/>
              </w:rPr>
              <w:t>From 1 July 2019</w:t>
            </w:r>
          </w:p>
        </w:tc>
        <w:tc>
          <w:tcPr>
            <w:tcW w:w="236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3E4E2EE"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r w:rsidRPr="009111B2">
              <w:rPr>
                <w:rFonts w:ascii="Helvetica" w:eastAsia="Times New Roman" w:hAnsi="Helvetica" w:cs="Helvetica"/>
                <w:b/>
                <w:sz w:val="15"/>
                <w:szCs w:val="15"/>
                <w:lang w:val="en-NZ"/>
              </w:rPr>
              <w:t>EEI &lt; 85</w:t>
            </w:r>
          </w:p>
        </w:tc>
        <w:tc>
          <w:tcPr>
            <w:tcW w:w="2551" w:type="dxa"/>
            <w:vMerge w:val="restart"/>
            <w:tcBorders>
              <w:top w:val="nil"/>
              <w:left w:val="single" w:sz="4" w:space="0" w:color="auto"/>
              <w:right w:val="single" w:sz="4" w:space="0" w:color="auto"/>
            </w:tcBorders>
          </w:tcPr>
          <w:p w14:paraId="5EE29E00"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1148" w:type="dxa"/>
            <w:tcBorders>
              <w:top w:val="nil"/>
              <w:left w:val="single" w:sz="4" w:space="0" w:color="auto"/>
              <w:bottom w:val="nil"/>
              <w:right w:val="nil"/>
            </w:tcBorders>
            <w:shd w:val="clear" w:color="000000" w:fill="D9D9D9"/>
            <w:noWrap/>
            <w:vAlign w:val="bottom"/>
            <w:hideMark/>
          </w:tcPr>
          <w:p w14:paraId="36D4422A"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1540" w:type="dxa"/>
            <w:tcBorders>
              <w:top w:val="nil"/>
              <w:left w:val="nil"/>
              <w:bottom w:val="nil"/>
              <w:right w:val="single" w:sz="4" w:space="0" w:color="auto"/>
            </w:tcBorders>
            <w:shd w:val="clear" w:color="000000" w:fill="D9D9D9"/>
            <w:noWrap/>
            <w:vAlign w:val="bottom"/>
            <w:hideMark/>
          </w:tcPr>
          <w:p w14:paraId="07FB08C6"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r>
      <w:tr w:rsidR="009111B2" w:rsidRPr="009111B2" w14:paraId="2D632660" w14:textId="77777777" w:rsidTr="005376DD">
        <w:trPr>
          <w:trHeight w:val="300"/>
        </w:trPr>
        <w:tc>
          <w:tcPr>
            <w:tcW w:w="1923" w:type="dxa"/>
            <w:vMerge/>
            <w:tcBorders>
              <w:top w:val="single" w:sz="4" w:space="0" w:color="auto"/>
              <w:left w:val="single" w:sz="4" w:space="0" w:color="auto"/>
              <w:bottom w:val="single" w:sz="4" w:space="0" w:color="000000"/>
              <w:right w:val="single" w:sz="4" w:space="0" w:color="000000"/>
            </w:tcBorders>
            <w:vAlign w:val="center"/>
            <w:hideMark/>
          </w:tcPr>
          <w:p w14:paraId="52A52916" w14:textId="77777777" w:rsidR="009111B2" w:rsidRPr="009111B2" w:rsidRDefault="009111B2" w:rsidP="009111B2">
            <w:pPr>
              <w:spacing w:before="60" w:after="60" w:line="240" w:lineRule="auto"/>
              <w:rPr>
                <w:rFonts w:ascii="Helvetica" w:eastAsia="Times New Roman" w:hAnsi="Helvetica" w:cs="Helvetica"/>
                <w:b/>
                <w:sz w:val="15"/>
                <w:szCs w:val="15"/>
                <w:lang w:val="en-NZ"/>
              </w:rPr>
            </w:pPr>
          </w:p>
        </w:tc>
        <w:tc>
          <w:tcPr>
            <w:tcW w:w="2364" w:type="dxa"/>
            <w:gridSpan w:val="2"/>
            <w:vMerge/>
            <w:tcBorders>
              <w:top w:val="single" w:sz="4" w:space="0" w:color="auto"/>
              <w:left w:val="single" w:sz="4" w:space="0" w:color="auto"/>
              <w:bottom w:val="single" w:sz="4" w:space="0" w:color="000000"/>
              <w:right w:val="single" w:sz="4" w:space="0" w:color="auto"/>
            </w:tcBorders>
            <w:vAlign w:val="center"/>
            <w:hideMark/>
          </w:tcPr>
          <w:p w14:paraId="252602AA"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2551" w:type="dxa"/>
            <w:vMerge/>
            <w:tcBorders>
              <w:left w:val="single" w:sz="4" w:space="0" w:color="auto"/>
              <w:bottom w:val="single" w:sz="4" w:space="0" w:color="auto"/>
              <w:right w:val="single" w:sz="4" w:space="0" w:color="auto"/>
            </w:tcBorders>
            <w:shd w:val="clear" w:color="000000" w:fill="D9D9D9"/>
          </w:tcPr>
          <w:p w14:paraId="3E410D26"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1148" w:type="dxa"/>
            <w:tcBorders>
              <w:top w:val="nil"/>
              <w:left w:val="single" w:sz="4" w:space="0" w:color="auto"/>
              <w:bottom w:val="single" w:sz="4" w:space="0" w:color="auto"/>
              <w:right w:val="nil"/>
            </w:tcBorders>
            <w:shd w:val="clear" w:color="000000" w:fill="D9D9D9"/>
            <w:noWrap/>
            <w:vAlign w:val="bottom"/>
            <w:hideMark/>
          </w:tcPr>
          <w:p w14:paraId="60A23907"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1540" w:type="dxa"/>
            <w:tcBorders>
              <w:top w:val="nil"/>
              <w:left w:val="nil"/>
              <w:bottom w:val="single" w:sz="4" w:space="0" w:color="auto"/>
              <w:right w:val="single" w:sz="4" w:space="0" w:color="auto"/>
            </w:tcBorders>
            <w:shd w:val="clear" w:color="000000" w:fill="D9D9D9"/>
            <w:noWrap/>
            <w:vAlign w:val="bottom"/>
            <w:hideMark/>
          </w:tcPr>
          <w:p w14:paraId="4A72B3A9"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r>
      <w:tr w:rsidR="009111B2" w:rsidRPr="009111B2" w14:paraId="36210588" w14:textId="77777777" w:rsidTr="005376DD">
        <w:trPr>
          <w:trHeight w:val="300"/>
        </w:trPr>
        <w:tc>
          <w:tcPr>
            <w:tcW w:w="192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FC3EB65" w14:textId="77777777" w:rsidR="009111B2" w:rsidRPr="009111B2" w:rsidRDefault="009111B2" w:rsidP="009111B2">
            <w:pPr>
              <w:spacing w:before="60" w:after="60" w:line="240" w:lineRule="auto"/>
              <w:rPr>
                <w:rFonts w:ascii="Helvetica" w:eastAsia="Times New Roman" w:hAnsi="Helvetica" w:cs="Helvetica"/>
                <w:b/>
                <w:sz w:val="15"/>
                <w:szCs w:val="15"/>
                <w:lang w:val="en-NZ"/>
              </w:rPr>
            </w:pPr>
            <w:r w:rsidRPr="009111B2">
              <w:rPr>
                <w:rFonts w:ascii="Helvetica" w:eastAsia="Times New Roman" w:hAnsi="Helvetica" w:cs="Helvetica"/>
                <w:b/>
                <w:sz w:val="15"/>
                <w:szCs w:val="15"/>
                <w:lang w:val="en-NZ"/>
              </w:rPr>
              <w:t>From 1 January 2021*</w:t>
            </w:r>
          </w:p>
        </w:tc>
        <w:tc>
          <w:tcPr>
            <w:tcW w:w="1540" w:type="dxa"/>
            <w:tcBorders>
              <w:top w:val="nil"/>
              <w:left w:val="nil"/>
              <w:bottom w:val="nil"/>
              <w:right w:val="nil"/>
            </w:tcBorders>
            <w:shd w:val="clear" w:color="000000" w:fill="D9D9D9"/>
            <w:noWrap/>
            <w:vAlign w:val="bottom"/>
            <w:hideMark/>
          </w:tcPr>
          <w:p w14:paraId="2A2A5636"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824" w:type="dxa"/>
            <w:tcBorders>
              <w:top w:val="nil"/>
              <w:left w:val="nil"/>
              <w:bottom w:val="nil"/>
              <w:right w:val="single" w:sz="4" w:space="0" w:color="auto"/>
            </w:tcBorders>
            <w:shd w:val="clear" w:color="000000" w:fill="D9D9D9"/>
            <w:noWrap/>
            <w:vAlign w:val="bottom"/>
            <w:hideMark/>
          </w:tcPr>
          <w:p w14:paraId="353A2B43"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2551" w:type="dxa"/>
            <w:vMerge w:val="restart"/>
            <w:tcBorders>
              <w:top w:val="single" w:sz="4" w:space="0" w:color="auto"/>
              <w:left w:val="single" w:sz="4" w:space="0" w:color="auto"/>
              <w:bottom w:val="single" w:sz="4" w:space="0" w:color="auto"/>
              <w:right w:val="single" w:sz="4" w:space="0" w:color="auto"/>
            </w:tcBorders>
          </w:tcPr>
          <w:p w14:paraId="139A746C"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p>
        </w:tc>
        <w:tc>
          <w:tcPr>
            <w:tcW w:w="268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77106DD" w14:textId="77777777" w:rsidR="009111B2" w:rsidRPr="009111B2" w:rsidRDefault="009111B2" w:rsidP="009111B2">
            <w:pPr>
              <w:spacing w:before="60" w:after="60" w:line="240" w:lineRule="auto"/>
              <w:jc w:val="center"/>
              <w:rPr>
                <w:rFonts w:ascii="Helvetica" w:eastAsia="Times New Roman" w:hAnsi="Helvetica" w:cs="Helvetica"/>
                <w:b/>
                <w:sz w:val="15"/>
                <w:szCs w:val="15"/>
                <w:lang w:val="en-NZ"/>
              </w:rPr>
            </w:pPr>
            <w:r w:rsidRPr="009111B2">
              <w:rPr>
                <w:rFonts w:ascii="Helvetica" w:eastAsia="Times New Roman" w:hAnsi="Helvetica" w:cs="Helvetica"/>
                <w:b/>
                <w:sz w:val="15"/>
                <w:szCs w:val="15"/>
                <w:lang w:val="en-NZ"/>
              </w:rPr>
              <w:t>EEI &lt; 110</w:t>
            </w:r>
          </w:p>
        </w:tc>
      </w:tr>
      <w:tr w:rsidR="009111B2" w:rsidRPr="009111B2" w14:paraId="7CADA812" w14:textId="77777777" w:rsidTr="005376DD">
        <w:trPr>
          <w:trHeight w:val="300"/>
        </w:trPr>
        <w:tc>
          <w:tcPr>
            <w:tcW w:w="1923" w:type="dxa"/>
            <w:vMerge/>
            <w:tcBorders>
              <w:top w:val="single" w:sz="4" w:space="0" w:color="auto"/>
              <w:left w:val="single" w:sz="4" w:space="0" w:color="auto"/>
              <w:bottom w:val="single" w:sz="4" w:space="0" w:color="000000"/>
              <w:right w:val="single" w:sz="4" w:space="0" w:color="000000"/>
            </w:tcBorders>
            <w:vAlign w:val="center"/>
            <w:hideMark/>
          </w:tcPr>
          <w:p w14:paraId="2BDE038E" w14:textId="77777777" w:rsidR="009111B2" w:rsidRPr="009111B2" w:rsidRDefault="009111B2" w:rsidP="009111B2">
            <w:pPr>
              <w:spacing w:before="60" w:after="60" w:line="240" w:lineRule="auto"/>
              <w:jc w:val="both"/>
              <w:rPr>
                <w:rFonts w:ascii="Helvetica" w:eastAsia="Times New Roman" w:hAnsi="Helvetica" w:cs="Helvetica"/>
                <w:b/>
                <w:sz w:val="15"/>
                <w:szCs w:val="14"/>
                <w:lang w:val="en-NZ"/>
              </w:rPr>
            </w:pPr>
          </w:p>
        </w:tc>
        <w:tc>
          <w:tcPr>
            <w:tcW w:w="1540" w:type="dxa"/>
            <w:tcBorders>
              <w:top w:val="nil"/>
              <w:left w:val="nil"/>
              <w:bottom w:val="single" w:sz="4" w:space="0" w:color="auto"/>
              <w:right w:val="nil"/>
            </w:tcBorders>
            <w:shd w:val="clear" w:color="000000" w:fill="D9D9D9"/>
            <w:noWrap/>
            <w:vAlign w:val="bottom"/>
            <w:hideMark/>
          </w:tcPr>
          <w:p w14:paraId="7F3B2D8F" w14:textId="77777777" w:rsidR="009111B2" w:rsidRPr="009111B2" w:rsidRDefault="009111B2" w:rsidP="009111B2">
            <w:pPr>
              <w:spacing w:before="60" w:after="60" w:line="240" w:lineRule="auto"/>
              <w:jc w:val="both"/>
              <w:rPr>
                <w:rFonts w:ascii="Helvetica" w:eastAsia="Times New Roman" w:hAnsi="Helvetica" w:cs="Helvetica"/>
                <w:b/>
                <w:sz w:val="15"/>
                <w:szCs w:val="14"/>
                <w:lang w:val="en-NZ"/>
              </w:rPr>
            </w:pPr>
            <w:r w:rsidRPr="009111B2">
              <w:rPr>
                <w:rFonts w:ascii="Helvetica" w:eastAsia="Times New Roman" w:hAnsi="Helvetica" w:cs="Helvetica"/>
                <w:b/>
                <w:sz w:val="15"/>
                <w:szCs w:val="14"/>
                <w:lang w:val="en-NZ"/>
              </w:rPr>
              <w:t> </w:t>
            </w:r>
          </w:p>
        </w:tc>
        <w:tc>
          <w:tcPr>
            <w:tcW w:w="824" w:type="dxa"/>
            <w:tcBorders>
              <w:top w:val="nil"/>
              <w:left w:val="nil"/>
              <w:bottom w:val="single" w:sz="4" w:space="0" w:color="auto"/>
              <w:right w:val="single" w:sz="4" w:space="0" w:color="auto"/>
            </w:tcBorders>
            <w:shd w:val="clear" w:color="000000" w:fill="D9D9D9"/>
            <w:noWrap/>
            <w:vAlign w:val="bottom"/>
            <w:hideMark/>
          </w:tcPr>
          <w:p w14:paraId="1C4FB206" w14:textId="77777777" w:rsidR="009111B2" w:rsidRPr="009111B2" w:rsidRDefault="009111B2" w:rsidP="009111B2">
            <w:pPr>
              <w:spacing w:before="60" w:after="60" w:line="240" w:lineRule="auto"/>
              <w:jc w:val="both"/>
              <w:rPr>
                <w:rFonts w:ascii="Helvetica" w:eastAsia="Times New Roman" w:hAnsi="Helvetica" w:cs="Helvetica"/>
                <w:b/>
                <w:sz w:val="15"/>
                <w:szCs w:val="14"/>
                <w:lang w:val="en-NZ"/>
              </w:rPr>
            </w:pPr>
            <w:r w:rsidRPr="009111B2">
              <w:rPr>
                <w:rFonts w:ascii="Helvetica" w:eastAsia="Times New Roman" w:hAnsi="Helvetica" w:cs="Helvetica"/>
                <w:b/>
                <w:sz w:val="15"/>
                <w:szCs w:val="14"/>
                <w:lang w:val="en-NZ"/>
              </w:rPr>
              <w:t> </w:t>
            </w:r>
          </w:p>
        </w:tc>
        <w:tc>
          <w:tcPr>
            <w:tcW w:w="2551" w:type="dxa"/>
            <w:vMerge/>
            <w:tcBorders>
              <w:left w:val="single" w:sz="4" w:space="0" w:color="auto"/>
              <w:bottom w:val="single" w:sz="4" w:space="0" w:color="auto"/>
              <w:right w:val="single" w:sz="4" w:space="0" w:color="auto"/>
            </w:tcBorders>
          </w:tcPr>
          <w:p w14:paraId="386D5963" w14:textId="77777777" w:rsidR="009111B2" w:rsidRPr="009111B2" w:rsidRDefault="009111B2" w:rsidP="009111B2">
            <w:pPr>
              <w:spacing w:before="60" w:after="60" w:line="240" w:lineRule="auto"/>
              <w:jc w:val="both"/>
              <w:rPr>
                <w:rFonts w:ascii="Helvetica" w:eastAsia="Times New Roman" w:hAnsi="Helvetica" w:cs="Helvetica"/>
                <w:b/>
                <w:sz w:val="15"/>
                <w:szCs w:val="14"/>
                <w:lang w:val="en-NZ"/>
              </w:rPr>
            </w:pPr>
          </w:p>
        </w:tc>
        <w:tc>
          <w:tcPr>
            <w:tcW w:w="2688" w:type="dxa"/>
            <w:gridSpan w:val="2"/>
            <w:vMerge/>
            <w:tcBorders>
              <w:top w:val="nil"/>
              <w:left w:val="single" w:sz="4" w:space="0" w:color="auto"/>
              <w:bottom w:val="single" w:sz="4" w:space="0" w:color="auto"/>
              <w:right w:val="single" w:sz="4" w:space="0" w:color="auto"/>
            </w:tcBorders>
            <w:vAlign w:val="center"/>
            <w:hideMark/>
          </w:tcPr>
          <w:p w14:paraId="560AF033" w14:textId="77777777" w:rsidR="009111B2" w:rsidRPr="009111B2" w:rsidRDefault="009111B2" w:rsidP="009111B2">
            <w:pPr>
              <w:spacing w:before="60" w:after="60" w:line="240" w:lineRule="auto"/>
              <w:jc w:val="both"/>
              <w:rPr>
                <w:rFonts w:ascii="Helvetica" w:eastAsia="Times New Roman" w:hAnsi="Helvetica" w:cs="Helvetica"/>
                <w:b/>
                <w:sz w:val="15"/>
                <w:szCs w:val="14"/>
                <w:lang w:val="en-NZ"/>
              </w:rPr>
            </w:pPr>
          </w:p>
        </w:tc>
      </w:tr>
    </w:tbl>
    <w:p w14:paraId="79A93AEE" w14:textId="77777777" w:rsidR="005875E7" w:rsidRDefault="005875E7" w:rsidP="005875E7">
      <w:pPr>
        <w:pStyle w:val="E3tabletext1"/>
        <w:jc w:val="left"/>
        <w:rPr>
          <w:lang w:val="en-NZ"/>
        </w:rPr>
      </w:pPr>
      <w:r>
        <w:rPr>
          <w:lang w:val="en-NZ"/>
        </w:rPr>
        <w:t xml:space="preserve">* </w:t>
      </w:r>
      <w:r w:rsidRPr="0041262C">
        <w:rPr>
          <w:sz w:val="16"/>
          <w:lang w:val="en-NZ"/>
        </w:rPr>
        <w:t>Dates for cabinets other than storage cabinets, and MEPS EEI levels – are indicative only. These were taken from the April 2016 EU documents and are not publically available for comment.</w:t>
      </w:r>
    </w:p>
    <w:p w14:paraId="6C46A43C" w14:textId="77777777" w:rsidR="0057327A" w:rsidRDefault="0057327A" w:rsidP="00781983">
      <w:pPr>
        <w:pStyle w:val="E3BodyText"/>
        <w:jc w:val="both"/>
      </w:pPr>
    </w:p>
    <w:p w14:paraId="6D1781AA" w14:textId="7B5FF45D" w:rsidR="005875E7" w:rsidRDefault="005875E7" w:rsidP="00781983">
      <w:pPr>
        <w:pStyle w:val="E3BodyText"/>
        <w:jc w:val="both"/>
      </w:pPr>
      <w:r w:rsidRPr="00066675">
        <w:t xml:space="preserve">See </w:t>
      </w:r>
      <w:r>
        <w:rPr>
          <w:b/>
        </w:rPr>
        <w:t>A</w:t>
      </w:r>
      <w:r w:rsidR="00803448">
        <w:rPr>
          <w:b/>
        </w:rPr>
        <w:t>ttachment E</w:t>
      </w:r>
      <w:r w:rsidRPr="00066675">
        <w:rPr>
          <w:b/>
        </w:rPr>
        <w:t xml:space="preserve"> </w:t>
      </w:r>
      <w:r w:rsidRPr="00066675">
        <w:t xml:space="preserve">for more information about European test methods, the EEI and </w:t>
      </w:r>
      <w:r>
        <w:t xml:space="preserve">EC </w:t>
      </w:r>
      <w:r w:rsidRPr="00066675">
        <w:t>MEPS levels.</w:t>
      </w:r>
    </w:p>
    <w:p w14:paraId="6A2CE2A7" w14:textId="77777777" w:rsidR="005875E7" w:rsidRPr="0041262C" w:rsidRDefault="005875E7" w:rsidP="00781983">
      <w:pPr>
        <w:pStyle w:val="E3Heading4"/>
        <w:jc w:val="both"/>
        <w:rPr>
          <w:sz w:val="28"/>
        </w:rPr>
      </w:pPr>
      <w:r w:rsidRPr="0041262C">
        <w:t>Proposed EU efficiency levels under current Option 4 regulatory proposal</w:t>
      </w:r>
    </w:p>
    <w:p w14:paraId="57001328" w14:textId="0AB5B7FB" w:rsidR="005875E7" w:rsidRDefault="005875E7" w:rsidP="00781983">
      <w:pPr>
        <w:spacing w:before="240"/>
        <w:jc w:val="both"/>
        <w:rPr>
          <w:sz w:val="24"/>
        </w:rPr>
      </w:pPr>
      <w:r>
        <w:rPr>
          <w:sz w:val="24"/>
        </w:rPr>
        <w:t>It is proposed that EU EEI levels adopted from 1 December 2019 for</w:t>
      </w:r>
      <w:r w:rsidR="00B4374E">
        <w:rPr>
          <w:sz w:val="24"/>
        </w:rPr>
        <w:t xml:space="preserve"> both</w:t>
      </w:r>
      <w:r>
        <w:rPr>
          <w:sz w:val="24"/>
        </w:rPr>
        <w:t xml:space="preserve"> refrigerated storage cabinets</w:t>
      </w:r>
      <w:r w:rsidR="00B4374E">
        <w:rPr>
          <w:sz w:val="24"/>
        </w:rPr>
        <w:t xml:space="preserve"> and </w:t>
      </w:r>
      <w:r>
        <w:rPr>
          <w:sz w:val="24"/>
        </w:rPr>
        <w:t xml:space="preserve">refrigerated display cabinets (if implemented by that date). </w:t>
      </w:r>
    </w:p>
    <w:p w14:paraId="4226D01F" w14:textId="2E531016" w:rsidR="00605BFF" w:rsidRDefault="005875E7" w:rsidP="00781983">
      <w:pPr>
        <w:pStyle w:val="E3BodyText"/>
        <w:jc w:val="both"/>
      </w:pPr>
      <w:r>
        <w:t xml:space="preserve">Refrigerated storage cabinet energy efficiency levels </w:t>
      </w:r>
      <w:r w:rsidR="00B4374E">
        <w:t xml:space="preserve">would </w:t>
      </w:r>
      <w:r>
        <w:t xml:space="preserve">align with the regulated EU 2018 levels </w:t>
      </w:r>
      <w:r w:rsidR="00B4374E">
        <w:t xml:space="preserve">(see </w:t>
      </w:r>
      <w:r w:rsidR="00B4374E" w:rsidRPr="00FA4EC7">
        <w:rPr>
          <w:b/>
        </w:rPr>
        <w:t xml:space="preserve">Table </w:t>
      </w:r>
      <w:r w:rsidR="00B4374E">
        <w:rPr>
          <w:b/>
        </w:rPr>
        <w:t>8</w:t>
      </w:r>
      <w:r w:rsidR="00B4374E" w:rsidRPr="00FA4EC7">
        <w:rPr>
          <w:b/>
        </w:rPr>
        <w:t>A</w:t>
      </w:r>
      <w:r w:rsidR="00B4374E" w:rsidRPr="00090BF2">
        <w:t xml:space="preserve"> below</w:t>
      </w:r>
      <w:r w:rsidR="00B4374E">
        <w:t xml:space="preserve">), </w:t>
      </w:r>
      <w:r w:rsidR="00B4374E" w:rsidRPr="00B4374E">
        <w:t>while the proposed refrigerated display cabinet energy efficiency levels are based on the proposed EU 2017 levels</w:t>
      </w:r>
      <w:r w:rsidR="00B4374E">
        <w:t xml:space="preserve"> (</w:t>
      </w:r>
      <w:r w:rsidR="00B4374E" w:rsidRPr="003D5BD2">
        <w:rPr>
          <w:b/>
        </w:rPr>
        <w:t>Table 8B</w:t>
      </w:r>
      <w:r w:rsidR="00B4374E" w:rsidRPr="000E0D90">
        <w:t>).</w:t>
      </w:r>
    </w:p>
    <w:p w14:paraId="3F8B9525" w14:textId="77777777" w:rsidR="00243B70" w:rsidRDefault="00243B70" w:rsidP="00781983">
      <w:pPr>
        <w:pStyle w:val="E3BodyText"/>
        <w:jc w:val="both"/>
      </w:pPr>
    </w:p>
    <w:p w14:paraId="5D1F54D1" w14:textId="77777777" w:rsidR="003616D8" w:rsidRDefault="003616D8">
      <w:pPr>
        <w:spacing w:after="0" w:line="240" w:lineRule="auto"/>
        <w:rPr>
          <w:rFonts w:cs="Georgia"/>
          <w:b/>
          <w:bCs/>
          <w:color w:val="000000"/>
          <w:sz w:val="21"/>
          <w:szCs w:val="19"/>
          <w:lang w:val="en-US"/>
        </w:rPr>
      </w:pPr>
      <w:r>
        <w:br w:type="page"/>
      </w:r>
    </w:p>
    <w:p w14:paraId="4A3E4CF9" w14:textId="76A61923" w:rsidR="005875E7" w:rsidRPr="00FA4EC7" w:rsidRDefault="005875E7" w:rsidP="003616D8">
      <w:pPr>
        <w:pStyle w:val="E3TableTitles"/>
        <w:jc w:val="both"/>
      </w:pPr>
      <w:bookmarkStart w:id="163" w:name="_Toc500159658"/>
      <w:r w:rsidRPr="00FA4EC7">
        <w:lastRenderedPageBreak/>
        <w:t xml:space="preserve">Table </w:t>
      </w:r>
      <w:r>
        <w:t>8</w:t>
      </w:r>
      <w:r w:rsidRPr="00FA4EC7">
        <w:t xml:space="preserve">A: </w:t>
      </w:r>
      <w:r>
        <w:t>Proposed “MEPS” implementation dates for refrigerated storage cabinets.</w:t>
      </w:r>
      <w:bookmarkEnd w:id="163"/>
    </w:p>
    <w:tbl>
      <w:tblPr>
        <w:tblW w:w="9418" w:type="dxa"/>
        <w:tblInd w:w="-10" w:type="dxa"/>
        <w:tblCellMar>
          <w:left w:w="0" w:type="dxa"/>
          <w:right w:w="0" w:type="dxa"/>
        </w:tblCellMar>
        <w:tblLook w:val="04A0" w:firstRow="1" w:lastRow="0" w:firstColumn="1" w:lastColumn="0" w:noHBand="0" w:noVBand="1"/>
      </w:tblPr>
      <w:tblGrid>
        <w:gridCol w:w="2172"/>
        <w:gridCol w:w="3407"/>
        <w:gridCol w:w="3823"/>
        <w:gridCol w:w="16"/>
      </w:tblGrid>
      <w:tr w:rsidR="005875E7" w14:paraId="36165393" w14:textId="77777777" w:rsidTr="005875E7">
        <w:trPr>
          <w:trHeight w:val="459"/>
        </w:trPr>
        <w:tc>
          <w:tcPr>
            <w:tcW w:w="9402" w:type="dxa"/>
            <w:gridSpan w:val="3"/>
            <w:tcBorders>
              <w:top w:val="nil"/>
              <w:left w:val="single" w:sz="8" w:space="0" w:color="auto"/>
              <w:bottom w:val="nil"/>
              <w:right w:val="nil"/>
            </w:tcBorders>
            <w:shd w:val="clear" w:color="auto" w:fill="000000"/>
            <w:noWrap/>
            <w:tcMar>
              <w:top w:w="0" w:type="dxa"/>
              <w:left w:w="108" w:type="dxa"/>
              <w:bottom w:w="0" w:type="dxa"/>
              <w:right w:w="108" w:type="dxa"/>
            </w:tcMar>
            <w:vAlign w:val="center"/>
            <w:hideMark/>
          </w:tcPr>
          <w:p w14:paraId="531BC2D9" w14:textId="77777777" w:rsidR="005875E7" w:rsidRPr="0041262C" w:rsidRDefault="005875E7" w:rsidP="00781983">
            <w:pPr>
              <w:jc w:val="both"/>
              <w:rPr>
                <w:rFonts w:ascii="Helvetica" w:eastAsiaTheme="minorHAnsi" w:hAnsi="Helvetica" w:cs="Helvetica"/>
                <w:color w:val="FFFFFF"/>
                <w:sz w:val="15"/>
                <w:szCs w:val="15"/>
                <w:lang w:val="en-NZ" w:eastAsia="en-NZ"/>
              </w:rPr>
            </w:pPr>
            <w:r w:rsidRPr="0041262C">
              <w:rPr>
                <w:rFonts w:ascii="Helvetica" w:hAnsi="Helvetica" w:cs="Helvetica"/>
                <w:color w:val="FFFFFF"/>
                <w:sz w:val="15"/>
                <w:szCs w:val="15"/>
                <w:lang w:eastAsia="en-NZ"/>
              </w:rPr>
              <w:t>Proposed EU energy efficiency level for refrigerated storage cabinets</w:t>
            </w:r>
          </w:p>
        </w:tc>
        <w:tc>
          <w:tcPr>
            <w:tcW w:w="0" w:type="auto"/>
            <w:vAlign w:val="center"/>
            <w:hideMark/>
          </w:tcPr>
          <w:p w14:paraId="6B0EE93A" w14:textId="77777777" w:rsidR="005875E7" w:rsidRDefault="005875E7" w:rsidP="00781983">
            <w:pPr>
              <w:jc w:val="both"/>
              <w:rPr>
                <w:color w:val="FFFFFF"/>
                <w:lang w:eastAsia="en-NZ"/>
              </w:rPr>
            </w:pPr>
          </w:p>
        </w:tc>
      </w:tr>
      <w:tr w:rsidR="005875E7" w14:paraId="2DF3926E" w14:textId="77777777" w:rsidTr="005875E7">
        <w:trPr>
          <w:trHeight w:val="545"/>
        </w:trPr>
        <w:tc>
          <w:tcPr>
            <w:tcW w:w="2172" w:type="dxa"/>
            <w:tcBorders>
              <w:top w:val="single" w:sz="8" w:space="0" w:color="auto"/>
              <w:left w:val="single" w:sz="8" w:space="0" w:color="auto"/>
              <w:bottom w:val="single" w:sz="8" w:space="0" w:color="auto"/>
              <w:right w:val="single" w:sz="8" w:space="0" w:color="auto"/>
            </w:tcBorders>
            <w:shd w:val="clear" w:color="auto" w:fill="D7E4BC"/>
            <w:tcMar>
              <w:top w:w="0" w:type="dxa"/>
              <w:left w:w="108" w:type="dxa"/>
              <w:bottom w:w="0" w:type="dxa"/>
              <w:right w:w="108" w:type="dxa"/>
            </w:tcMar>
            <w:vAlign w:val="bottom"/>
            <w:hideMark/>
          </w:tcPr>
          <w:p w14:paraId="119111D6" w14:textId="77777777" w:rsidR="005875E7" w:rsidRPr="0041262C" w:rsidRDefault="005875E7" w:rsidP="00781983">
            <w:pPr>
              <w:jc w:val="both"/>
              <w:rPr>
                <w:rFonts w:ascii="Helvetica" w:eastAsiaTheme="minorHAnsi" w:hAnsi="Helvetica" w:cs="Helvetica"/>
                <w:color w:val="000000"/>
                <w:sz w:val="15"/>
                <w:szCs w:val="15"/>
                <w:lang w:eastAsia="en-NZ"/>
              </w:rPr>
            </w:pPr>
            <w:r w:rsidRPr="0041262C">
              <w:rPr>
                <w:rFonts w:ascii="Helvetica" w:hAnsi="Helvetica" w:cs="Helvetica"/>
                <w:color w:val="000000"/>
                <w:sz w:val="15"/>
                <w:szCs w:val="15"/>
                <w:lang w:eastAsia="en-NZ"/>
              </w:rPr>
              <w:t>Introduction</w:t>
            </w:r>
          </w:p>
        </w:tc>
        <w:tc>
          <w:tcPr>
            <w:tcW w:w="3407" w:type="dxa"/>
            <w:tcBorders>
              <w:top w:val="single" w:sz="8" w:space="0" w:color="auto"/>
              <w:left w:val="nil"/>
              <w:bottom w:val="single" w:sz="8" w:space="0" w:color="auto"/>
              <w:right w:val="single" w:sz="8" w:space="0" w:color="000000"/>
            </w:tcBorders>
            <w:shd w:val="clear" w:color="auto" w:fill="D7E4BC"/>
            <w:tcMar>
              <w:top w:w="0" w:type="dxa"/>
              <w:left w:w="108" w:type="dxa"/>
              <w:bottom w:w="0" w:type="dxa"/>
              <w:right w:w="108" w:type="dxa"/>
            </w:tcMar>
            <w:vAlign w:val="center"/>
            <w:hideMark/>
          </w:tcPr>
          <w:p w14:paraId="0565F3A5" w14:textId="77777777" w:rsidR="005875E7" w:rsidRPr="0041262C" w:rsidRDefault="005875E7" w:rsidP="00781983">
            <w:pPr>
              <w:jc w:val="both"/>
              <w:rPr>
                <w:rFonts w:ascii="Helvetica" w:hAnsi="Helvetica" w:cs="Helvetica"/>
                <w:color w:val="000000"/>
                <w:sz w:val="15"/>
                <w:szCs w:val="15"/>
                <w:lang w:eastAsia="en-NZ"/>
              </w:rPr>
            </w:pPr>
            <w:r w:rsidRPr="0041262C">
              <w:rPr>
                <w:rFonts w:ascii="Helvetica" w:hAnsi="Helvetica" w:cs="Helvetica"/>
                <w:color w:val="000000"/>
                <w:sz w:val="15"/>
                <w:szCs w:val="15"/>
                <w:lang w:eastAsia="en-NZ"/>
              </w:rPr>
              <w:t>Refrigerated storage cabinets</w:t>
            </w:r>
          </w:p>
          <w:p w14:paraId="3340BD8F" w14:textId="77777777" w:rsidR="005875E7" w:rsidRPr="0041262C" w:rsidRDefault="005875E7" w:rsidP="00781983">
            <w:pPr>
              <w:jc w:val="both"/>
              <w:rPr>
                <w:rFonts w:ascii="Helvetica" w:hAnsi="Helvetica" w:cs="Helvetica"/>
                <w:color w:val="000000"/>
                <w:sz w:val="15"/>
                <w:szCs w:val="15"/>
                <w:lang w:eastAsia="en-NZ"/>
              </w:rPr>
            </w:pPr>
            <w:r w:rsidRPr="0041262C">
              <w:rPr>
                <w:rFonts w:ascii="Helvetica" w:hAnsi="Helvetica" w:cs="Helvetica"/>
                <w:color w:val="000000"/>
                <w:sz w:val="15"/>
                <w:szCs w:val="15"/>
                <w:lang w:eastAsia="en-NZ"/>
              </w:rPr>
              <w:t>Light and Normal Duty</w:t>
            </w:r>
          </w:p>
        </w:tc>
        <w:tc>
          <w:tcPr>
            <w:tcW w:w="3823" w:type="dxa"/>
            <w:tcBorders>
              <w:top w:val="single" w:sz="8" w:space="0" w:color="auto"/>
              <w:left w:val="nil"/>
              <w:bottom w:val="single" w:sz="8" w:space="0" w:color="auto"/>
              <w:right w:val="single" w:sz="8" w:space="0" w:color="000000"/>
            </w:tcBorders>
            <w:shd w:val="clear" w:color="auto" w:fill="D7E4BC"/>
            <w:noWrap/>
            <w:tcMar>
              <w:top w:w="0" w:type="dxa"/>
              <w:left w:w="108" w:type="dxa"/>
              <w:bottom w:w="0" w:type="dxa"/>
              <w:right w:w="108" w:type="dxa"/>
            </w:tcMar>
            <w:vAlign w:val="center"/>
            <w:hideMark/>
          </w:tcPr>
          <w:p w14:paraId="55B4EEC4" w14:textId="77777777" w:rsidR="005875E7" w:rsidRPr="0041262C" w:rsidRDefault="005875E7" w:rsidP="00781983">
            <w:pPr>
              <w:jc w:val="both"/>
              <w:rPr>
                <w:rFonts w:ascii="Helvetica" w:hAnsi="Helvetica" w:cs="Helvetica"/>
                <w:color w:val="000000"/>
                <w:sz w:val="15"/>
                <w:szCs w:val="15"/>
                <w:lang w:eastAsia="en-NZ"/>
              </w:rPr>
            </w:pPr>
            <w:r w:rsidRPr="0041262C">
              <w:rPr>
                <w:rFonts w:ascii="Helvetica" w:hAnsi="Helvetica" w:cs="Helvetica"/>
                <w:color w:val="000000"/>
                <w:sz w:val="15"/>
                <w:szCs w:val="15"/>
                <w:lang w:eastAsia="en-NZ"/>
              </w:rPr>
              <w:t>Heavy duty cabinets</w:t>
            </w:r>
          </w:p>
        </w:tc>
        <w:tc>
          <w:tcPr>
            <w:tcW w:w="0" w:type="auto"/>
            <w:vAlign w:val="center"/>
            <w:hideMark/>
          </w:tcPr>
          <w:p w14:paraId="1938AA8D" w14:textId="77777777" w:rsidR="005875E7" w:rsidRDefault="005875E7" w:rsidP="00781983">
            <w:pPr>
              <w:jc w:val="both"/>
              <w:rPr>
                <w:color w:val="000000"/>
                <w:lang w:eastAsia="en-NZ"/>
              </w:rPr>
            </w:pPr>
          </w:p>
        </w:tc>
      </w:tr>
      <w:tr w:rsidR="005875E7" w14:paraId="0C6F070E" w14:textId="77777777" w:rsidTr="005875E7">
        <w:trPr>
          <w:trHeight w:val="221"/>
        </w:trPr>
        <w:tc>
          <w:tcPr>
            <w:tcW w:w="2172"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74454A11" w14:textId="77777777" w:rsidR="005875E7" w:rsidRPr="0041262C" w:rsidRDefault="005875E7" w:rsidP="00781983">
            <w:pPr>
              <w:jc w:val="both"/>
              <w:rPr>
                <w:rFonts w:ascii="Helvetica" w:eastAsiaTheme="minorHAnsi" w:hAnsi="Helvetica" w:cs="Helvetica"/>
                <w:color w:val="000000"/>
                <w:sz w:val="15"/>
                <w:szCs w:val="15"/>
                <w:lang w:eastAsia="en-NZ"/>
              </w:rPr>
            </w:pPr>
            <w:r w:rsidRPr="0041262C">
              <w:rPr>
                <w:rFonts w:ascii="Helvetica" w:hAnsi="Helvetica" w:cs="Helvetica"/>
                <w:color w:val="000000"/>
                <w:sz w:val="15"/>
                <w:szCs w:val="15"/>
                <w:lang w:eastAsia="en-NZ"/>
              </w:rPr>
              <w:t>1 December 2019</w:t>
            </w:r>
          </w:p>
        </w:tc>
        <w:tc>
          <w:tcPr>
            <w:tcW w:w="3407" w:type="dxa"/>
            <w:vMerge w:val="restart"/>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14:paraId="213772A7" w14:textId="77777777" w:rsidR="005875E7" w:rsidRPr="0041262C" w:rsidRDefault="005875E7" w:rsidP="00781983">
            <w:pPr>
              <w:jc w:val="both"/>
              <w:rPr>
                <w:rFonts w:ascii="Helvetica" w:hAnsi="Helvetica" w:cs="Helvetica"/>
                <w:color w:val="000000"/>
                <w:sz w:val="15"/>
                <w:szCs w:val="15"/>
                <w:lang w:eastAsia="en-NZ"/>
              </w:rPr>
            </w:pPr>
            <w:r w:rsidRPr="0041262C">
              <w:rPr>
                <w:rFonts w:ascii="Helvetica" w:hAnsi="Helvetica" w:cs="Helvetica"/>
                <w:color w:val="000000"/>
                <w:sz w:val="15"/>
                <w:szCs w:val="15"/>
                <w:lang w:eastAsia="en-NZ"/>
              </w:rPr>
              <w:t>EEI &lt; 95</w:t>
            </w:r>
          </w:p>
        </w:tc>
        <w:tc>
          <w:tcPr>
            <w:tcW w:w="3823" w:type="dxa"/>
            <w:vMerge w:val="restart"/>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14:paraId="67362989" w14:textId="77777777" w:rsidR="005875E7" w:rsidRPr="0041262C" w:rsidRDefault="005875E7" w:rsidP="00781983">
            <w:pPr>
              <w:jc w:val="both"/>
              <w:rPr>
                <w:rFonts w:ascii="Helvetica" w:hAnsi="Helvetica" w:cs="Helvetica"/>
                <w:color w:val="000000"/>
                <w:sz w:val="15"/>
                <w:szCs w:val="15"/>
                <w:lang w:eastAsia="en-NZ"/>
              </w:rPr>
            </w:pPr>
            <w:r w:rsidRPr="0041262C">
              <w:rPr>
                <w:rFonts w:ascii="Helvetica" w:hAnsi="Helvetica" w:cs="Helvetica"/>
                <w:color w:val="000000"/>
                <w:sz w:val="15"/>
                <w:szCs w:val="15"/>
                <w:lang w:eastAsia="en-NZ"/>
              </w:rPr>
              <w:t>EEI &lt; 115</w:t>
            </w:r>
          </w:p>
        </w:tc>
        <w:tc>
          <w:tcPr>
            <w:tcW w:w="0" w:type="auto"/>
            <w:vAlign w:val="center"/>
            <w:hideMark/>
          </w:tcPr>
          <w:p w14:paraId="23E467CE" w14:textId="77777777" w:rsidR="005875E7" w:rsidRDefault="005875E7" w:rsidP="00781983">
            <w:pPr>
              <w:jc w:val="both"/>
              <w:rPr>
                <w:color w:val="000000"/>
                <w:lang w:eastAsia="en-NZ"/>
              </w:rPr>
            </w:pPr>
          </w:p>
        </w:tc>
      </w:tr>
      <w:tr w:rsidR="005875E7" w14:paraId="227131FB" w14:textId="77777777" w:rsidTr="005875E7">
        <w:trPr>
          <w:trHeight w:val="259"/>
        </w:trPr>
        <w:tc>
          <w:tcPr>
            <w:tcW w:w="2172" w:type="dxa"/>
            <w:vMerge/>
            <w:tcBorders>
              <w:top w:val="nil"/>
              <w:left w:val="single" w:sz="8" w:space="0" w:color="auto"/>
              <w:bottom w:val="single" w:sz="8" w:space="0" w:color="000000"/>
              <w:right w:val="single" w:sz="8" w:space="0" w:color="auto"/>
            </w:tcBorders>
            <w:vAlign w:val="center"/>
            <w:hideMark/>
          </w:tcPr>
          <w:p w14:paraId="1A6E66ED" w14:textId="77777777" w:rsidR="005875E7" w:rsidRDefault="005875E7" w:rsidP="00781983">
            <w:pPr>
              <w:jc w:val="both"/>
              <w:rPr>
                <w:rFonts w:ascii="Calibri" w:eastAsiaTheme="minorHAnsi" w:hAnsi="Calibri"/>
                <w:color w:val="000000"/>
                <w:sz w:val="22"/>
                <w:szCs w:val="22"/>
                <w:lang w:eastAsia="en-NZ"/>
              </w:rPr>
            </w:pPr>
          </w:p>
        </w:tc>
        <w:tc>
          <w:tcPr>
            <w:tcW w:w="0" w:type="auto"/>
            <w:vMerge/>
            <w:tcBorders>
              <w:top w:val="nil"/>
              <w:left w:val="nil"/>
              <w:bottom w:val="single" w:sz="8" w:space="0" w:color="000000"/>
              <w:right w:val="single" w:sz="8" w:space="0" w:color="000000"/>
            </w:tcBorders>
            <w:vAlign w:val="center"/>
            <w:hideMark/>
          </w:tcPr>
          <w:p w14:paraId="186F467A" w14:textId="77777777" w:rsidR="005875E7" w:rsidRDefault="005875E7" w:rsidP="00781983">
            <w:pPr>
              <w:jc w:val="both"/>
              <w:rPr>
                <w:rFonts w:ascii="Calibri" w:eastAsiaTheme="minorHAnsi" w:hAnsi="Calibri"/>
                <w:color w:val="000000"/>
                <w:sz w:val="22"/>
                <w:szCs w:val="22"/>
                <w:lang w:eastAsia="en-NZ"/>
              </w:rPr>
            </w:pPr>
          </w:p>
        </w:tc>
        <w:tc>
          <w:tcPr>
            <w:tcW w:w="0" w:type="auto"/>
            <w:vMerge/>
            <w:tcBorders>
              <w:top w:val="nil"/>
              <w:left w:val="nil"/>
              <w:bottom w:val="single" w:sz="8" w:space="0" w:color="000000"/>
              <w:right w:val="single" w:sz="8" w:space="0" w:color="000000"/>
            </w:tcBorders>
            <w:vAlign w:val="center"/>
            <w:hideMark/>
          </w:tcPr>
          <w:p w14:paraId="7FEF6885" w14:textId="77777777" w:rsidR="005875E7" w:rsidRDefault="005875E7" w:rsidP="00781983">
            <w:pPr>
              <w:jc w:val="both"/>
              <w:rPr>
                <w:rFonts w:ascii="Calibri" w:eastAsiaTheme="minorHAnsi" w:hAnsi="Calibri"/>
                <w:color w:val="000000"/>
                <w:sz w:val="22"/>
                <w:szCs w:val="22"/>
                <w:lang w:eastAsia="en-NZ"/>
              </w:rPr>
            </w:pPr>
          </w:p>
        </w:tc>
        <w:tc>
          <w:tcPr>
            <w:tcW w:w="0" w:type="auto"/>
            <w:vAlign w:val="center"/>
            <w:hideMark/>
          </w:tcPr>
          <w:p w14:paraId="1E89AAFB" w14:textId="77777777" w:rsidR="005875E7" w:rsidRDefault="005875E7" w:rsidP="00781983">
            <w:pPr>
              <w:jc w:val="both"/>
              <w:rPr>
                <w:rFonts w:ascii="Times New Roman" w:eastAsia="Times New Roman" w:hAnsi="Times New Roman"/>
                <w:sz w:val="20"/>
                <w:szCs w:val="20"/>
                <w:lang w:eastAsia="en-NZ"/>
              </w:rPr>
            </w:pPr>
          </w:p>
        </w:tc>
      </w:tr>
      <w:tr w:rsidR="005875E7" w14:paraId="06DC0040" w14:textId="77777777" w:rsidTr="005875E7">
        <w:trPr>
          <w:trHeight w:val="259"/>
        </w:trPr>
        <w:tc>
          <w:tcPr>
            <w:tcW w:w="2172" w:type="dxa"/>
            <w:vMerge/>
            <w:tcBorders>
              <w:top w:val="nil"/>
              <w:left w:val="single" w:sz="8" w:space="0" w:color="auto"/>
              <w:bottom w:val="single" w:sz="4" w:space="0" w:color="auto"/>
              <w:right w:val="single" w:sz="8" w:space="0" w:color="auto"/>
            </w:tcBorders>
            <w:vAlign w:val="center"/>
            <w:hideMark/>
          </w:tcPr>
          <w:p w14:paraId="6B973901" w14:textId="77777777" w:rsidR="005875E7" w:rsidRDefault="005875E7" w:rsidP="00781983">
            <w:pPr>
              <w:jc w:val="both"/>
              <w:rPr>
                <w:rFonts w:ascii="Calibri" w:eastAsiaTheme="minorHAnsi" w:hAnsi="Calibri"/>
                <w:color w:val="000000"/>
                <w:sz w:val="22"/>
                <w:szCs w:val="22"/>
                <w:lang w:eastAsia="en-NZ"/>
              </w:rPr>
            </w:pPr>
          </w:p>
        </w:tc>
        <w:tc>
          <w:tcPr>
            <w:tcW w:w="0" w:type="auto"/>
            <w:vMerge/>
            <w:tcBorders>
              <w:top w:val="nil"/>
              <w:left w:val="nil"/>
              <w:bottom w:val="single" w:sz="4" w:space="0" w:color="auto"/>
              <w:right w:val="single" w:sz="8" w:space="0" w:color="000000"/>
            </w:tcBorders>
            <w:vAlign w:val="center"/>
            <w:hideMark/>
          </w:tcPr>
          <w:p w14:paraId="2372DEDD" w14:textId="77777777" w:rsidR="005875E7" w:rsidRDefault="005875E7" w:rsidP="00781983">
            <w:pPr>
              <w:jc w:val="both"/>
              <w:rPr>
                <w:rFonts w:ascii="Calibri" w:eastAsiaTheme="minorHAnsi" w:hAnsi="Calibri"/>
                <w:color w:val="000000"/>
                <w:sz w:val="22"/>
                <w:szCs w:val="22"/>
                <w:lang w:eastAsia="en-NZ"/>
              </w:rPr>
            </w:pPr>
          </w:p>
        </w:tc>
        <w:tc>
          <w:tcPr>
            <w:tcW w:w="0" w:type="auto"/>
            <w:vMerge/>
            <w:tcBorders>
              <w:top w:val="nil"/>
              <w:left w:val="nil"/>
              <w:bottom w:val="single" w:sz="4" w:space="0" w:color="auto"/>
              <w:right w:val="single" w:sz="8" w:space="0" w:color="000000"/>
            </w:tcBorders>
            <w:vAlign w:val="center"/>
            <w:hideMark/>
          </w:tcPr>
          <w:p w14:paraId="08DC95BC" w14:textId="77777777" w:rsidR="005875E7" w:rsidRDefault="005875E7" w:rsidP="00781983">
            <w:pPr>
              <w:jc w:val="both"/>
              <w:rPr>
                <w:rFonts w:ascii="Calibri" w:eastAsiaTheme="minorHAnsi" w:hAnsi="Calibri"/>
                <w:color w:val="000000"/>
                <w:sz w:val="22"/>
                <w:szCs w:val="22"/>
                <w:lang w:eastAsia="en-NZ"/>
              </w:rPr>
            </w:pPr>
          </w:p>
        </w:tc>
        <w:tc>
          <w:tcPr>
            <w:tcW w:w="0" w:type="auto"/>
            <w:tcBorders>
              <w:bottom w:val="single" w:sz="4" w:space="0" w:color="auto"/>
            </w:tcBorders>
            <w:vAlign w:val="center"/>
            <w:hideMark/>
          </w:tcPr>
          <w:p w14:paraId="116911C9" w14:textId="77777777" w:rsidR="005875E7" w:rsidRDefault="005875E7" w:rsidP="00781983">
            <w:pPr>
              <w:jc w:val="both"/>
              <w:rPr>
                <w:rFonts w:ascii="Times New Roman" w:eastAsia="Times New Roman" w:hAnsi="Times New Roman"/>
                <w:sz w:val="20"/>
                <w:szCs w:val="20"/>
                <w:lang w:eastAsia="en-NZ"/>
              </w:rPr>
            </w:pPr>
          </w:p>
        </w:tc>
      </w:tr>
    </w:tbl>
    <w:p w14:paraId="56B0C432" w14:textId="77777777" w:rsidR="005875E7" w:rsidRPr="004C3E41" w:rsidRDefault="005875E7" w:rsidP="00781983">
      <w:pPr>
        <w:pStyle w:val="E3TableTitles"/>
        <w:jc w:val="both"/>
      </w:pPr>
      <w:bookmarkStart w:id="164" w:name="_Toc500159659"/>
      <w:r w:rsidRPr="004C3E41">
        <w:t>Table 8B: Proposed revised “MEPS” implementation dates for refrigerated storage cabinets.</w:t>
      </w:r>
      <w:bookmarkEnd w:id="164"/>
    </w:p>
    <w:tbl>
      <w:tblPr>
        <w:tblW w:w="9680" w:type="dxa"/>
        <w:jc w:val="center"/>
        <w:tblCellMar>
          <w:left w:w="0" w:type="dxa"/>
          <w:right w:w="0" w:type="dxa"/>
        </w:tblCellMar>
        <w:tblLook w:val="04A0" w:firstRow="1" w:lastRow="0" w:firstColumn="1" w:lastColumn="0" w:noHBand="0" w:noVBand="1"/>
      </w:tblPr>
      <w:tblGrid>
        <w:gridCol w:w="5208"/>
        <w:gridCol w:w="4280"/>
        <w:gridCol w:w="192"/>
      </w:tblGrid>
      <w:tr w:rsidR="005875E7" w14:paraId="667F20FC" w14:textId="77777777" w:rsidTr="005875E7">
        <w:trPr>
          <w:trHeight w:val="455"/>
          <w:jc w:val="center"/>
        </w:trPr>
        <w:tc>
          <w:tcPr>
            <w:tcW w:w="9488" w:type="dxa"/>
            <w:gridSpan w:val="2"/>
            <w:tcBorders>
              <w:top w:val="nil"/>
              <w:left w:val="single" w:sz="8" w:space="0" w:color="auto"/>
              <w:bottom w:val="nil"/>
              <w:right w:val="nil"/>
            </w:tcBorders>
            <w:shd w:val="clear" w:color="auto" w:fill="000000"/>
            <w:noWrap/>
            <w:tcMar>
              <w:top w:w="0" w:type="dxa"/>
              <w:left w:w="108" w:type="dxa"/>
              <w:bottom w:w="0" w:type="dxa"/>
              <w:right w:w="108" w:type="dxa"/>
            </w:tcMar>
            <w:vAlign w:val="center"/>
            <w:hideMark/>
          </w:tcPr>
          <w:p w14:paraId="56638D5A" w14:textId="77777777" w:rsidR="005875E7" w:rsidRPr="0041262C" w:rsidRDefault="005875E7" w:rsidP="00781983">
            <w:pPr>
              <w:jc w:val="both"/>
              <w:rPr>
                <w:rFonts w:ascii="Helvetica" w:hAnsi="Helvetica" w:cs="Helvetica"/>
                <w:color w:val="FFFFFF"/>
                <w:sz w:val="15"/>
                <w:szCs w:val="15"/>
                <w:lang w:eastAsia="en-NZ"/>
              </w:rPr>
            </w:pPr>
            <w:r w:rsidRPr="0041262C">
              <w:rPr>
                <w:rFonts w:ascii="Helvetica" w:hAnsi="Helvetica" w:cs="Helvetica"/>
                <w:color w:val="FFFFFF"/>
                <w:sz w:val="15"/>
                <w:szCs w:val="15"/>
                <w:lang w:eastAsia="en-NZ"/>
              </w:rPr>
              <w:t>Proposed EU energy efficiency level for refrigerated display cabinets</w:t>
            </w:r>
          </w:p>
        </w:tc>
        <w:tc>
          <w:tcPr>
            <w:tcW w:w="192" w:type="dxa"/>
            <w:vAlign w:val="center"/>
            <w:hideMark/>
          </w:tcPr>
          <w:p w14:paraId="4432A8B6" w14:textId="77777777" w:rsidR="005875E7" w:rsidRDefault="005875E7" w:rsidP="00781983">
            <w:pPr>
              <w:jc w:val="both"/>
              <w:rPr>
                <w:color w:val="FFFFFF"/>
                <w:lang w:eastAsia="en-NZ"/>
              </w:rPr>
            </w:pPr>
          </w:p>
        </w:tc>
      </w:tr>
      <w:tr w:rsidR="005875E7" w14:paraId="7FE94366" w14:textId="77777777" w:rsidTr="005875E7">
        <w:trPr>
          <w:trHeight w:val="653"/>
          <w:jc w:val="center"/>
        </w:trPr>
        <w:tc>
          <w:tcPr>
            <w:tcW w:w="5208" w:type="dxa"/>
            <w:tcBorders>
              <w:top w:val="single" w:sz="8" w:space="0" w:color="auto"/>
              <w:left w:val="single" w:sz="8" w:space="0" w:color="auto"/>
              <w:bottom w:val="single" w:sz="8" w:space="0" w:color="auto"/>
              <w:right w:val="single" w:sz="8" w:space="0" w:color="auto"/>
            </w:tcBorders>
            <w:shd w:val="clear" w:color="auto" w:fill="D7E4BC"/>
            <w:tcMar>
              <w:top w:w="0" w:type="dxa"/>
              <w:left w:w="108" w:type="dxa"/>
              <w:bottom w:w="0" w:type="dxa"/>
              <w:right w:w="108" w:type="dxa"/>
            </w:tcMar>
            <w:vAlign w:val="center"/>
            <w:hideMark/>
          </w:tcPr>
          <w:p w14:paraId="36215FB4" w14:textId="77777777" w:rsidR="005875E7" w:rsidRPr="0041262C" w:rsidRDefault="005875E7" w:rsidP="00781983">
            <w:pPr>
              <w:jc w:val="both"/>
              <w:rPr>
                <w:rFonts w:ascii="Helvetica" w:eastAsiaTheme="minorHAnsi" w:hAnsi="Helvetica" w:cs="Helvetica"/>
                <w:color w:val="000000"/>
                <w:sz w:val="15"/>
                <w:szCs w:val="15"/>
                <w:lang w:eastAsia="en-NZ"/>
              </w:rPr>
            </w:pPr>
            <w:r w:rsidRPr="0041262C">
              <w:rPr>
                <w:rFonts w:ascii="Helvetica" w:hAnsi="Helvetica" w:cs="Helvetica"/>
                <w:color w:val="000000"/>
                <w:sz w:val="15"/>
                <w:szCs w:val="15"/>
                <w:lang w:eastAsia="en-NZ"/>
              </w:rPr>
              <w:t>Introduction</w:t>
            </w:r>
          </w:p>
        </w:tc>
        <w:tc>
          <w:tcPr>
            <w:tcW w:w="4280" w:type="dxa"/>
            <w:tcBorders>
              <w:top w:val="single" w:sz="8" w:space="0" w:color="auto"/>
              <w:left w:val="nil"/>
              <w:bottom w:val="single" w:sz="8" w:space="0" w:color="auto"/>
              <w:right w:val="single" w:sz="8" w:space="0" w:color="auto"/>
            </w:tcBorders>
            <w:shd w:val="clear" w:color="auto" w:fill="D7E4BC"/>
            <w:noWrap/>
            <w:tcMar>
              <w:top w:w="0" w:type="dxa"/>
              <w:left w:w="108" w:type="dxa"/>
              <w:bottom w:w="0" w:type="dxa"/>
              <w:right w:w="108" w:type="dxa"/>
            </w:tcMar>
            <w:vAlign w:val="center"/>
            <w:hideMark/>
          </w:tcPr>
          <w:p w14:paraId="39615568" w14:textId="77777777" w:rsidR="005875E7" w:rsidRPr="0041262C" w:rsidRDefault="005875E7" w:rsidP="00781983">
            <w:pPr>
              <w:jc w:val="both"/>
              <w:rPr>
                <w:rFonts w:ascii="Helvetica" w:hAnsi="Helvetica" w:cs="Helvetica"/>
                <w:color w:val="000000"/>
                <w:sz w:val="15"/>
                <w:szCs w:val="15"/>
                <w:lang w:eastAsia="en-NZ"/>
              </w:rPr>
            </w:pPr>
            <w:r w:rsidRPr="0041262C">
              <w:rPr>
                <w:rFonts w:ascii="Helvetica" w:hAnsi="Helvetica" w:cs="Helvetica"/>
                <w:color w:val="000000"/>
                <w:sz w:val="15"/>
                <w:szCs w:val="15"/>
                <w:lang w:eastAsia="en-NZ"/>
              </w:rPr>
              <w:t>Specific refrigerated display cabinets</w:t>
            </w:r>
          </w:p>
        </w:tc>
        <w:tc>
          <w:tcPr>
            <w:tcW w:w="192" w:type="dxa"/>
            <w:vAlign w:val="center"/>
            <w:hideMark/>
          </w:tcPr>
          <w:p w14:paraId="66164887" w14:textId="77777777" w:rsidR="005875E7" w:rsidRDefault="005875E7" w:rsidP="00781983">
            <w:pPr>
              <w:jc w:val="both"/>
              <w:rPr>
                <w:color w:val="000000"/>
                <w:lang w:eastAsia="en-NZ"/>
              </w:rPr>
            </w:pPr>
          </w:p>
        </w:tc>
      </w:tr>
      <w:tr w:rsidR="005875E7" w14:paraId="516D8C33" w14:textId="77777777" w:rsidTr="005875E7">
        <w:trPr>
          <w:trHeight w:val="281"/>
          <w:jc w:val="center"/>
        </w:trPr>
        <w:tc>
          <w:tcPr>
            <w:tcW w:w="5208" w:type="dxa"/>
            <w:vMerge w:val="restart"/>
            <w:tcBorders>
              <w:top w:val="single" w:sz="8" w:space="0" w:color="auto"/>
              <w:left w:val="single" w:sz="8" w:space="0" w:color="auto"/>
              <w:bottom w:val="single" w:sz="8" w:space="0" w:color="auto"/>
              <w:right w:val="single" w:sz="6" w:space="0" w:color="auto"/>
            </w:tcBorders>
            <w:shd w:val="clear" w:color="auto" w:fill="FFFFFF" w:themeFill="background1"/>
            <w:tcMar>
              <w:top w:w="0" w:type="dxa"/>
              <w:left w:w="108" w:type="dxa"/>
              <w:bottom w:w="0" w:type="dxa"/>
              <w:right w:w="108" w:type="dxa"/>
            </w:tcMar>
            <w:vAlign w:val="center"/>
            <w:hideMark/>
          </w:tcPr>
          <w:p w14:paraId="32CB9086" w14:textId="77777777" w:rsidR="005875E7" w:rsidRPr="0041262C" w:rsidRDefault="005875E7" w:rsidP="00781983">
            <w:pPr>
              <w:jc w:val="both"/>
              <w:rPr>
                <w:rFonts w:ascii="Helvetica" w:hAnsi="Helvetica" w:cs="Helvetica"/>
                <w:color w:val="000000"/>
                <w:sz w:val="15"/>
                <w:szCs w:val="15"/>
                <w:lang w:eastAsia="en-NZ"/>
              </w:rPr>
            </w:pPr>
            <w:r w:rsidRPr="0041262C">
              <w:rPr>
                <w:rFonts w:ascii="Helvetica" w:hAnsi="Helvetica" w:cs="Helvetica"/>
                <w:color w:val="000000"/>
                <w:sz w:val="15"/>
                <w:szCs w:val="15"/>
                <w:lang w:eastAsia="en-NZ"/>
              </w:rPr>
              <w:t>From 1 December 2019</w:t>
            </w:r>
          </w:p>
        </w:tc>
        <w:tc>
          <w:tcPr>
            <w:tcW w:w="4280" w:type="dxa"/>
            <w:vMerge w:val="restart"/>
            <w:tcBorders>
              <w:top w:val="single" w:sz="8" w:space="0" w:color="auto"/>
              <w:left w:val="single" w:sz="6"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14:paraId="467430E2" w14:textId="77777777" w:rsidR="005875E7" w:rsidRPr="0041262C" w:rsidRDefault="005875E7" w:rsidP="00781983">
            <w:pPr>
              <w:jc w:val="both"/>
              <w:rPr>
                <w:rFonts w:ascii="Helvetica" w:hAnsi="Helvetica" w:cs="Helvetica"/>
                <w:color w:val="000000"/>
                <w:sz w:val="15"/>
                <w:szCs w:val="15"/>
                <w:lang w:eastAsia="en-NZ"/>
              </w:rPr>
            </w:pPr>
            <w:r w:rsidRPr="0041262C">
              <w:rPr>
                <w:rFonts w:ascii="Helvetica" w:hAnsi="Helvetica" w:cs="Helvetica"/>
                <w:color w:val="000000"/>
                <w:sz w:val="15"/>
                <w:szCs w:val="15"/>
                <w:lang w:eastAsia="en-NZ"/>
              </w:rPr>
              <w:t>EEI &lt; 130</w:t>
            </w:r>
          </w:p>
        </w:tc>
        <w:tc>
          <w:tcPr>
            <w:tcW w:w="192" w:type="dxa"/>
            <w:tcBorders>
              <w:left w:val="single" w:sz="8" w:space="0" w:color="auto"/>
            </w:tcBorders>
            <w:vAlign w:val="center"/>
            <w:hideMark/>
          </w:tcPr>
          <w:p w14:paraId="72841D86" w14:textId="77777777" w:rsidR="005875E7" w:rsidRDefault="005875E7" w:rsidP="00781983">
            <w:pPr>
              <w:jc w:val="both"/>
              <w:rPr>
                <w:color w:val="000000"/>
                <w:lang w:eastAsia="en-NZ"/>
              </w:rPr>
            </w:pPr>
          </w:p>
        </w:tc>
      </w:tr>
      <w:tr w:rsidR="005875E7" w14:paraId="79A3A710" w14:textId="77777777" w:rsidTr="005875E7">
        <w:trPr>
          <w:trHeight w:val="267"/>
          <w:jc w:val="center"/>
        </w:trPr>
        <w:tc>
          <w:tcPr>
            <w:tcW w:w="5208" w:type="dxa"/>
            <w:vMerge/>
            <w:tcBorders>
              <w:top w:val="single" w:sz="6" w:space="0" w:color="auto"/>
              <w:left w:val="single" w:sz="8" w:space="0" w:color="auto"/>
              <w:bottom w:val="single" w:sz="8" w:space="0" w:color="auto"/>
              <w:right w:val="single" w:sz="6" w:space="0" w:color="auto"/>
            </w:tcBorders>
            <w:shd w:val="clear" w:color="auto" w:fill="FFFFFF" w:themeFill="background1"/>
            <w:vAlign w:val="center"/>
            <w:hideMark/>
          </w:tcPr>
          <w:p w14:paraId="72A8575E" w14:textId="77777777" w:rsidR="005875E7" w:rsidRDefault="005875E7" w:rsidP="00781983">
            <w:pPr>
              <w:jc w:val="both"/>
              <w:rPr>
                <w:rFonts w:ascii="Calibri" w:eastAsiaTheme="minorHAnsi" w:hAnsi="Calibri"/>
                <w:color w:val="000000"/>
                <w:sz w:val="22"/>
                <w:szCs w:val="22"/>
                <w:lang w:eastAsia="en-NZ"/>
              </w:rPr>
            </w:pPr>
          </w:p>
        </w:tc>
        <w:tc>
          <w:tcPr>
            <w:tcW w:w="4280" w:type="dxa"/>
            <w:vMerge/>
            <w:tcBorders>
              <w:top w:val="single" w:sz="6" w:space="0" w:color="auto"/>
              <w:left w:val="single" w:sz="6" w:space="0" w:color="auto"/>
              <w:bottom w:val="single" w:sz="8" w:space="0" w:color="auto"/>
              <w:right w:val="single" w:sz="8" w:space="0" w:color="auto"/>
            </w:tcBorders>
            <w:shd w:val="clear" w:color="auto" w:fill="FFFFFF" w:themeFill="background1"/>
            <w:vAlign w:val="center"/>
            <w:hideMark/>
          </w:tcPr>
          <w:p w14:paraId="3F2C9EFE" w14:textId="77777777" w:rsidR="005875E7" w:rsidRDefault="005875E7" w:rsidP="00781983">
            <w:pPr>
              <w:jc w:val="both"/>
              <w:rPr>
                <w:rFonts w:ascii="Calibri" w:eastAsiaTheme="minorHAnsi" w:hAnsi="Calibri"/>
                <w:color w:val="000000"/>
                <w:sz w:val="22"/>
                <w:szCs w:val="22"/>
                <w:lang w:eastAsia="en-NZ"/>
              </w:rPr>
            </w:pPr>
          </w:p>
        </w:tc>
        <w:tc>
          <w:tcPr>
            <w:tcW w:w="192" w:type="dxa"/>
            <w:tcBorders>
              <w:left w:val="single" w:sz="8" w:space="0" w:color="auto"/>
            </w:tcBorders>
            <w:vAlign w:val="center"/>
            <w:hideMark/>
          </w:tcPr>
          <w:p w14:paraId="2DDC5B34" w14:textId="77777777" w:rsidR="005875E7" w:rsidRDefault="005875E7" w:rsidP="00781983">
            <w:pPr>
              <w:jc w:val="both"/>
              <w:rPr>
                <w:rFonts w:ascii="Times New Roman" w:eastAsia="Times New Roman" w:hAnsi="Times New Roman"/>
                <w:sz w:val="20"/>
                <w:szCs w:val="20"/>
                <w:lang w:eastAsia="en-NZ"/>
              </w:rPr>
            </w:pPr>
          </w:p>
        </w:tc>
      </w:tr>
      <w:tr w:rsidR="005875E7" w14:paraId="374283E6" w14:textId="77777777" w:rsidTr="005875E7">
        <w:trPr>
          <w:trHeight w:val="267"/>
          <w:jc w:val="center"/>
        </w:trPr>
        <w:tc>
          <w:tcPr>
            <w:tcW w:w="5208" w:type="dxa"/>
            <w:vMerge/>
            <w:tcBorders>
              <w:top w:val="single" w:sz="6" w:space="0" w:color="auto"/>
              <w:left w:val="single" w:sz="8" w:space="0" w:color="auto"/>
              <w:bottom w:val="single" w:sz="8" w:space="0" w:color="auto"/>
              <w:right w:val="single" w:sz="6" w:space="0" w:color="auto"/>
            </w:tcBorders>
            <w:shd w:val="clear" w:color="auto" w:fill="FFFFFF" w:themeFill="background1"/>
            <w:vAlign w:val="center"/>
            <w:hideMark/>
          </w:tcPr>
          <w:p w14:paraId="164D1477" w14:textId="77777777" w:rsidR="005875E7" w:rsidRDefault="005875E7" w:rsidP="00781983">
            <w:pPr>
              <w:jc w:val="both"/>
              <w:rPr>
                <w:rFonts w:ascii="Calibri" w:eastAsiaTheme="minorHAnsi" w:hAnsi="Calibri"/>
                <w:color w:val="000000"/>
                <w:sz w:val="22"/>
                <w:szCs w:val="22"/>
                <w:lang w:eastAsia="en-NZ"/>
              </w:rPr>
            </w:pPr>
          </w:p>
        </w:tc>
        <w:tc>
          <w:tcPr>
            <w:tcW w:w="4280" w:type="dxa"/>
            <w:vMerge/>
            <w:tcBorders>
              <w:top w:val="single" w:sz="6" w:space="0" w:color="auto"/>
              <w:left w:val="single" w:sz="6" w:space="0" w:color="auto"/>
              <w:bottom w:val="single" w:sz="8" w:space="0" w:color="auto"/>
              <w:right w:val="single" w:sz="8" w:space="0" w:color="auto"/>
            </w:tcBorders>
            <w:shd w:val="clear" w:color="auto" w:fill="FFFFFF" w:themeFill="background1"/>
            <w:vAlign w:val="center"/>
            <w:hideMark/>
          </w:tcPr>
          <w:p w14:paraId="2616D241" w14:textId="77777777" w:rsidR="005875E7" w:rsidRDefault="005875E7" w:rsidP="00781983">
            <w:pPr>
              <w:jc w:val="both"/>
              <w:rPr>
                <w:rFonts w:ascii="Calibri" w:eastAsiaTheme="minorHAnsi" w:hAnsi="Calibri"/>
                <w:color w:val="000000"/>
                <w:sz w:val="22"/>
                <w:szCs w:val="22"/>
                <w:lang w:eastAsia="en-NZ"/>
              </w:rPr>
            </w:pPr>
          </w:p>
        </w:tc>
        <w:tc>
          <w:tcPr>
            <w:tcW w:w="192" w:type="dxa"/>
            <w:tcBorders>
              <w:left w:val="single" w:sz="8" w:space="0" w:color="auto"/>
            </w:tcBorders>
            <w:vAlign w:val="center"/>
            <w:hideMark/>
          </w:tcPr>
          <w:p w14:paraId="548CC3DB" w14:textId="77777777" w:rsidR="005875E7" w:rsidRDefault="005875E7" w:rsidP="00781983">
            <w:pPr>
              <w:jc w:val="both"/>
              <w:rPr>
                <w:rFonts w:ascii="Times New Roman" w:eastAsia="Times New Roman" w:hAnsi="Times New Roman"/>
                <w:sz w:val="20"/>
                <w:szCs w:val="20"/>
                <w:lang w:eastAsia="en-NZ"/>
              </w:rPr>
            </w:pPr>
          </w:p>
        </w:tc>
      </w:tr>
    </w:tbl>
    <w:p w14:paraId="38EC82C6" w14:textId="77777777" w:rsidR="005875E7" w:rsidRPr="0041262C" w:rsidRDefault="005875E7" w:rsidP="00497702">
      <w:pPr>
        <w:pStyle w:val="E3Heading2"/>
        <w:spacing w:before="240" w:after="240"/>
        <w:jc w:val="both"/>
      </w:pPr>
      <w:bookmarkStart w:id="165" w:name="_Toc500151801"/>
      <w:r w:rsidRPr="0041262C">
        <w:t>Energy efficiency labelling</w:t>
      </w:r>
      <w:bookmarkEnd w:id="165"/>
    </w:p>
    <w:p w14:paraId="6461BBA5" w14:textId="217A6141" w:rsidR="005875E7" w:rsidRPr="002E2FF4" w:rsidRDefault="005875E7" w:rsidP="00781983">
      <w:pPr>
        <w:pStyle w:val="E3Heading4"/>
        <w:jc w:val="both"/>
        <w:rPr>
          <w:lang w:val="en-NZ" w:eastAsia="en-NZ"/>
        </w:rPr>
      </w:pPr>
      <w:r w:rsidRPr="002E2FF4">
        <w:t>European Efficiency grades</w:t>
      </w:r>
    </w:p>
    <w:p w14:paraId="1468A15B" w14:textId="77777777" w:rsidR="005875E7" w:rsidRDefault="005875E7" w:rsidP="00781983">
      <w:pPr>
        <w:pStyle w:val="E3BodyText"/>
        <w:jc w:val="both"/>
        <w:rPr>
          <w:lang w:val="en-NZ"/>
        </w:rPr>
      </w:pPr>
      <w:r w:rsidRPr="009E72D0">
        <w:rPr>
          <w:lang w:val="en-NZ" w:eastAsia="en-NZ"/>
        </w:rPr>
        <w:t xml:space="preserve">The </w:t>
      </w:r>
      <w:r w:rsidRPr="00066675">
        <w:t>European Commission</w:t>
      </w:r>
      <w:r w:rsidRPr="009E72D0">
        <w:rPr>
          <w:lang w:val="en-NZ" w:eastAsia="en-NZ"/>
        </w:rPr>
        <w:t xml:space="preserve"> has also devised a series of efficiency grades (A – G or similar)</w:t>
      </w:r>
      <w:r>
        <w:rPr>
          <w:lang w:val="en-NZ" w:eastAsia="en-NZ"/>
        </w:rPr>
        <w:t>. T</w:t>
      </w:r>
      <w:r w:rsidRPr="009E72D0">
        <w:rPr>
          <w:lang w:val="en-NZ" w:eastAsia="en-NZ"/>
        </w:rPr>
        <w:t xml:space="preserve">he mandatory labelling scheme which obligates suppliers to label on their products and literature depicting the efficiency grade of the product and other relevant efficiency details. </w:t>
      </w:r>
      <w:r w:rsidRPr="0009059E">
        <w:rPr>
          <w:b/>
          <w:lang w:val="en-NZ" w:eastAsia="en-NZ"/>
        </w:rPr>
        <w:t xml:space="preserve"> </w:t>
      </w:r>
    </w:p>
    <w:p w14:paraId="0D02CF91" w14:textId="439CF395" w:rsidR="005875E7" w:rsidRDefault="005875E7" w:rsidP="00781983">
      <w:pPr>
        <w:pStyle w:val="E3BodyText"/>
        <w:jc w:val="both"/>
        <w:rPr>
          <w:lang w:eastAsia="en-NZ"/>
        </w:rPr>
      </w:pPr>
      <w:r w:rsidRPr="009E72D0">
        <w:rPr>
          <w:lang w:val="en-NZ" w:eastAsia="en-NZ"/>
        </w:rPr>
        <w:t>Group A is the highest efficiency grade, where they achieve a score that means their energy use is 70% better than the Standard Annual Energy Consumption</w:t>
      </w:r>
      <w:r>
        <w:rPr>
          <w:lang w:val="en-NZ" w:eastAsia="en-NZ"/>
        </w:rPr>
        <w:t>. T</w:t>
      </w:r>
      <w:r w:rsidRPr="009E72D0">
        <w:rPr>
          <w:lang w:val="en-NZ" w:eastAsia="en-NZ"/>
        </w:rPr>
        <w:t xml:space="preserve">he labelling grades </w:t>
      </w:r>
      <w:r>
        <w:rPr>
          <w:lang w:val="en-NZ" w:eastAsia="en-NZ"/>
        </w:rPr>
        <w:t xml:space="preserve">for refrigerated display cabinets shown in </w:t>
      </w:r>
      <w:r w:rsidR="00B4374E">
        <w:rPr>
          <w:b/>
        </w:rPr>
        <w:t>T</w:t>
      </w:r>
      <w:r w:rsidRPr="00B83064">
        <w:rPr>
          <w:b/>
        </w:rPr>
        <w:t xml:space="preserve">able </w:t>
      </w:r>
      <w:r>
        <w:rPr>
          <w:b/>
        </w:rPr>
        <w:t>9</w:t>
      </w:r>
      <w:r>
        <w:rPr>
          <w:lang w:val="en-NZ" w:eastAsia="en-NZ"/>
        </w:rPr>
        <w:t xml:space="preserve"> below, </w:t>
      </w:r>
      <w:r w:rsidRPr="009E72D0">
        <w:rPr>
          <w:lang w:val="en-NZ" w:eastAsia="en-NZ"/>
        </w:rPr>
        <w:t>are still subject to industry-government discussion in Europe, so</w:t>
      </w:r>
      <w:r>
        <w:rPr>
          <w:lang w:val="en-NZ" w:eastAsia="en-NZ"/>
        </w:rPr>
        <w:t xml:space="preserve"> are</w:t>
      </w:r>
      <w:r w:rsidRPr="009E72D0">
        <w:rPr>
          <w:lang w:val="en-NZ" w:eastAsia="en-NZ"/>
        </w:rPr>
        <w:t xml:space="preserve"> likely to change.</w:t>
      </w:r>
      <w:r>
        <w:rPr>
          <w:lang w:val="en-NZ" w:eastAsia="en-NZ"/>
        </w:rPr>
        <w:t xml:space="preserve"> </w:t>
      </w:r>
      <w:r w:rsidRPr="00851D62">
        <w:rPr>
          <w:b/>
        </w:rPr>
        <w:t>Table 1</w:t>
      </w:r>
      <w:r>
        <w:rPr>
          <w:b/>
        </w:rPr>
        <w:t>0</w:t>
      </w:r>
      <w:r>
        <w:rPr>
          <w:lang w:val="en-NZ" w:eastAsia="en-NZ"/>
        </w:rPr>
        <w:t xml:space="preserve"> shows the </w:t>
      </w:r>
      <w:r>
        <w:rPr>
          <w:lang w:eastAsia="en-NZ"/>
        </w:rPr>
        <w:t>Energy efficiency classes</w:t>
      </w:r>
      <w:r w:rsidRPr="00B525A5">
        <w:rPr>
          <w:lang w:eastAsia="en-NZ"/>
        </w:rPr>
        <w:t xml:space="preserve"> for </w:t>
      </w:r>
      <w:r>
        <w:rPr>
          <w:lang w:eastAsia="en-NZ"/>
        </w:rPr>
        <w:t>labelling of s</w:t>
      </w:r>
      <w:r w:rsidRPr="00B525A5">
        <w:rPr>
          <w:lang w:eastAsia="en-NZ"/>
        </w:rPr>
        <w:t>torage cabinets</w:t>
      </w:r>
      <w:r>
        <w:rPr>
          <w:lang w:eastAsia="en-NZ"/>
        </w:rPr>
        <w:t xml:space="preserve">. </w:t>
      </w:r>
    </w:p>
    <w:p w14:paraId="3FE1A74C" w14:textId="77777777" w:rsidR="005875E7" w:rsidRPr="00114031" w:rsidRDefault="005875E7" w:rsidP="005875E7">
      <w:pPr>
        <w:pStyle w:val="E3TableTitles"/>
        <w:rPr>
          <w:lang w:eastAsia="en-NZ"/>
        </w:rPr>
      </w:pPr>
      <w:bookmarkStart w:id="166" w:name="_Ref449962892"/>
      <w:bookmarkStart w:id="167" w:name="_Toc449708963"/>
      <w:bookmarkStart w:id="168" w:name="_Toc449968527"/>
      <w:bookmarkStart w:id="169" w:name="_Toc494142458"/>
      <w:bookmarkStart w:id="170" w:name="_Toc500159660"/>
      <w:r w:rsidRPr="004C3E41">
        <w:t xml:space="preserve">Table </w:t>
      </w:r>
      <w:bookmarkEnd w:id="166"/>
      <w:r w:rsidRPr="004C3E41">
        <w:t>9: Proposed efficiency grades for refrigerated display cabinets</w:t>
      </w:r>
      <w:r>
        <w:rPr>
          <w:lang w:eastAsia="en-NZ"/>
        </w:rPr>
        <w:t>.</w:t>
      </w:r>
      <w:bookmarkEnd w:id="167"/>
      <w:bookmarkEnd w:id="168"/>
      <w:bookmarkEnd w:id="169"/>
      <w:bookmarkEnd w:id="170"/>
    </w:p>
    <w:tbl>
      <w:tblPr>
        <w:tblW w:w="9356" w:type="dxa"/>
        <w:tblLook w:val="04A0" w:firstRow="1" w:lastRow="0" w:firstColumn="1" w:lastColumn="0" w:noHBand="0" w:noVBand="1"/>
      </w:tblPr>
      <w:tblGrid>
        <w:gridCol w:w="1708"/>
        <w:gridCol w:w="2036"/>
        <w:gridCol w:w="1908"/>
        <w:gridCol w:w="2036"/>
        <w:gridCol w:w="1668"/>
      </w:tblGrid>
      <w:tr w:rsidR="005875E7" w:rsidRPr="00114031" w14:paraId="75B401B7" w14:textId="77777777" w:rsidTr="005875E7">
        <w:trPr>
          <w:trHeight w:val="459"/>
        </w:trPr>
        <w:tc>
          <w:tcPr>
            <w:tcW w:w="1708" w:type="dxa"/>
            <w:tcBorders>
              <w:top w:val="single" w:sz="4" w:space="0" w:color="FFFFFF" w:themeColor="background1"/>
              <w:bottom w:val="single" w:sz="4" w:space="0" w:color="FFFFFF" w:themeColor="background1"/>
            </w:tcBorders>
            <w:shd w:val="clear" w:color="auto" w:fill="000000" w:themeFill="text1"/>
            <w:vAlign w:val="center"/>
            <w:hideMark/>
          </w:tcPr>
          <w:p w14:paraId="4EDBDC3C" w14:textId="77777777" w:rsidR="005875E7" w:rsidRPr="00114031" w:rsidRDefault="005875E7" w:rsidP="005875E7">
            <w:pPr>
              <w:pStyle w:val="E3TableHeading"/>
              <w:jc w:val="both"/>
              <w:rPr>
                <w:lang w:val="en-NZ"/>
              </w:rPr>
            </w:pPr>
            <w:r w:rsidRPr="00114031">
              <w:rPr>
                <w:lang w:val="en-NZ"/>
              </w:rPr>
              <w:t>Energy Efficiency Class</w:t>
            </w:r>
          </w:p>
        </w:tc>
        <w:tc>
          <w:tcPr>
            <w:tcW w:w="2036" w:type="dxa"/>
            <w:tcBorders>
              <w:top w:val="single" w:sz="4" w:space="0" w:color="FFFFFF" w:themeColor="background1"/>
              <w:bottom w:val="single" w:sz="4" w:space="0" w:color="FFFFFF" w:themeColor="background1"/>
            </w:tcBorders>
            <w:shd w:val="clear" w:color="auto" w:fill="000000" w:themeFill="text1"/>
            <w:vAlign w:val="center"/>
            <w:hideMark/>
          </w:tcPr>
          <w:p w14:paraId="639CCA87" w14:textId="77777777" w:rsidR="005875E7" w:rsidRPr="00114031" w:rsidRDefault="005875E7" w:rsidP="005875E7">
            <w:pPr>
              <w:pStyle w:val="E3TableHeading"/>
              <w:jc w:val="both"/>
              <w:rPr>
                <w:lang w:val="en-NZ"/>
              </w:rPr>
            </w:pPr>
            <w:r w:rsidRPr="00114031">
              <w:rPr>
                <w:lang w:val="en-NZ"/>
              </w:rPr>
              <w:t>Commercial Display Cabinets</w:t>
            </w:r>
          </w:p>
        </w:tc>
        <w:tc>
          <w:tcPr>
            <w:tcW w:w="1908" w:type="dxa"/>
            <w:tcBorders>
              <w:top w:val="single" w:sz="4" w:space="0" w:color="FFFFFF" w:themeColor="background1"/>
              <w:bottom w:val="single" w:sz="4" w:space="0" w:color="FFFFFF" w:themeColor="background1"/>
            </w:tcBorders>
            <w:shd w:val="clear" w:color="auto" w:fill="000000" w:themeFill="text1"/>
            <w:noWrap/>
            <w:vAlign w:val="center"/>
            <w:hideMark/>
          </w:tcPr>
          <w:p w14:paraId="111289FE" w14:textId="77777777" w:rsidR="005875E7" w:rsidRPr="00114031" w:rsidRDefault="005875E7" w:rsidP="005875E7">
            <w:pPr>
              <w:pStyle w:val="E3TableHeading"/>
              <w:jc w:val="both"/>
              <w:rPr>
                <w:lang w:val="en-NZ"/>
              </w:rPr>
            </w:pPr>
            <w:r w:rsidRPr="00114031">
              <w:rPr>
                <w:lang w:val="en-NZ"/>
              </w:rPr>
              <w:t>Beverage Coolers</w:t>
            </w:r>
          </w:p>
        </w:tc>
        <w:tc>
          <w:tcPr>
            <w:tcW w:w="2036" w:type="dxa"/>
            <w:tcBorders>
              <w:top w:val="single" w:sz="4" w:space="0" w:color="FFFFFF" w:themeColor="background1"/>
              <w:bottom w:val="single" w:sz="4" w:space="0" w:color="FFFFFF" w:themeColor="background1"/>
            </w:tcBorders>
            <w:shd w:val="clear" w:color="auto" w:fill="000000" w:themeFill="text1"/>
            <w:vAlign w:val="center"/>
            <w:hideMark/>
          </w:tcPr>
          <w:p w14:paraId="0F448CCC" w14:textId="77777777" w:rsidR="005875E7" w:rsidRPr="00114031" w:rsidRDefault="005875E7" w:rsidP="005875E7">
            <w:pPr>
              <w:pStyle w:val="E3TableHeading"/>
              <w:jc w:val="both"/>
              <w:rPr>
                <w:lang w:val="en-NZ"/>
              </w:rPr>
            </w:pPr>
            <w:r w:rsidRPr="00114031">
              <w:rPr>
                <w:lang w:val="en-NZ"/>
              </w:rPr>
              <w:t>Small Ice-cream freezers</w:t>
            </w:r>
          </w:p>
        </w:tc>
        <w:tc>
          <w:tcPr>
            <w:tcW w:w="1668" w:type="dxa"/>
            <w:tcBorders>
              <w:top w:val="single" w:sz="4" w:space="0" w:color="FFFFFF" w:themeColor="background1"/>
              <w:bottom w:val="single" w:sz="4" w:space="0" w:color="FFFFFF" w:themeColor="background1"/>
            </w:tcBorders>
            <w:shd w:val="clear" w:color="auto" w:fill="000000" w:themeFill="text1"/>
            <w:vAlign w:val="center"/>
            <w:hideMark/>
          </w:tcPr>
          <w:p w14:paraId="53DA3870" w14:textId="77777777" w:rsidR="005875E7" w:rsidRPr="00114031" w:rsidRDefault="005875E7" w:rsidP="005875E7">
            <w:pPr>
              <w:pStyle w:val="E3TableHeading"/>
              <w:jc w:val="both"/>
              <w:rPr>
                <w:lang w:val="en-NZ"/>
              </w:rPr>
            </w:pPr>
            <w:r>
              <w:rPr>
                <w:lang w:val="en-NZ"/>
              </w:rPr>
              <w:t xml:space="preserve">Gelato </w:t>
            </w:r>
            <w:r w:rsidRPr="00114031">
              <w:rPr>
                <w:lang w:val="en-NZ"/>
              </w:rPr>
              <w:t>scoop</w:t>
            </w:r>
            <w:r>
              <w:rPr>
                <w:lang w:val="en-NZ"/>
              </w:rPr>
              <w:t>ing</w:t>
            </w:r>
            <w:r w:rsidRPr="00114031">
              <w:rPr>
                <w:lang w:val="en-NZ"/>
              </w:rPr>
              <w:t xml:space="preserve"> </w:t>
            </w:r>
            <w:r>
              <w:rPr>
                <w:lang w:val="en-NZ"/>
              </w:rPr>
              <w:t>c</w:t>
            </w:r>
            <w:r w:rsidRPr="00114031">
              <w:rPr>
                <w:lang w:val="en-NZ"/>
              </w:rPr>
              <w:t>abinets</w:t>
            </w:r>
          </w:p>
        </w:tc>
      </w:tr>
      <w:tr w:rsidR="005875E7" w:rsidRPr="00114031" w14:paraId="5720ECFE" w14:textId="77777777" w:rsidTr="005875E7">
        <w:trPr>
          <w:trHeight w:val="300"/>
        </w:trPr>
        <w:tc>
          <w:tcPr>
            <w:tcW w:w="1708" w:type="dxa"/>
            <w:tcBorders>
              <w:top w:val="single" w:sz="4" w:space="0" w:color="FFFFFF" w:themeColor="background1"/>
              <w:left w:val="single" w:sz="4" w:space="0" w:color="auto"/>
              <w:bottom w:val="single" w:sz="4" w:space="0" w:color="auto"/>
              <w:right w:val="single" w:sz="4" w:space="0" w:color="auto"/>
            </w:tcBorders>
            <w:shd w:val="clear" w:color="auto" w:fill="auto"/>
            <w:noWrap/>
            <w:vAlign w:val="bottom"/>
            <w:hideMark/>
          </w:tcPr>
          <w:p w14:paraId="15B2D24D" w14:textId="77777777" w:rsidR="005875E7" w:rsidRPr="00114031" w:rsidRDefault="005875E7" w:rsidP="005875E7">
            <w:pPr>
              <w:pStyle w:val="E3tabletext1"/>
              <w:jc w:val="both"/>
              <w:rPr>
                <w:lang w:val="en-NZ"/>
              </w:rPr>
            </w:pPr>
            <w:r w:rsidRPr="00114031">
              <w:rPr>
                <w:lang w:val="en-NZ"/>
              </w:rPr>
              <w:t>A</w:t>
            </w:r>
          </w:p>
        </w:tc>
        <w:tc>
          <w:tcPr>
            <w:tcW w:w="2036"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083AA187" w14:textId="77777777" w:rsidR="005875E7" w:rsidRPr="00114031" w:rsidRDefault="005875E7" w:rsidP="005875E7">
            <w:pPr>
              <w:pStyle w:val="E3tabletext1"/>
              <w:jc w:val="both"/>
              <w:rPr>
                <w:lang w:val="en-NZ"/>
              </w:rPr>
            </w:pPr>
            <w:r w:rsidRPr="00114031">
              <w:rPr>
                <w:lang w:val="en-NZ"/>
              </w:rPr>
              <w:t>EEI &lt; 30</w:t>
            </w:r>
          </w:p>
        </w:tc>
        <w:tc>
          <w:tcPr>
            <w:tcW w:w="1908"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4C536B71" w14:textId="77777777" w:rsidR="005875E7" w:rsidRPr="00114031" w:rsidRDefault="005875E7" w:rsidP="005875E7">
            <w:pPr>
              <w:pStyle w:val="E3tabletext1"/>
              <w:jc w:val="both"/>
              <w:rPr>
                <w:lang w:val="en-NZ"/>
              </w:rPr>
            </w:pPr>
            <w:r w:rsidRPr="00114031">
              <w:rPr>
                <w:lang w:val="en-NZ"/>
              </w:rPr>
              <w:t>EEI &lt; 30</w:t>
            </w:r>
          </w:p>
        </w:tc>
        <w:tc>
          <w:tcPr>
            <w:tcW w:w="2036"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374DBF1E" w14:textId="77777777" w:rsidR="005875E7" w:rsidRPr="00114031" w:rsidRDefault="005875E7" w:rsidP="005875E7">
            <w:pPr>
              <w:pStyle w:val="E3tabletext1"/>
              <w:jc w:val="both"/>
              <w:rPr>
                <w:lang w:val="en-NZ"/>
              </w:rPr>
            </w:pPr>
            <w:r w:rsidRPr="00114031">
              <w:rPr>
                <w:lang w:val="en-NZ"/>
              </w:rPr>
              <w:t>EEI &lt; 40</w:t>
            </w:r>
          </w:p>
        </w:tc>
        <w:tc>
          <w:tcPr>
            <w:tcW w:w="1668"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3CA9BF69" w14:textId="77777777" w:rsidR="005875E7" w:rsidRPr="00114031" w:rsidRDefault="005875E7" w:rsidP="005875E7">
            <w:pPr>
              <w:pStyle w:val="E3tabletext1"/>
              <w:jc w:val="both"/>
              <w:rPr>
                <w:lang w:val="en-NZ"/>
              </w:rPr>
            </w:pPr>
            <w:r w:rsidRPr="00114031">
              <w:rPr>
                <w:lang w:val="en-NZ"/>
              </w:rPr>
              <w:t>EEI &lt; 40</w:t>
            </w:r>
          </w:p>
        </w:tc>
      </w:tr>
      <w:tr w:rsidR="005875E7" w:rsidRPr="00114031" w14:paraId="364C0025" w14:textId="77777777" w:rsidTr="005875E7">
        <w:trPr>
          <w:trHeight w:val="300"/>
        </w:trPr>
        <w:tc>
          <w:tcPr>
            <w:tcW w:w="1708" w:type="dxa"/>
            <w:tcBorders>
              <w:top w:val="nil"/>
              <w:left w:val="single" w:sz="4" w:space="0" w:color="auto"/>
              <w:bottom w:val="single" w:sz="4" w:space="0" w:color="auto"/>
              <w:right w:val="single" w:sz="4" w:space="0" w:color="auto"/>
            </w:tcBorders>
            <w:shd w:val="clear" w:color="auto" w:fill="auto"/>
            <w:noWrap/>
            <w:vAlign w:val="bottom"/>
            <w:hideMark/>
          </w:tcPr>
          <w:p w14:paraId="2530C1EA" w14:textId="77777777" w:rsidR="005875E7" w:rsidRPr="00114031" w:rsidRDefault="005875E7" w:rsidP="005875E7">
            <w:pPr>
              <w:pStyle w:val="E3tabletext1"/>
              <w:jc w:val="both"/>
              <w:rPr>
                <w:lang w:val="en-NZ"/>
              </w:rPr>
            </w:pPr>
            <w:r w:rsidRPr="00114031">
              <w:rPr>
                <w:lang w:val="en-NZ"/>
              </w:rPr>
              <w:t>B</w:t>
            </w:r>
          </w:p>
        </w:tc>
        <w:tc>
          <w:tcPr>
            <w:tcW w:w="2036" w:type="dxa"/>
            <w:tcBorders>
              <w:top w:val="nil"/>
              <w:left w:val="nil"/>
              <w:bottom w:val="single" w:sz="4" w:space="0" w:color="auto"/>
              <w:right w:val="single" w:sz="4" w:space="0" w:color="auto"/>
            </w:tcBorders>
            <w:shd w:val="clear" w:color="auto" w:fill="auto"/>
            <w:noWrap/>
            <w:vAlign w:val="bottom"/>
            <w:hideMark/>
          </w:tcPr>
          <w:p w14:paraId="5A8BE83A" w14:textId="77777777" w:rsidR="005875E7" w:rsidRPr="00114031" w:rsidRDefault="005875E7" w:rsidP="005875E7">
            <w:pPr>
              <w:pStyle w:val="E3tabletext1"/>
              <w:jc w:val="both"/>
              <w:rPr>
                <w:lang w:val="en-NZ"/>
              </w:rPr>
            </w:pPr>
            <w:r w:rsidRPr="00114031">
              <w:rPr>
                <w:lang w:val="en-NZ"/>
              </w:rPr>
              <w:t xml:space="preserve">30 </w:t>
            </w:r>
            <w:r w:rsidRPr="00114031">
              <w:rPr>
                <w:rFonts w:ascii="Symbol" w:hAnsi="Symbol"/>
                <w:lang w:val="en-NZ"/>
              </w:rPr>
              <w:t></w:t>
            </w:r>
            <w:r w:rsidRPr="00114031">
              <w:rPr>
                <w:lang w:val="en-NZ"/>
              </w:rPr>
              <w:t xml:space="preserve"> EEI &lt; 50</w:t>
            </w:r>
          </w:p>
        </w:tc>
        <w:tc>
          <w:tcPr>
            <w:tcW w:w="1908" w:type="dxa"/>
            <w:tcBorders>
              <w:top w:val="nil"/>
              <w:left w:val="nil"/>
              <w:bottom w:val="single" w:sz="4" w:space="0" w:color="auto"/>
              <w:right w:val="single" w:sz="4" w:space="0" w:color="auto"/>
            </w:tcBorders>
            <w:shd w:val="clear" w:color="auto" w:fill="auto"/>
            <w:noWrap/>
            <w:vAlign w:val="bottom"/>
            <w:hideMark/>
          </w:tcPr>
          <w:p w14:paraId="4458D814" w14:textId="77777777" w:rsidR="005875E7" w:rsidRPr="00114031" w:rsidRDefault="005875E7" w:rsidP="005875E7">
            <w:pPr>
              <w:pStyle w:val="E3tabletext1"/>
              <w:jc w:val="both"/>
              <w:rPr>
                <w:lang w:val="en-NZ"/>
              </w:rPr>
            </w:pPr>
            <w:r w:rsidRPr="00114031">
              <w:rPr>
                <w:lang w:val="en-NZ"/>
              </w:rPr>
              <w:t xml:space="preserve">30 </w:t>
            </w:r>
            <w:r w:rsidRPr="00114031">
              <w:rPr>
                <w:rFonts w:ascii="Symbol" w:hAnsi="Symbol"/>
                <w:lang w:val="en-NZ"/>
              </w:rPr>
              <w:t></w:t>
            </w:r>
            <w:r w:rsidRPr="00114031">
              <w:rPr>
                <w:lang w:val="en-NZ"/>
              </w:rPr>
              <w:t xml:space="preserve"> EEI &lt;  50</w:t>
            </w:r>
          </w:p>
        </w:tc>
        <w:tc>
          <w:tcPr>
            <w:tcW w:w="2036" w:type="dxa"/>
            <w:tcBorders>
              <w:top w:val="nil"/>
              <w:left w:val="nil"/>
              <w:bottom w:val="single" w:sz="4" w:space="0" w:color="auto"/>
              <w:right w:val="single" w:sz="4" w:space="0" w:color="auto"/>
            </w:tcBorders>
            <w:shd w:val="clear" w:color="auto" w:fill="auto"/>
            <w:noWrap/>
            <w:vAlign w:val="bottom"/>
            <w:hideMark/>
          </w:tcPr>
          <w:p w14:paraId="1F665D65" w14:textId="77777777" w:rsidR="005875E7" w:rsidRPr="00114031" w:rsidRDefault="005875E7" w:rsidP="005875E7">
            <w:pPr>
              <w:pStyle w:val="E3tabletext1"/>
              <w:jc w:val="both"/>
              <w:rPr>
                <w:lang w:val="en-NZ"/>
              </w:rPr>
            </w:pPr>
            <w:r w:rsidRPr="00114031">
              <w:rPr>
                <w:lang w:val="en-NZ"/>
              </w:rPr>
              <w:t xml:space="preserve">40 </w:t>
            </w:r>
            <w:r w:rsidRPr="00114031">
              <w:rPr>
                <w:rFonts w:ascii="Symbol" w:hAnsi="Symbol"/>
                <w:lang w:val="en-NZ"/>
              </w:rPr>
              <w:t></w:t>
            </w:r>
            <w:r w:rsidRPr="00114031">
              <w:rPr>
                <w:lang w:val="en-NZ"/>
              </w:rPr>
              <w:t xml:space="preserve"> EEI &lt; 70</w:t>
            </w:r>
          </w:p>
        </w:tc>
        <w:tc>
          <w:tcPr>
            <w:tcW w:w="1668" w:type="dxa"/>
            <w:tcBorders>
              <w:top w:val="nil"/>
              <w:left w:val="nil"/>
              <w:bottom w:val="single" w:sz="4" w:space="0" w:color="auto"/>
              <w:right w:val="single" w:sz="4" w:space="0" w:color="auto"/>
            </w:tcBorders>
            <w:shd w:val="clear" w:color="auto" w:fill="auto"/>
            <w:noWrap/>
            <w:vAlign w:val="bottom"/>
            <w:hideMark/>
          </w:tcPr>
          <w:p w14:paraId="3519B546" w14:textId="77777777" w:rsidR="005875E7" w:rsidRPr="00114031" w:rsidRDefault="005875E7" w:rsidP="005875E7">
            <w:pPr>
              <w:pStyle w:val="E3tabletext1"/>
              <w:jc w:val="both"/>
              <w:rPr>
                <w:lang w:val="en-NZ"/>
              </w:rPr>
            </w:pPr>
            <w:r w:rsidRPr="00114031">
              <w:rPr>
                <w:lang w:val="en-NZ"/>
              </w:rPr>
              <w:t xml:space="preserve">40 </w:t>
            </w:r>
            <w:r w:rsidRPr="00114031">
              <w:rPr>
                <w:rFonts w:ascii="Symbol" w:hAnsi="Symbol"/>
                <w:lang w:val="en-NZ"/>
              </w:rPr>
              <w:t></w:t>
            </w:r>
            <w:r w:rsidRPr="00114031">
              <w:rPr>
                <w:lang w:val="en-NZ"/>
              </w:rPr>
              <w:t xml:space="preserve"> EEI &lt; 60</w:t>
            </w:r>
          </w:p>
        </w:tc>
      </w:tr>
      <w:tr w:rsidR="005875E7" w:rsidRPr="00114031" w14:paraId="14BBA51F" w14:textId="77777777" w:rsidTr="005875E7">
        <w:trPr>
          <w:trHeight w:val="300"/>
        </w:trPr>
        <w:tc>
          <w:tcPr>
            <w:tcW w:w="1708" w:type="dxa"/>
            <w:tcBorders>
              <w:top w:val="nil"/>
              <w:left w:val="single" w:sz="4" w:space="0" w:color="auto"/>
              <w:bottom w:val="single" w:sz="4" w:space="0" w:color="auto"/>
              <w:right w:val="single" w:sz="4" w:space="0" w:color="auto"/>
            </w:tcBorders>
            <w:shd w:val="clear" w:color="auto" w:fill="auto"/>
            <w:noWrap/>
            <w:vAlign w:val="bottom"/>
            <w:hideMark/>
          </w:tcPr>
          <w:p w14:paraId="1CAE4A62" w14:textId="77777777" w:rsidR="005875E7" w:rsidRPr="00114031" w:rsidRDefault="005875E7" w:rsidP="005875E7">
            <w:pPr>
              <w:pStyle w:val="E3tabletext1"/>
              <w:jc w:val="both"/>
              <w:rPr>
                <w:lang w:val="en-NZ"/>
              </w:rPr>
            </w:pPr>
            <w:r w:rsidRPr="00114031">
              <w:rPr>
                <w:lang w:val="en-NZ"/>
              </w:rPr>
              <w:t>C</w:t>
            </w:r>
          </w:p>
        </w:tc>
        <w:tc>
          <w:tcPr>
            <w:tcW w:w="2036" w:type="dxa"/>
            <w:tcBorders>
              <w:top w:val="nil"/>
              <w:left w:val="nil"/>
              <w:bottom w:val="single" w:sz="4" w:space="0" w:color="auto"/>
              <w:right w:val="single" w:sz="4" w:space="0" w:color="auto"/>
            </w:tcBorders>
            <w:shd w:val="clear" w:color="auto" w:fill="auto"/>
            <w:noWrap/>
            <w:vAlign w:val="bottom"/>
            <w:hideMark/>
          </w:tcPr>
          <w:p w14:paraId="65685B41" w14:textId="77777777" w:rsidR="005875E7" w:rsidRPr="00114031" w:rsidRDefault="005875E7" w:rsidP="005875E7">
            <w:pPr>
              <w:pStyle w:val="E3tabletext1"/>
              <w:jc w:val="both"/>
              <w:rPr>
                <w:lang w:val="en-NZ"/>
              </w:rPr>
            </w:pPr>
            <w:r w:rsidRPr="00114031">
              <w:rPr>
                <w:lang w:val="en-NZ"/>
              </w:rPr>
              <w:t xml:space="preserve">50 </w:t>
            </w:r>
            <w:r w:rsidRPr="00114031">
              <w:rPr>
                <w:rFonts w:ascii="Symbol" w:hAnsi="Symbol"/>
                <w:lang w:val="en-NZ"/>
              </w:rPr>
              <w:t></w:t>
            </w:r>
            <w:r w:rsidRPr="00114031">
              <w:rPr>
                <w:lang w:val="en-NZ"/>
              </w:rPr>
              <w:t xml:space="preserve"> EEI &lt; 80</w:t>
            </w:r>
          </w:p>
        </w:tc>
        <w:tc>
          <w:tcPr>
            <w:tcW w:w="1908" w:type="dxa"/>
            <w:tcBorders>
              <w:top w:val="nil"/>
              <w:left w:val="nil"/>
              <w:bottom w:val="single" w:sz="4" w:space="0" w:color="auto"/>
              <w:right w:val="single" w:sz="4" w:space="0" w:color="auto"/>
            </w:tcBorders>
            <w:shd w:val="clear" w:color="auto" w:fill="auto"/>
            <w:noWrap/>
            <w:vAlign w:val="bottom"/>
            <w:hideMark/>
          </w:tcPr>
          <w:p w14:paraId="6F81BBA8" w14:textId="77777777" w:rsidR="005875E7" w:rsidRPr="00114031" w:rsidRDefault="005875E7" w:rsidP="005875E7">
            <w:pPr>
              <w:pStyle w:val="E3tabletext1"/>
              <w:jc w:val="both"/>
              <w:rPr>
                <w:lang w:val="en-NZ"/>
              </w:rPr>
            </w:pPr>
            <w:r w:rsidRPr="00114031">
              <w:rPr>
                <w:lang w:val="en-NZ"/>
              </w:rPr>
              <w:t xml:space="preserve">50 </w:t>
            </w:r>
            <w:r w:rsidRPr="00114031">
              <w:rPr>
                <w:rFonts w:ascii="Symbol" w:hAnsi="Symbol"/>
                <w:lang w:val="en-NZ"/>
              </w:rPr>
              <w:t></w:t>
            </w:r>
            <w:r w:rsidRPr="00114031">
              <w:rPr>
                <w:lang w:val="en-NZ"/>
              </w:rPr>
              <w:t xml:space="preserve"> EEI &lt; 80</w:t>
            </w:r>
          </w:p>
        </w:tc>
        <w:tc>
          <w:tcPr>
            <w:tcW w:w="2036" w:type="dxa"/>
            <w:tcBorders>
              <w:top w:val="nil"/>
              <w:left w:val="nil"/>
              <w:bottom w:val="single" w:sz="4" w:space="0" w:color="auto"/>
              <w:right w:val="single" w:sz="4" w:space="0" w:color="auto"/>
            </w:tcBorders>
            <w:shd w:val="clear" w:color="auto" w:fill="auto"/>
            <w:noWrap/>
            <w:vAlign w:val="bottom"/>
            <w:hideMark/>
          </w:tcPr>
          <w:p w14:paraId="5F08FD36" w14:textId="77777777" w:rsidR="005875E7" w:rsidRPr="00114031" w:rsidRDefault="005875E7" w:rsidP="005875E7">
            <w:pPr>
              <w:pStyle w:val="E3tabletext1"/>
              <w:jc w:val="both"/>
              <w:rPr>
                <w:lang w:val="en-NZ"/>
              </w:rPr>
            </w:pPr>
            <w:r w:rsidRPr="00114031">
              <w:rPr>
                <w:lang w:val="en-NZ"/>
              </w:rPr>
              <w:t xml:space="preserve">70 </w:t>
            </w:r>
            <w:r w:rsidRPr="00114031">
              <w:rPr>
                <w:rFonts w:ascii="Symbol" w:hAnsi="Symbol"/>
                <w:lang w:val="en-NZ"/>
              </w:rPr>
              <w:t></w:t>
            </w:r>
            <w:r w:rsidRPr="00114031">
              <w:rPr>
                <w:lang w:val="en-NZ"/>
              </w:rPr>
              <w:t xml:space="preserve"> EEI &lt; 90</w:t>
            </w:r>
          </w:p>
        </w:tc>
        <w:tc>
          <w:tcPr>
            <w:tcW w:w="1668" w:type="dxa"/>
            <w:tcBorders>
              <w:top w:val="nil"/>
              <w:left w:val="nil"/>
              <w:bottom w:val="single" w:sz="4" w:space="0" w:color="auto"/>
              <w:right w:val="single" w:sz="4" w:space="0" w:color="auto"/>
            </w:tcBorders>
            <w:shd w:val="clear" w:color="auto" w:fill="auto"/>
            <w:noWrap/>
            <w:vAlign w:val="bottom"/>
            <w:hideMark/>
          </w:tcPr>
          <w:p w14:paraId="76E6F115" w14:textId="77777777" w:rsidR="005875E7" w:rsidRPr="00114031" w:rsidRDefault="005875E7" w:rsidP="005875E7">
            <w:pPr>
              <w:pStyle w:val="E3tabletext1"/>
              <w:jc w:val="both"/>
              <w:rPr>
                <w:lang w:val="en-NZ"/>
              </w:rPr>
            </w:pPr>
            <w:r w:rsidRPr="00114031">
              <w:rPr>
                <w:lang w:val="en-NZ"/>
              </w:rPr>
              <w:t xml:space="preserve">60 </w:t>
            </w:r>
            <w:r w:rsidRPr="00114031">
              <w:rPr>
                <w:rFonts w:ascii="Symbol" w:hAnsi="Symbol"/>
                <w:lang w:val="en-NZ"/>
              </w:rPr>
              <w:t></w:t>
            </w:r>
            <w:r w:rsidRPr="00114031">
              <w:rPr>
                <w:lang w:val="en-NZ"/>
              </w:rPr>
              <w:t xml:space="preserve"> EEI &lt; 80</w:t>
            </w:r>
          </w:p>
        </w:tc>
      </w:tr>
      <w:tr w:rsidR="005875E7" w:rsidRPr="00114031" w14:paraId="51273D13" w14:textId="77777777" w:rsidTr="005875E7">
        <w:trPr>
          <w:trHeight w:val="300"/>
        </w:trPr>
        <w:tc>
          <w:tcPr>
            <w:tcW w:w="1708" w:type="dxa"/>
            <w:tcBorders>
              <w:top w:val="nil"/>
              <w:left w:val="single" w:sz="4" w:space="0" w:color="auto"/>
              <w:bottom w:val="single" w:sz="4" w:space="0" w:color="auto"/>
              <w:right w:val="single" w:sz="4" w:space="0" w:color="auto"/>
            </w:tcBorders>
            <w:shd w:val="clear" w:color="auto" w:fill="auto"/>
            <w:noWrap/>
            <w:vAlign w:val="bottom"/>
            <w:hideMark/>
          </w:tcPr>
          <w:p w14:paraId="7DBA5EB7" w14:textId="77777777" w:rsidR="005875E7" w:rsidRPr="00114031" w:rsidRDefault="005875E7" w:rsidP="005875E7">
            <w:pPr>
              <w:pStyle w:val="E3tabletext1"/>
              <w:jc w:val="both"/>
              <w:rPr>
                <w:lang w:val="en-NZ"/>
              </w:rPr>
            </w:pPr>
            <w:r w:rsidRPr="00114031">
              <w:rPr>
                <w:lang w:val="en-NZ"/>
              </w:rPr>
              <w:t>D</w:t>
            </w:r>
          </w:p>
        </w:tc>
        <w:tc>
          <w:tcPr>
            <w:tcW w:w="2036" w:type="dxa"/>
            <w:tcBorders>
              <w:top w:val="nil"/>
              <w:left w:val="nil"/>
              <w:bottom w:val="single" w:sz="4" w:space="0" w:color="auto"/>
              <w:right w:val="single" w:sz="4" w:space="0" w:color="auto"/>
            </w:tcBorders>
            <w:shd w:val="clear" w:color="auto" w:fill="auto"/>
            <w:noWrap/>
            <w:vAlign w:val="bottom"/>
            <w:hideMark/>
          </w:tcPr>
          <w:p w14:paraId="71D0851E" w14:textId="77777777" w:rsidR="005875E7" w:rsidRPr="00114031" w:rsidRDefault="005875E7" w:rsidP="005875E7">
            <w:pPr>
              <w:pStyle w:val="E3tabletext1"/>
              <w:jc w:val="both"/>
              <w:rPr>
                <w:lang w:val="en-NZ"/>
              </w:rPr>
            </w:pPr>
            <w:r w:rsidRPr="00114031">
              <w:rPr>
                <w:lang w:val="en-NZ"/>
              </w:rPr>
              <w:t xml:space="preserve">80 </w:t>
            </w:r>
            <w:r w:rsidRPr="00114031">
              <w:rPr>
                <w:rFonts w:ascii="Symbol" w:hAnsi="Symbol"/>
                <w:lang w:val="en-NZ"/>
              </w:rPr>
              <w:t></w:t>
            </w:r>
            <w:r w:rsidRPr="00114031">
              <w:rPr>
                <w:lang w:val="en-NZ"/>
              </w:rPr>
              <w:t xml:space="preserve"> EEI &lt; 110</w:t>
            </w:r>
          </w:p>
        </w:tc>
        <w:tc>
          <w:tcPr>
            <w:tcW w:w="1908" w:type="dxa"/>
            <w:tcBorders>
              <w:top w:val="nil"/>
              <w:left w:val="nil"/>
              <w:bottom w:val="single" w:sz="4" w:space="0" w:color="auto"/>
              <w:right w:val="single" w:sz="4" w:space="0" w:color="auto"/>
            </w:tcBorders>
            <w:shd w:val="clear" w:color="auto" w:fill="auto"/>
            <w:noWrap/>
            <w:vAlign w:val="bottom"/>
            <w:hideMark/>
          </w:tcPr>
          <w:p w14:paraId="678FCCCD" w14:textId="77777777" w:rsidR="005875E7" w:rsidRPr="00114031" w:rsidRDefault="005875E7" w:rsidP="005875E7">
            <w:pPr>
              <w:pStyle w:val="E3tabletext1"/>
              <w:jc w:val="both"/>
              <w:rPr>
                <w:lang w:val="en-NZ"/>
              </w:rPr>
            </w:pPr>
            <w:r w:rsidRPr="00114031">
              <w:rPr>
                <w:lang w:val="en-NZ"/>
              </w:rPr>
              <w:t xml:space="preserve">80 </w:t>
            </w:r>
            <w:r w:rsidRPr="00114031">
              <w:rPr>
                <w:rFonts w:ascii="Symbol" w:hAnsi="Symbol"/>
                <w:lang w:val="en-NZ"/>
              </w:rPr>
              <w:t></w:t>
            </w:r>
            <w:r w:rsidRPr="00114031">
              <w:rPr>
                <w:lang w:val="en-NZ"/>
              </w:rPr>
              <w:t xml:space="preserve"> EEI &lt; 110</w:t>
            </w:r>
          </w:p>
        </w:tc>
        <w:tc>
          <w:tcPr>
            <w:tcW w:w="2036" w:type="dxa"/>
            <w:tcBorders>
              <w:top w:val="nil"/>
              <w:left w:val="nil"/>
              <w:bottom w:val="single" w:sz="4" w:space="0" w:color="auto"/>
              <w:right w:val="single" w:sz="4" w:space="0" w:color="auto"/>
            </w:tcBorders>
            <w:shd w:val="clear" w:color="auto" w:fill="auto"/>
            <w:noWrap/>
            <w:vAlign w:val="bottom"/>
            <w:hideMark/>
          </w:tcPr>
          <w:p w14:paraId="12B0CCE3" w14:textId="77777777" w:rsidR="005875E7" w:rsidRPr="00114031" w:rsidRDefault="005875E7" w:rsidP="005875E7">
            <w:pPr>
              <w:pStyle w:val="E3tabletext1"/>
              <w:jc w:val="both"/>
              <w:rPr>
                <w:lang w:val="en-NZ"/>
              </w:rPr>
            </w:pPr>
            <w:r w:rsidRPr="00114031">
              <w:rPr>
                <w:lang w:val="en-NZ"/>
              </w:rPr>
              <w:t xml:space="preserve">90 </w:t>
            </w:r>
            <w:r w:rsidRPr="00114031">
              <w:rPr>
                <w:rFonts w:ascii="Symbol" w:hAnsi="Symbol"/>
                <w:lang w:val="en-NZ"/>
              </w:rPr>
              <w:t></w:t>
            </w:r>
            <w:r w:rsidRPr="00114031">
              <w:rPr>
                <w:lang w:val="en-NZ"/>
              </w:rPr>
              <w:t xml:space="preserve"> EEI &lt; 110</w:t>
            </w:r>
          </w:p>
        </w:tc>
        <w:tc>
          <w:tcPr>
            <w:tcW w:w="1668" w:type="dxa"/>
            <w:tcBorders>
              <w:top w:val="nil"/>
              <w:left w:val="nil"/>
              <w:bottom w:val="single" w:sz="4" w:space="0" w:color="auto"/>
              <w:right w:val="single" w:sz="4" w:space="0" w:color="auto"/>
            </w:tcBorders>
            <w:shd w:val="clear" w:color="auto" w:fill="auto"/>
            <w:noWrap/>
            <w:vAlign w:val="bottom"/>
            <w:hideMark/>
          </w:tcPr>
          <w:p w14:paraId="23B0CFF9" w14:textId="77777777" w:rsidR="005875E7" w:rsidRPr="00114031" w:rsidRDefault="005875E7" w:rsidP="005875E7">
            <w:pPr>
              <w:pStyle w:val="E3tabletext1"/>
              <w:jc w:val="both"/>
              <w:rPr>
                <w:lang w:val="en-NZ"/>
              </w:rPr>
            </w:pPr>
            <w:r w:rsidRPr="00114031">
              <w:rPr>
                <w:lang w:val="en-NZ"/>
              </w:rPr>
              <w:t xml:space="preserve">80 </w:t>
            </w:r>
            <w:r w:rsidRPr="00114031">
              <w:rPr>
                <w:rFonts w:ascii="Symbol" w:hAnsi="Symbol"/>
                <w:lang w:val="en-NZ"/>
              </w:rPr>
              <w:t></w:t>
            </w:r>
            <w:r w:rsidRPr="00114031">
              <w:rPr>
                <w:lang w:val="en-NZ"/>
              </w:rPr>
              <w:t xml:space="preserve"> EEI &lt; 100</w:t>
            </w:r>
          </w:p>
        </w:tc>
      </w:tr>
      <w:tr w:rsidR="005875E7" w:rsidRPr="00114031" w14:paraId="3CA6F608" w14:textId="77777777" w:rsidTr="005875E7">
        <w:trPr>
          <w:trHeight w:val="300"/>
        </w:trPr>
        <w:tc>
          <w:tcPr>
            <w:tcW w:w="1708" w:type="dxa"/>
            <w:tcBorders>
              <w:top w:val="nil"/>
              <w:left w:val="single" w:sz="4" w:space="0" w:color="auto"/>
              <w:bottom w:val="single" w:sz="4" w:space="0" w:color="auto"/>
              <w:right w:val="single" w:sz="4" w:space="0" w:color="auto"/>
            </w:tcBorders>
            <w:shd w:val="clear" w:color="000000" w:fill="D8D8D8"/>
            <w:noWrap/>
            <w:vAlign w:val="bottom"/>
            <w:hideMark/>
          </w:tcPr>
          <w:p w14:paraId="695EF5E4" w14:textId="77777777" w:rsidR="005875E7" w:rsidRPr="00114031" w:rsidRDefault="005875E7" w:rsidP="005875E7">
            <w:pPr>
              <w:pStyle w:val="E3tabletext1"/>
              <w:jc w:val="both"/>
              <w:rPr>
                <w:lang w:val="en-NZ"/>
              </w:rPr>
            </w:pPr>
            <w:r w:rsidRPr="00114031">
              <w:rPr>
                <w:lang w:val="en-NZ"/>
              </w:rPr>
              <w:t>E</w:t>
            </w:r>
          </w:p>
        </w:tc>
        <w:tc>
          <w:tcPr>
            <w:tcW w:w="2036" w:type="dxa"/>
            <w:tcBorders>
              <w:top w:val="nil"/>
              <w:left w:val="nil"/>
              <w:bottom w:val="single" w:sz="4" w:space="0" w:color="auto"/>
              <w:right w:val="single" w:sz="4" w:space="0" w:color="auto"/>
            </w:tcBorders>
            <w:shd w:val="clear" w:color="000000" w:fill="D8D8D8"/>
            <w:noWrap/>
            <w:vAlign w:val="bottom"/>
            <w:hideMark/>
          </w:tcPr>
          <w:p w14:paraId="7B0C0C8F" w14:textId="77777777" w:rsidR="005875E7" w:rsidRPr="00114031" w:rsidRDefault="005875E7" w:rsidP="005875E7">
            <w:pPr>
              <w:pStyle w:val="E3tabletext1"/>
              <w:jc w:val="both"/>
              <w:rPr>
                <w:lang w:val="en-NZ"/>
              </w:rPr>
            </w:pPr>
            <w:r w:rsidRPr="00114031">
              <w:rPr>
                <w:lang w:val="en-NZ"/>
              </w:rPr>
              <w:t xml:space="preserve">110 </w:t>
            </w:r>
            <w:r w:rsidRPr="00114031">
              <w:rPr>
                <w:rFonts w:ascii="Symbol" w:hAnsi="Symbol"/>
                <w:lang w:val="en-NZ"/>
              </w:rPr>
              <w:t></w:t>
            </w:r>
            <w:r w:rsidRPr="00114031">
              <w:rPr>
                <w:lang w:val="en-NZ"/>
              </w:rPr>
              <w:t xml:space="preserve"> EEI &lt; 120</w:t>
            </w:r>
          </w:p>
        </w:tc>
        <w:tc>
          <w:tcPr>
            <w:tcW w:w="1908" w:type="dxa"/>
            <w:tcBorders>
              <w:top w:val="nil"/>
              <w:left w:val="nil"/>
              <w:bottom w:val="single" w:sz="4" w:space="0" w:color="auto"/>
              <w:right w:val="single" w:sz="4" w:space="0" w:color="auto"/>
            </w:tcBorders>
            <w:shd w:val="clear" w:color="000000" w:fill="D8D8D8"/>
            <w:noWrap/>
            <w:vAlign w:val="bottom"/>
            <w:hideMark/>
          </w:tcPr>
          <w:p w14:paraId="184AB6E6" w14:textId="77777777" w:rsidR="005875E7" w:rsidRPr="00114031" w:rsidRDefault="005875E7" w:rsidP="005875E7">
            <w:pPr>
              <w:pStyle w:val="E3tabletext1"/>
              <w:jc w:val="both"/>
              <w:rPr>
                <w:lang w:val="en-NZ"/>
              </w:rPr>
            </w:pPr>
            <w:r w:rsidRPr="00114031">
              <w:rPr>
                <w:lang w:val="en-NZ"/>
              </w:rPr>
              <w:t xml:space="preserve">110 </w:t>
            </w:r>
            <w:r w:rsidRPr="00114031">
              <w:rPr>
                <w:rFonts w:ascii="Symbol" w:hAnsi="Symbol"/>
                <w:lang w:val="en-NZ"/>
              </w:rPr>
              <w:t></w:t>
            </w:r>
            <w:r w:rsidRPr="00114031">
              <w:rPr>
                <w:lang w:val="en-NZ"/>
              </w:rPr>
              <w:t xml:space="preserve"> EEI &lt; 130</w:t>
            </w:r>
          </w:p>
        </w:tc>
        <w:tc>
          <w:tcPr>
            <w:tcW w:w="2036" w:type="dxa"/>
            <w:tcBorders>
              <w:top w:val="nil"/>
              <w:left w:val="nil"/>
              <w:bottom w:val="single" w:sz="4" w:space="0" w:color="auto"/>
              <w:right w:val="single" w:sz="4" w:space="0" w:color="auto"/>
            </w:tcBorders>
            <w:shd w:val="clear" w:color="000000" w:fill="D8D8D8"/>
            <w:noWrap/>
            <w:vAlign w:val="bottom"/>
            <w:hideMark/>
          </w:tcPr>
          <w:p w14:paraId="05574D3B" w14:textId="77777777" w:rsidR="005875E7" w:rsidRPr="00114031" w:rsidRDefault="005875E7" w:rsidP="005875E7">
            <w:pPr>
              <w:pStyle w:val="E3tabletext1"/>
              <w:jc w:val="both"/>
              <w:rPr>
                <w:lang w:val="en-NZ"/>
              </w:rPr>
            </w:pPr>
            <w:r w:rsidRPr="00114031">
              <w:rPr>
                <w:lang w:val="en-NZ"/>
              </w:rPr>
              <w:t xml:space="preserve">110 </w:t>
            </w:r>
            <w:r w:rsidRPr="00114031">
              <w:rPr>
                <w:rFonts w:ascii="Symbol" w:hAnsi="Symbol"/>
                <w:lang w:val="en-NZ"/>
              </w:rPr>
              <w:t></w:t>
            </w:r>
            <w:r w:rsidRPr="00114031">
              <w:rPr>
                <w:lang w:val="en-NZ"/>
              </w:rPr>
              <w:t xml:space="preserve"> EEI &lt; 130</w:t>
            </w:r>
          </w:p>
        </w:tc>
        <w:tc>
          <w:tcPr>
            <w:tcW w:w="1668" w:type="dxa"/>
            <w:tcBorders>
              <w:top w:val="nil"/>
              <w:left w:val="nil"/>
              <w:bottom w:val="single" w:sz="4" w:space="0" w:color="auto"/>
              <w:right w:val="single" w:sz="4" w:space="0" w:color="auto"/>
            </w:tcBorders>
            <w:shd w:val="clear" w:color="000000" w:fill="D8D8D8"/>
            <w:noWrap/>
            <w:vAlign w:val="bottom"/>
            <w:hideMark/>
          </w:tcPr>
          <w:p w14:paraId="013A8257" w14:textId="77777777" w:rsidR="005875E7" w:rsidRPr="00114031" w:rsidRDefault="005875E7" w:rsidP="005875E7">
            <w:pPr>
              <w:pStyle w:val="E3tabletext1"/>
              <w:jc w:val="both"/>
              <w:rPr>
                <w:lang w:val="en-NZ"/>
              </w:rPr>
            </w:pPr>
            <w:r w:rsidRPr="00114031">
              <w:rPr>
                <w:lang w:val="en-NZ"/>
              </w:rPr>
              <w:t xml:space="preserve">100 </w:t>
            </w:r>
            <w:r w:rsidRPr="00114031">
              <w:rPr>
                <w:rFonts w:ascii="Symbol" w:hAnsi="Symbol"/>
                <w:lang w:val="en-NZ"/>
              </w:rPr>
              <w:t></w:t>
            </w:r>
            <w:r w:rsidRPr="00114031">
              <w:rPr>
                <w:lang w:val="en-NZ"/>
              </w:rPr>
              <w:t xml:space="preserve"> EEI &lt; 120</w:t>
            </w:r>
          </w:p>
        </w:tc>
      </w:tr>
      <w:tr w:rsidR="005875E7" w:rsidRPr="00114031" w14:paraId="0412B85B" w14:textId="77777777" w:rsidTr="005875E7">
        <w:trPr>
          <w:trHeight w:val="300"/>
        </w:trPr>
        <w:tc>
          <w:tcPr>
            <w:tcW w:w="1708" w:type="dxa"/>
            <w:tcBorders>
              <w:top w:val="nil"/>
              <w:left w:val="single" w:sz="4" w:space="0" w:color="auto"/>
              <w:bottom w:val="single" w:sz="4" w:space="0" w:color="auto"/>
              <w:right w:val="single" w:sz="4" w:space="0" w:color="auto"/>
            </w:tcBorders>
            <w:shd w:val="clear" w:color="000000" w:fill="D8D8D8"/>
            <w:noWrap/>
            <w:vAlign w:val="bottom"/>
            <w:hideMark/>
          </w:tcPr>
          <w:p w14:paraId="6C39741C" w14:textId="77777777" w:rsidR="005875E7" w:rsidRPr="00114031" w:rsidRDefault="005875E7" w:rsidP="005875E7">
            <w:pPr>
              <w:pStyle w:val="E3tabletext1"/>
              <w:jc w:val="both"/>
              <w:rPr>
                <w:lang w:val="en-NZ"/>
              </w:rPr>
            </w:pPr>
            <w:r w:rsidRPr="00114031">
              <w:rPr>
                <w:lang w:val="en-NZ"/>
              </w:rPr>
              <w:t>F</w:t>
            </w:r>
          </w:p>
        </w:tc>
        <w:tc>
          <w:tcPr>
            <w:tcW w:w="2036" w:type="dxa"/>
            <w:tcBorders>
              <w:top w:val="nil"/>
              <w:left w:val="nil"/>
              <w:bottom w:val="single" w:sz="4" w:space="0" w:color="auto"/>
              <w:right w:val="single" w:sz="4" w:space="0" w:color="auto"/>
            </w:tcBorders>
            <w:shd w:val="clear" w:color="000000" w:fill="D8D8D8"/>
            <w:noWrap/>
            <w:vAlign w:val="bottom"/>
            <w:hideMark/>
          </w:tcPr>
          <w:p w14:paraId="73284E5B" w14:textId="77777777" w:rsidR="005875E7" w:rsidRPr="00114031" w:rsidRDefault="005875E7" w:rsidP="005875E7">
            <w:pPr>
              <w:pStyle w:val="E3tabletext1"/>
              <w:jc w:val="both"/>
              <w:rPr>
                <w:lang w:val="en-NZ"/>
              </w:rPr>
            </w:pPr>
            <w:r w:rsidRPr="00114031">
              <w:rPr>
                <w:lang w:val="en-NZ"/>
              </w:rPr>
              <w:t xml:space="preserve">120 </w:t>
            </w:r>
            <w:r w:rsidRPr="00114031">
              <w:rPr>
                <w:rFonts w:ascii="Symbol" w:hAnsi="Symbol"/>
                <w:lang w:val="en-NZ"/>
              </w:rPr>
              <w:t></w:t>
            </w:r>
            <w:r w:rsidRPr="00114031">
              <w:rPr>
                <w:lang w:val="en-NZ"/>
              </w:rPr>
              <w:t xml:space="preserve"> EEI &lt; 130</w:t>
            </w:r>
          </w:p>
        </w:tc>
        <w:tc>
          <w:tcPr>
            <w:tcW w:w="1908" w:type="dxa"/>
            <w:tcBorders>
              <w:top w:val="nil"/>
              <w:left w:val="nil"/>
              <w:bottom w:val="single" w:sz="4" w:space="0" w:color="auto"/>
              <w:right w:val="single" w:sz="4" w:space="0" w:color="auto"/>
            </w:tcBorders>
            <w:shd w:val="clear" w:color="000000" w:fill="D8D8D8"/>
            <w:noWrap/>
            <w:vAlign w:val="bottom"/>
            <w:hideMark/>
          </w:tcPr>
          <w:p w14:paraId="6C52E062" w14:textId="77777777" w:rsidR="005875E7" w:rsidRPr="00114031" w:rsidRDefault="005875E7" w:rsidP="005875E7">
            <w:pPr>
              <w:pStyle w:val="E3tabletext1"/>
              <w:jc w:val="both"/>
              <w:rPr>
                <w:lang w:val="en-NZ"/>
              </w:rPr>
            </w:pPr>
            <w:r w:rsidRPr="00114031">
              <w:rPr>
                <w:lang w:val="en-NZ"/>
              </w:rPr>
              <w:t xml:space="preserve">130 </w:t>
            </w:r>
            <w:r w:rsidRPr="00114031">
              <w:rPr>
                <w:rFonts w:ascii="Symbol" w:hAnsi="Symbol"/>
                <w:lang w:val="en-NZ"/>
              </w:rPr>
              <w:t></w:t>
            </w:r>
            <w:r w:rsidRPr="00114031">
              <w:rPr>
                <w:lang w:val="en-NZ"/>
              </w:rPr>
              <w:t xml:space="preserve"> EEI &lt; 140</w:t>
            </w:r>
          </w:p>
        </w:tc>
        <w:tc>
          <w:tcPr>
            <w:tcW w:w="2036" w:type="dxa"/>
            <w:tcBorders>
              <w:top w:val="nil"/>
              <w:left w:val="nil"/>
              <w:bottom w:val="single" w:sz="4" w:space="0" w:color="auto"/>
              <w:right w:val="single" w:sz="4" w:space="0" w:color="auto"/>
            </w:tcBorders>
            <w:shd w:val="clear" w:color="000000" w:fill="D8D8D8"/>
            <w:noWrap/>
            <w:vAlign w:val="bottom"/>
            <w:hideMark/>
          </w:tcPr>
          <w:p w14:paraId="4276FC06" w14:textId="77777777" w:rsidR="005875E7" w:rsidRPr="00114031" w:rsidRDefault="005875E7" w:rsidP="005875E7">
            <w:pPr>
              <w:pStyle w:val="E3tabletext1"/>
              <w:jc w:val="both"/>
              <w:rPr>
                <w:lang w:val="en-NZ"/>
              </w:rPr>
            </w:pPr>
            <w:r w:rsidRPr="00114031">
              <w:rPr>
                <w:lang w:val="en-NZ"/>
              </w:rPr>
              <w:t xml:space="preserve">130 </w:t>
            </w:r>
            <w:r w:rsidRPr="00114031">
              <w:rPr>
                <w:rFonts w:ascii="Symbol" w:hAnsi="Symbol"/>
                <w:lang w:val="en-NZ"/>
              </w:rPr>
              <w:t></w:t>
            </w:r>
            <w:r w:rsidRPr="00114031">
              <w:rPr>
                <w:lang w:val="en-NZ"/>
              </w:rPr>
              <w:t xml:space="preserve"> EEI &lt; 140</w:t>
            </w:r>
          </w:p>
        </w:tc>
        <w:tc>
          <w:tcPr>
            <w:tcW w:w="1668" w:type="dxa"/>
            <w:tcBorders>
              <w:top w:val="nil"/>
              <w:left w:val="nil"/>
              <w:bottom w:val="single" w:sz="4" w:space="0" w:color="auto"/>
              <w:right w:val="single" w:sz="4" w:space="0" w:color="auto"/>
            </w:tcBorders>
            <w:shd w:val="clear" w:color="000000" w:fill="D8D8D8"/>
            <w:noWrap/>
            <w:vAlign w:val="bottom"/>
            <w:hideMark/>
          </w:tcPr>
          <w:p w14:paraId="69AF45B9" w14:textId="77777777" w:rsidR="005875E7" w:rsidRPr="00114031" w:rsidRDefault="005875E7" w:rsidP="005875E7">
            <w:pPr>
              <w:pStyle w:val="E3tabletext1"/>
              <w:jc w:val="both"/>
              <w:rPr>
                <w:lang w:val="en-NZ"/>
              </w:rPr>
            </w:pPr>
            <w:r w:rsidRPr="00114031">
              <w:rPr>
                <w:lang w:val="en-NZ"/>
              </w:rPr>
              <w:t xml:space="preserve">120 </w:t>
            </w:r>
            <w:r w:rsidRPr="00114031">
              <w:rPr>
                <w:rFonts w:ascii="Symbol" w:hAnsi="Symbol"/>
                <w:lang w:val="en-NZ"/>
              </w:rPr>
              <w:t></w:t>
            </w:r>
            <w:r w:rsidRPr="00114031">
              <w:rPr>
                <w:lang w:val="en-NZ"/>
              </w:rPr>
              <w:t xml:space="preserve"> EEI &lt; 140</w:t>
            </w:r>
          </w:p>
        </w:tc>
      </w:tr>
      <w:tr w:rsidR="005875E7" w:rsidRPr="00114031" w14:paraId="4C223746" w14:textId="77777777" w:rsidTr="005875E7">
        <w:trPr>
          <w:trHeight w:val="300"/>
        </w:trPr>
        <w:tc>
          <w:tcPr>
            <w:tcW w:w="1708" w:type="dxa"/>
            <w:tcBorders>
              <w:top w:val="nil"/>
              <w:left w:val="single" w:sz="4" w:space="0" w:color="auto"/>
              <w:bottom w:val="single" w:sz="4" w:space="0" w:color="auto"/>
              <w:right w:val="single" w:sz="4" w:space="0" w:color="auto"/>
            </w:tcBorders>
            <w:shd w:val="clear" w:color="000000" w:fill="A5A5A5"/>
            <w:noWrap/>
            <w:vAlign w:val="bottom"/>
            <w:hideMark/>
          </w:tcPr>
          <w:p w14:paraId="5D372EFC" w14:textId="77777777" w:rsidR="005875E7" w:rsidRPr="00114031" w:rsidRDefault="005875E7" w:rsidP="005875E7">
            <w:pPr>
              <w:pStyle w:val="E3tabletext1"/>
              <w:jc w:val="both"/>
              <w:rPr>
                <w:lang w:val="en-NZ"/>
              </w:rPr>
            </w:pPr>
            <w:r w:rsidRPr="00114031">
              <w:rPr>
                <w:lang w:val="en-NZ"/>
              </w:rPr>
              <w:t>G</w:t>
            </w:r>
          </w:p>
        </w:tc>
        <w:tc>
          <w:tcPr>
            <w:tcW w:w="2036" w:type="dxa"/>
            <w:tcBorders>
              <w:top w:val="nil"/>
              <w:left w:val="nil"/>
              <w:bottom w:val="single" w:sz="4" w:space="0" w:color="auto"/>
              <w:right w:val="single" w:sz="4" w:space="0" w:color="auto"/>
            </w:tcBorders>
            <w:shd w:val="clear" w:color="000000" w:fill="A5A5A5"/>
            <w:noWrap/>
            <w:vAlign w:val="bottom"/>
            <w:hideMark/>
          </w:tcPr>
          <w:p w14:paraId="29124EAB" w14:textId="77777777" w:rsidR="005875E7" w:rsidRPr="00114031" w:rsidRDefault="005875E7" w:rsidP="005875E7">
            <w:pPr>
              <w:pStyle w:val="E3tabletext1"/>
              <w:jc w:val="both"/>
              <w:rPr>
                <w:lang w:val="en-NZ"/>
              </w:rPr>
            </w:pPr>
            <w:r w:rsidRPr="00114031">
              <w:rPr>
                <w:lang w:val="en-NZ"/>
              </w:rPr>
              <w:t xml:space="preserve">130 </w:t>
            </w:r>
            <w:r w:rsidRPr="00114031">
              <w:rPr>
                <w:rFonts w:ascii="Symbol" w:hAnsi="Symbol"/>
                <w:lang w:val="en-NZ"/>
              </w:rPr>
              <w:t></w:t>
            </w:r>
            <w:r w:rsidRPr="00114031">
              <w:rPr>
                <w:lang w:val="en-NZ"/>
              </w:rPr>
              <w:t xml:space="preserve"> EEI </w:t>
            </w:r>
          </w:p>
        </w:tc>
        <w:tc>
          <w:tcPr>
            <w:tcW w:w="1908" w:type="dxa"/>
            <w:tcBorders>
              <w:top w:val="nil"/>
              <w:left w:val="nil"/>
              <w:bottom w:val="single" w:sz="4" w:space="0" w:color="auto"/>
              <w:right w:val="single" w:sz="4" w:space="0" w:color="auto"/>
            </w:tcBorders>
            <w:shd w:val="clear" w:color="000000" w:fill="A5A5A5"/>
            <w:noWrap/>
            <w:vAlign w:val="bottom"/>
            <w:hideMark/>
          </w:tcPr>
          <w:p w14:paraId="3E60B6C9" w14:textId="77777777" w:rsidR="005875E7" w:rsidRPr="00114031" w:rsidRDefault="005875E7" w:rsidP="005875E7">
            <w:pPr>
              <w:pStyle w:val="E3tabletext1"/>
              <w:jc w:val="both"/>
              <w:rPr>
                <w:lang w:val="en-NZ"/>
              </w:rPr>
            </w:pPr>
            <w:r w:rsidRPr="00114031">
              <w:rPr>
                <w:lang w:val="en-NZ"/>
              </w:rPr>
              <w:t xml:space="preserve">140 </w:t>
            </w:r>
            <w:r w:rsidRPr="00114031">
              <w:rPr>
                <w:rFonts w:ascii="Symbol" w:hAnsi="Symbol"/>
                <w:lang w:val="en-NZ"/>
              </w:rPr>
              <w:t></w:t>
            </w:r>
            <w:r w:rsidRPr="00114031">
              <w:rPr>
                <w:lang w:val="en-NZ"/>
              </w:rPr>
              <w:t xml:space="preserve"> EEI </w:t>
            </w:r>
          </w:p>
        </w:tc>
        <w:tc>
          <w:tcPr>
            <w:tcW w:w="2036" w:type="dxa"/>
            <w:tcBorders>
              <w:top w:val="nil"/>
              <w:left w:val="nil"/>
              <w:bottom w:val="single" w:sz="4" w:space="0" w:color="auto"/>
              <w:right w:val="single" w:sz="4" w:space="0" w:color="auto"/>
            </w:tcBorders>
            <w:shd w:val="clear" w:color="000000" w:fill="A5A5A5"/>
            <w:noWrap/>
            <w:vAlign w:val="bottom"/>
            <w:hideMark/>
          </w:tcPr>
          <w:p w14:paraId="1F510D7F" w14:textId="77777777" w:rsidR="005875E7" w:rsidRPr="00114031" w:rsidRDefault="005875E7" w:rsidP="005875E7">
            <w:pPr>
              <w:pStyle w:val="E3tabletext1"/>
              <w:jc w:val="both"/>
              <w:rPr>
                <w:lang w:val="en-NZ"/>
              </w:rPr>
            </w:pPr>
            <w:r w:rsidRPr="00114031">
              <w:rPr>
                <w:lang w:val="en-NZ"/>
              </w:rPr>
              <w:t xml:space="preserve">140 </w:t>
            </w:r>
            <w:r w:rsidRPr="00114031">
              <w:rPr>
                <w:rFonts w:ascii="Symbol" w:hAnsi="Symbol"/>
                <w:lang w:val="en-NZ"/>
              </w:rPr>
              <w:t></w:t>
            </w:r>
            <w:r w:rsidRPr="00114031">
              <w:rPr>
                <w:lang w:val="en-NZ"/>
              </w:rPr>
              <w:t xml:space="preserve"> EEI </w:t>
            </w:r>
          </w:p>
        </w:tc>
        <w:tc>
          <w:tcPr>
            <w:tcW w:w="1668" w:type="dxa"/>
            <w:tcBorders>
              <w:top w:val="nil"/>
              <w:left w:val="nil"/>
              <w:bottom w:val="single" w:sz="4" w:space="0" w:color="auto"/>
              <w:right w:val="single" w:sz="4" w:space="0" w:color="auto"/>
            </w:tcBorders>
            <w:shd w:val="clear" w:color="000000" w:fill="A5A5A5"/>
            <w:noWrap/>
            <w:vAlign w:val="bottom"/>
            <w:hideMark/>
          </w:tcPr>
          <w:p w14:paraId="037F77C3" w14:textId="77777777" w:rsidR="005875E7" w:rsidRPr="00114031" w:rsidRDefault="005875E7" w:rsidP="005875E7">
            <w:pPr>
              <w:pStyle w:val="E3tabletext1"/>
              <w:jc w:val="both"/>
              <w:rPr>
                <w:lang w:val="en-NZ"/>
              </w:rPr>
            </w:pPr>
            <w:r w:rsidRPr="00114031">
              <w:rPr>
                <w:lang w:val="en-NZ"/>
              </w:rPr>
              <w:t xml:space="preserve">140 </w:t>
            </w:r>
            <w:r w:rsidRPr="00114031">
              <w:rPr>
                <w:rFonts w:ascii="Symbol" w:hAnsi="Symbol"/>
                <w:lang w:val="en-NZ"/>
              </w:rPr>
              <w:t></w:t>
            </w:r>
            <w:r w:rsidRPr="00114031">
              <w:rPr>
                <w:lang w:val="en-NZ"/>
              </w:rPr>
              <w:t xml:space="preserve"> EEI </w:t>
            </w:r>
          </w:p>
        </w:tc>
      </w:tr>
    </w:tbl>
    <w:p w14:paraId="4404C01E" w14:textId="77777777" w:rsidR="003616D8" w:rsidRDefault="003616D8" w:rsidP="004C3E41">
      <w:pPr>
        <w:pStyle w:val="E3TableTitles"/>
      </w:pPr>
    </w:p>
    <w:p w14:paraId="347B3080" w14:textId="77777777" w:rsidR="005875E7" w:rsidRPr="004C3E41" w:rsidRDefault="005875E7" w:rsidP="004C3E41">
      <w:pPr>
        <w:pStyle w:val="E3TableTitles"/>
      </w:pPr>
      <w:bookmarkStart w:id="171" w:name="_Toc500159661"/>
      <w:r w:rsidRPr="004C3E41">
        <w:lastRenderedPageBreak/>
        <w:t>Table 10: Energy efficiency classes for labelling of storage cabinets.</w:t>
      </w:r>
      <w:bookmarkEnd w:id="171"/>
    </w:p>
    <w:tbl>
      <w:tblPr>
        <w:tblW w:w="9356" w:type="dxa"/>
        <w:tblInd w:w="-5" w:type="dxa"/>
        <w:tblLook w:val="04A0" w:firstRow="1" w:lastRow="0" w:firstColumn="1" w:lastColumn="0" w:noHBand="0" w:noVBand="1"/>
      </w:tblPr>
      <w:tblGrid>
        <w:gridCol w:w="4395"/>
        <w:gridCol w:w="4961"/>
      </w:tblGrid>
      <w:tr w:rsidR="005875E7" w:rsidRPr="00F707FD" w14:paraId="2ABCD9D1" w14:textId="77777777" w:rsidTr="005875E7">
        <w:trPr>
          <w:trHeight w:val="585"/>
        </w:trPr>
        <w:tc>
          <w:tcPr>
            <w:tcW w:w="9356"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75006202" w14:textId="77777777" w:rsidR="005875E7" w:rsidRPr="00DA4189" w:rsidRDefault="005875E7" w:rsidP="005875E7">
            <w:pPr>
              <w:pStyle w:val="E3TableHeading"/>
              <w:jc w:val="both"/>
              <w:rPr>
                <w:szCs w:val="15"/>
              </w:rPr>
            </w:pPr>
            <w:r w:rsidRPr="001A279D">
              <w:rPr>
                <w:szCs w:val="15"/>
              </w:rPr>
              <w:t>Proposed EU energy efficiency</w:t>
            </w:r>
            <w:r w:rsidRPr="00D646FE">
              <w:rPr>
                <w:szCs w:val="15"/>
              </w:rPr>
              <w:t xml:space="preserve"> levels for </w:t>
            </w:r>
            <w:r w:rsidRPr="00DA4189">
              <w:rPr>
                <w:szCs w:val="15"/>
              </w:rPr>
              <w:t>labelling of refrigerated storage cabinets</w:t>
            </w:r>
          </w:p>
        </w:tc>
      </w:tr>
      <w:tr w:rsidR="005875E7" w:rsidRPr="00114031" w14:paraId="7D46DAC3" w14:textId="77777777" w:rsidTr="005875E7">
        <w:trPr>
          <w:trHeight w:val="454"/>
        </w:trPr>
        <w:tc>
          <w:tcPr>
            <w:tcW w:w="4395"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29FD00C4"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Energy Efficiency Class</w:t>
            </w:r>
          </w:p>
        </w:tc>
        <w:tc>
          <w:tcPr>
            <w:tcW w:w="496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A1330DF" w14:textId="77777777" w:rsidR="005875E7" w:rsidRPr="0041262C" w:rsidRDefault="005875E7" w:rsidP="005875E7">
            <w:pPr>
              <w:pStyle w:val="E3tabletext1"/>
              <w:jc w:val="both"/>
              <w:rPr>
                <w:rFonts w:ascii="Helvetica" w:hAnsi="Helvetica" w:cs="Helvetica"/>
                <w:sz w:val="15"/>
                <w:szCs w:val="15"/>
              </w:rPr>
            </w:pPr>
            <w:r w:rsidRPr="0041262C">
              <w:rPr>
                <w:rFonts w:ascii="Helvetica" w:hAnsi="Helvetica" w:cs="Helvetica"/>
                <w:sz w:val="15"/>
                <w:szCs w:val="15"/>
              </w:rPr>
              <w:t>EEI</w:t>
            </w:r>
          </w:p>
        </w:tc>
      </w:tr>
      <w:tr w:rsidR="005875E7" w:rsidRPr="00114031" w14:paraId="525D9A75" w14:textId="77777777" w:rsidTr="005875E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22435F6E" w14:textId="77777777" w:rsidR="005875E7" w:rsidRPr="0041262C" w:rsidRDefault="005875E7" w:rsidP="005875E7">
            <w:pPr>
              <w:pStyle w:val="E3tabletext1"/>
              <w:jc w:val="left"/>
              <w:rPr>
                <w:rFonts w:ascii="Helvetica" w:hAnsi="Helvetica" w:cs="Helvetica"/>
                <w:sz w:val="15"/>
                <w:szCs w:val="15"/>
              </w:rPr>
            </w:pPr>
            <w:r w:rsidRPr="0041262C">
              <w:rPr>
                <w:rFonts w:ascii="Helvetica" w:hAnsi="Helvetica" w:cs="Helvetica"/>
                <w:sz w:val="15"/>
                <w:szCs w:val="15"/>
              </w:rPr>
              <w:t>A+++</w:t>
            </w:r>
          </w:p>
        </w:tc>
        <w:tc>
          <w:tcPr>
            <w:tcW w:w="4961" w:type="dxa"/>
            <w:tcBorders>
              <w:top w:val="single" w:sz="4" w:space="0" w:color="auto"/>
              <w:left w:val="nil"/>
              <w:bottom w:val="single" w:sz="4" w:space="0" w:color="auto"/>
              <w:right w:val="single" w:sz="4" w:space="0" w:color="auto"/>
            </w:tcBorders>
            <w:shd w:val="clear" w:color="auto" w:fill="auto"/>
            <w:noWrap/>
            <w:hideMark/>
          </w:tcPr>
          <w:p w14:paraId="0DB0CAB8" w14:textId="77777777" w:rsidR="005875E7" w:rsidRPr="0041262C" w:rsidRDefault="005875E7" w:rsidP="005875E7">
            <w:pPr>
              <w:pStyle w:val="E3tabletext1"/>
              <w:jc w:val="left"/>
              <w:rPr>
                <w:rFonts w:ascii="Helvetica" w:hAnsi="Helvetica" w:cs="Helvetica"/>
                <w:sz w:val="15"/>
                <w:szCs w:val="15"/>
              </w:rPr>
            </w:pPr>
            <w:r w:rsidRPr="0041262C">
              <w:rPr>
                <w:rFonts w:ascii="Helvetica" w:hAnsi="Helvetica" w:cs="Helvetica"/>
                <w:sz w:val="15"/>
                <w:szCs w:val="15"/>
              </w:rPr>
              <w:t>EEI &lt; 5</w:t>
            </w:r>
          </w:p>
        </w:tc>
      </w:tr>
      <w:tr w:rsidR="005875E7" w:rsidRPr="00114031" w14:paraId="4EF19FB0" w14:textId="77777777" w:rsidTr="005875E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6BFB5B62" w14:textId="77777777" w:rsidR="005875E7" w:rsidRPr="0041262C" w:rsidRDefault="005875E7" w:rsidP="005875E7">
            <w:pPr>
              <w:pStyle w:val="E3tabletext1"/>
              <w:jc w:val="left"/>
              <w:rPr>
                <w:rFonts w:ascii="Helvetica" w:hAnsi="Helvetica" w:cs="Helvetica"/>
                <w:sz w:val="15"/>
                <w:szCs w:val="15"/>
              </w:rPr>
            </w:pPr>
            <w:r w:rsidRPr="0041262C">
              <w:rPr>
                <w:rFonts w:ascii="Helvetica" w:hAnsi="Helvetica" w:cs="Helvetica"/>
                <w:sz w:val="15"/>
                <w:szCs w:val="15"/>
              </w:rPr>
              <w:t>A++</w:t>
            </w:r>
          </w:p>
        </w:tc>
        <w:tc>
          <w:tcPr>
            <w:tcW w:w="4961" w:type="dxa"/>
            <w:tcBorders>
              <w:top w:val="single" w:sz="4" w:space="0" w:color="auto"/>
              <w:left w:val="nil"/>
              <w:bottom w:val="single" w:sz="4" w:space="0" w:color="auto"/>
              <w:right w:val="single" w:sz="4" w:space="0" w:color="auto"/>
            </w:tcBorders>
            <w:shd w:val="clear" w:color="auto" w:fill="auto"/>
            <w:noWrap/>
            <w:hideMark/>
          </w:tcPr>
          <w:p w14:paraId="24EDB97C" w14:textId="77777777" w:rsidR="005875E7" w:rsidRPr="0041262C" w:rsidRDefault="005875E7" w:rsidP="005875E7">
            <w:pPr>
              <w:pStyle w:val="E3tabletext1"/>
              <w:jc w:val="left"/>
              <w:rPr>
                <w:rFonts w:ascii="Helvetica" w:hAnsi="Helvetica" w:cs="Helvetica"/>
                <w:sz w:val="15"/>
                <w:szCs w:val="15"/>
              </w:rPr>
            </w:pPr>
            <w:r w:rsidRPr="0041262C">
              <w:rPr>
                <w:rFonts w:ascii="Helvetica" w:hAnsi="Helvetica" w:cs="Helvetica"/>
                <w:sz w:val="15"/>
                <w:szCs w:val="15"/>
              </w:rPr>
              <w:t>5 ≤ EEI &lt; 10</w:t>
            </w:r>
          </w:p>
        </w:tc>
      </w:tr>
      <w:tr w:rsidR="005875E7" w:rsidRPr="00114031" w14:paraId="28563BAE" w14:textId="77777777" w:rsidTr="005875E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26881461" w14:textId="77777777" w:rsidR="005875E7" w:rsidRPr="0041262C" w:rsidRDefault="005875E7" w:rsidP="005875E7">
            <w:pPr>
              <w:pStyle w:val="E3tabletext1"/>
              <w:jc w:val="left"/>
              <w:rPr>
                <w:rFonts w:ascii="Helvetica" w:hAnsi="Helvetica" w:cs="Helvetica"/>
                <w:sz w:val="15"/>
                <w:szCs w:val="15"/>
              </w:rPr>
            </w:pPr>
            <w:r w:rsidRPr="0041262C">
              <w:rPr>
                <w:rFonts w:ascii="Helvetica" w:hAnsi="Helvetica" w:cs="Helvetica"/>
                <w:sz w:val="15"/>
                <w:szCs w:val="15"/>
              </w:rPr>
              <w:t>A+</w:t>
            </w:r>
          </w:p>
        </w:tc>
        <w:tc>
          <w:tcPr>
            <w:tcW w:w="4961" w:type="dxa"/>
            <w:tcBorders>
              <w:top w:val="single" w:sz="4" w:space="0" w:color="auto"/>
              <w:left w:val="nil"/>
              <w:bottom w:val="single" w:sz="4" w:space="0" w:color="auto"/>
              <w:right w:val="single" w:sz="4" w:space="0" w:color="auto"/>
            </w:tcBorders>
            <w:shd w:val="clear" w:color="auto" w:fill="auto"/>
            <w:noWrap/>
            <w:hideMark/>
          </w:tcPr>
          <w:p w14:paraId="4D82A73A" w14:textId="77777777" w:rsidR="005875E7" w:rsidRPr="0041262C" w:rsidRDefault="005875E7" w:rsidP="005875E7">
            <w:pPr>
              <w:pStyle w:val="E3tabletext1"/>
              <w:jc w:val="left"/>
              <w:rPr>
                <w:rFonts w:ascii="Helvetica" w:hAnsi="Helvetica" w:cs="Helvetica"/>
                <w:sz w:val="15"/>
                <w:szCs w:val="15"/>
              </w:rPr>
            </w:pPr>
            <w:r w:rsidRPr="0041262C">
              <w:rPr>
                <w:rFonts w:ascii="Helvetica" w:hAnsi="Helvetica" w:cs="Helvetica"/>
                <w:sz w:val="15"/>
                <w:szCs w:val="15"/>
              </w:rPr>
              <w:t>10 ≤ EEI &lt; 15</w:t>
            </w:r>
          </w:p>
        </w:tc>
      </w:tr>
      <w:tr w:rsidR="005875E7" w:rsidRPr="00114031" w14:paraId="52F970C3" w14:textId="77777777" w:rsidTr="005875E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14:paraId="0F3C535D" w14:textId="77777777" w:rsidR="005875E7" w:rsidRPr="0041262C" w:rsidRDefault="005875E7" w:rsidP="005875E7">
            <w:pPr>
              <w:pStyle w:val="E3tabletext1"/>
              <w:jc w:val="left"/>
              <w:rPr>
                <w:rFonts w:ascii="Helvetica" w:hAnsi="Helvetica" w:cs="Helvetica"/>
                <w:sz w:val="15"/>
                <w:szCs w:val="15"/>
              </w:rPr>
            </w:pPr>
            <w:r w:rsidRPr="0041262C">
              <w:rPr>
                <w:rFonts w:ascii="Helvetica" w:hAnsi="Helvetica" w:cs="Helvetica"/>
                <w:sz w:val="15"/>
                <w:szCs w:val="15"/>
              </w:rPr>
              <w:t>A</w:t>
            </w:r>
          </w:p>
        </w:tc>
        <w:tc>
          <w:tcPr>
            <w:tcW w:w="4961" w:type="dxa"/>
            <w:tcBorders>
              <w:top w:val="single" w:sz="4" w:space="0" w:color="auto"/>
              <w:left w:val="nil"/>
              <w:bottom w:val="single" w:sz="4" w:space="0" w:color="auto"/>
              <w:right w:val="single" w:sz="4" w:space="0" w:color="auto"/>
            </w:tcBorders>
            <w:shd w:val="clear" w:color="auto" w:fill="auto"/>
            <w:noWrap/>
            <w:hideMark/>
          </w:tcPr>
          <w:p w14:paraId="1856BF66" w14:textId="77777777" w:rsidR="005875E7" w:rsidRPr="0041262C" w:rsidRDefault="005875E7" w:rsidP="005875E7">
            <w:pPr>
              <w:pStyle w:val="E3tabletext1"/>
              <w:jc w:val="left"/>
              <w:rPr>
                <w:rFonts w:ascii="Helvetica" w:hAnsi="Helvetica" w:cs="Helvetica"/>
                <w:sz w:val="15"/>
                <w:szCs w:val="15"/>
              </w:rPr>
            </w:pPr>
            <w:r w:rsidRPr="0041262C">
              <w:rPr>
                <w:rFonts w:ascii="Helvetica" w:hAnsi="Helvetica" w:cs="Helvetica"/>
                <w:sz w:val="15"/>
                <w:szCs w:val="15"/>
              </w:rPr>
              <w:t>15 ≤ EEI &lt; 25</w:t>
            </w:r>
          </w:p>
        </w:tc>
      </w:tr>
      <w:tr w:rsidR="005875E7" w:rsidRPr="00114031" w14:paraId="5B5667E4" w14:textId="77777777" w:rsidTr="005875E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14:paraId="4667D855" w14:textId="77777777" w:rsidR="005875E7" w:rsidRPr="0041262C" w:rsidRDefault="005875E7" w:rsidP="005875E7">
            <w:pPr>
              <w:pStyle w:val="E3tabletext1"/>
              <w:jc w:val="left"/>
              <w:rPr>
                <w:rFonts w:ascii="Helvetica" w:hAnsi="Helvetica" w:cs="Helvetica"/>
                <w:sz w:val="15"/>
                <w:szCs w:val="15"/>
              </w:rPr>
            </w:pPr>
            <w:r w:rsidRPr="0041262C">
              <w:rPr>
                <w:rFonts w:ascii="Helvetica" w:hAnsi="Helvetica" w:cs="Helvetica"/>
                <w:sz w:val="15"/>
                <w:szCs w:val="15"/>
              </w:rPr>
              <w:t>B</w:t>
            </w:r>
          </w:p>
        </w:tc>
        <w:tc>
          <w:tcPr>
            <w:tcW w:w="4961" w:type="dxa"/>
            <w:tcBorders>
              <w:top w:val="single" w:sz="4" w:space="0" w:color="auto"/>
              <w:left w:val="nil"/>
              <w:bottom w:val="single" w:sz="4" w:space="0" w:color="auto"/>
              <w:right w:val="single" w:sz="4" w:space="0" w:color="auto"/>
            </w:tcBorders>
            <w:shd w:val="clear" w:color="auto" w:fill="auto"/>
            <w:noWrap/>
            <w:hideMark/>
          </w:tcPr>
          <w:p w14:paraId="18E31983" w14:textId="77777777" w:rsidR="005875E7" w:rsidRPr="0041262C" w:rsidRDefault="005875E7" w:rsidP="005875E7">
            <w:pPr>
              <w:pStyle w:val="E3tabletext1"/>
              <w:jc w:val="left"/>
              <w:rPr>
                <w:rFonts w:ascii="Helvetica" w:hAnsi="Helvetica" w:cs="Helvetica"/>
                <w:sz w:val="15"/>
                <w:szCs w:val="15"/>
              </w:rPr>
            </w:pPr>
            <w:r w:rsidRPr="0041262C">
              <w:rPr>
                <w:rFonts w:ascii="Helvetica" w:hAnsi="Helvetica" w:cs="Helvetica"/>
                <w:sz w:val="15"/>
                <w:szCs w:val="15"/>
              </w:rPr>
              <w:t>25 ≤ EEI &lt; 35</w:t>
            </w:r>
          </w:p>
        </w:tc>
      </w:tr>
      <w:tr w:rsidR="005875E7" w:rsidRPr="00114031" w14:paraId="7A18800C" w14:textId="77777777" w:rsidTr="005875E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14:paraId="1CDC839A" w14:textId="77777777" w:rsidR="005875E7" w:rsidRPr="0041262C" w:rsidRDefault="005875E7" w:rsidP="005875E7">
            <w:pPr>
              <w:pStyle w:val="E3tabletext1"/>
              <w:jc w:val="left"/>
              <w:rPr>
                <w:rFonts w:ascii="Helvetica" w:hAnsi="Helvetica" w:cs="Helvetica"/>
                <w:sz w:val="15"/>
                <w:szCs w:val="15"/>
              </w:rPr>
            </w:pPr>
            <w:r w:rsidRPr="0041262C">
              <w:rPr>
                <w:rFonts w:ascii="Helvetica" w:hAnsi="Helvetica" w:cs="Helvetica"/>
                <w:sz w:val="15"/>
                <w:szCs w:val="15"/>
              </w:rPr>
              <w:t>C</w:t>
            </w:r>
          </w:p>
        </w:tc>
        <w:tc>
          <w:tcPr>
            <w:tcW w:w="4961" w:type="dxa"/>
            <w:tcBorders>
              <w:top w:val="single" w:sz="4" w:space="0" w:color="auto"/>
              <w:left w:val="nil"/>
              <w:bottom w:val="single" w:sz="4" w:space="0" w:color="auto"/>
              <w:right w:val="single" w:sz="4" w:space="0" w:color="auto"/>
            </w:tcBorders>
            <w:shd w:val="clear" w:color="auto" w:fill="auto"/>
            <w:noWrap/>
            <w:hideMark/>
          </w:tcPr>
          <w:p w14:paraId="52B16264" w14:textId="77777777" w:rsidR="005875E7" w:rsidRPr="0041262C" w:rsidRDefault="005875E7" w:rsidP="005875E7">
            <w:pPr>
              <w:pStyle w:val="E3tabletext1"/>
              <w:jc w:val="left"/>
              <w:rPr>
                <w:rFonts w:ascii="Helvetica" w:hAnsi="Helvetica" w:cs="Helvetica"/>
                <w:sz w:val="15"/>
                <w:szCs w:val="15"/>
              </w:rPr>
            </w:pPr>
            <w:r w:rsidRPr="0041262C">
              <w:rPr>
                <w:rFonts w:ascii="Helvetica" w:hAnsi="Helvetica" w:cs="Helvetica"/>
                <w:sz w:val="15"/>
                <w:szCs w:val="15"/>
              </w:rPr>
              <w:t>35 ≤ EEI &lt; 50</w:t>
            </w:r>
          </w:p>
        </w:tc>
      </w:tr>
      <w:tr w:rsidR="005875E7" w:rsidRPr="00114031" w14:paraId="02F22F2C" w14:textId="77777777" w:rsidTr="005875E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14:paraId="18F557E1" w14:textId="77777777" w:rsidR="005875E7" w:rsidRPr="0041262C" w:rsidRDefault="005875E7" w:rsidP="005875E7">
            <w:pPr>
              <w:pStyle w:val="E3tabletext1"/>
              <w:jc w:val="left"/>
              <w:rPr>
                <w:rFonts w:ascii="Helvetica" w:hAnsi="Helvetica" w:cs="Helvetica"/>
                <w:sz w:val="15"/>
                <w:szCs w:val="15"/>
              </w:rPr>
            </w:pPr>
            <w:r w:rsidRPr="0041262C">
              <w:rPr>
                <w:rFonts w:ascii="Helvetica" w:hAnsi="Helvetica" w:cs="Helvetica"/>
                <w:sz w:val="15"/>
                <w:szCs w:val="15"/>
              </w:rPr>
              <w:t>D</w:t>
            </w:r>
          </w:p>
        </w:tc>
        <w:tc>
          <w:tcPr>
            <w:tcW w:w="4961" w:type="dxa"/>
            <w:tcBorders>
              <w:top w:val="single" w:sz="4" w:space="0" w:color="auto"/>
              <w:left w:val="nil"/>
              <w:bottom w:val="single" w:sz="4" w:space="0" w:color="auto"/>
              <w:right w:val="single" w:sz="4" w:space="0" w:color="auto"/>
            </w:tcBorders>
            <w:shd w:val="clear" w:color="auto" w:fill="auto"/>
            <w:noWrap/>
            <w:hideMark/>
          </w:tcPr>
          <w:p w14:paraId="17390E9C" w14:textId="77777777" w:rsidR="005875E7" w:rsidRPr="0041262C" w:rsidRDefault="005875E7" w:rsidP="005875E7">
            <w:pPr>
              <w:pStyle w:val="E3tabletext1"/>
              <w:jc w:val="left"/>
              <w:rPr>
                <w:rFonts w:ascii="Helvetica" w:hAnsi="Helvetica" w:cs="Helvetica"/>
                <w:sz w:val="15"/>
                <w:szCs w:val="15"/>
              </w:rPr>
            </w:pPr>
            <w:r w:rsidRPr="0041262C">
              <w:rPr>
                <w:rFonts w:ascii="Helvetica" w:hAnsi="Helvetica" w:cs="Helvetica"/>
                <w:sz w:val="15"/>
                <w:szCs w:val="15"/>
              </w:rPr>
              <w:t>50 ≤ EEI &lt; 75</w:t>
            </w:r>
          </w:p>
        </w:tc>
      </w:tr>
      <w:tr w:rsidR="005875E7" w:rsidRPr="00114031" w14:paraId="7820D2ED" w14:textId="77777777" w:rsidTr="005875E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14:paraId="20085CD0" w14:textId="77777777" w:rsidR="005875E7" w:rsidRPr="0041262C" w:rsidRDefault="005875E7" w:rsidP="005875E7">
            <w:pPr>
              <w:pStyle w:val="E3tabletext1"/>
              <w:jc w:val="left"/>
              <w:rPr>
                <w:rFonts w:ascii="Helvetica" w:hAnsi="Helvetica" w:cs="Helvetica"/>
                <w:sz w:val="15"/>
                <w:szCs w:val="15"/>
              </w:rPr>
            </w:pPr>
            <w:r w:rsidRPr="0041262C">
              <w:rPr>
                <w:rFonts w:ascii="Helvetica" w:hAnsi="Helvetica" w:cs="Helvetica"/>
                <w:sz w:val="15"/>
                <w:szCs w:val="15"/>
              </w:rPr>
              <w:t>E</w:t>
            </w:r>
          </w:p>
        </w:tc>
        <w:tc>
          <w:tcPr>
            <w:tcW w:w="4961" w:type="dxa"/>
            <w:tcBorders>
              <w:top w:val="single" w:sz="4" w:space="0" w:color="auto"/>
              <w:left w:val="nil"/>
              <w:bottom w:val="single" w:sz="4" w:space="0" w:color="auto"/>
              <w:right w:val="single" w:sz="4" w:space="0" w:color="auto"/>
            </w:tcBorders>
            <w:shd w:val="clear" w:color="auto" w:fill="auto"/>
            <w:noWrap/>
            <w:hideMark/>
          </w:tcPr>
          <w:p w14:paraId="7BDD6962" w14:textId="77777777" w:rsidR="005875E7" w:rsidRPr="0041262C" w:rsidRDefault="005875E7" w:rsidP="005875E7">
            <w:pPr>
              <w:pStyle w:val="E3tabletext1"/>
              <w:jc w:val="left"/>
              <w:rPr>
                <w:rFonts w:ascii="Helvetica" w:hAnsi="Helvetica" w:cs="Helvetica"/>
                <w:sz w:val="15"/>
                <w:szCs w:val="15"/>
              </w:rPr>
            </w:pPr>
            <w:r w:rsidRPr="0041262C">
              <w:rPr>
                <w:rFonts w:ascii="Helvetica" w:hAnsi="Helvetica" w:cs="Helvetica"/>
                <w:sz w:val="15"/>
                <w:szCs w:val="15"/>
              </w:rPr>
              <w:t>75 ≤ EEI &lt; 85</w:t>
            </w:r>
          </w:p>
        </w:tc>
      </w:tr>
      <w:tr w:rsidR="005875E7" w:rsidRPr="00114031" w14:paraId="6CF83234" w14:textId="77777777" w:rsidTr="005875E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14:paraId="1E48D7E5" w14:textId="77777777" w:rsidR="005875E7" w:rsidRPr="0041262C" w:rsidRDefault="005875E7" w:rsidP="005875E7">
            <w:pPr>
              <w:pStyle w:val="E3tabletext1"/>
              <w:jc w:val="left"/>
              <w:rPr>
                <w:rFonts w:ascii="Helvetica" w:hAnsi="Helvetica" w:cs="Helvetica"/>
                <w:sz w:val="15"/>
                <w:szCs w:val="15"/>
              </w:rPr>
            </w:pPr>
            <w:r w:rsidRPr="0041262C">
              <w:rPr>
                <w:rFonts w:ascii="Helvetica" w:hAnsi="Helvetica" w:cs="Helvetica"/>
                <w:sz w:val="15"/>
                <w:szCs w:val="15"/>
              </w:rPr>
              <w:t>F</w:t>
            </w:r>
          </w:p>
        </w:tc>
        <w:tc>
          <w:tcPr>
            <w:tcW w:w="4961" w:type="dxa"/>
            <w:tcBorders>
              <w:top w:val="single" w:sz="4" w:space="0" w:color="auto"/>
              <w:left w:val="nil"/>
              <w:bottom w:val="single" w:sz="4" w:space="0" w:color="auto"/>
              <w:right w:val="single" w:sz="4" w:space="0" w:color="auto"/>
            </w:tcBorders>
            <w:shd w:val="clear" w:color="auto" w:fill="auto"/>
            <w:noWrap/>
            <w:hideMark/>
          </w:tcPr>
          <w:p w14:paraId="6B8F212A" w14:textId="77777777" w:rsidR="005875E7" w:rsidRPr="0041262C" w:rsidRDefault="005875E7" w:rsidP="005875E7">
            <w:pPr>
              <w:pStyle w:val="E3tabletext1"/>
              <w:jc w:val="left"/>
              <w:rPr>
                <w:rFonts w:ascii="Helvetica" w:hAnsi="Helvetica" w:cs="Helvetica"/>
                <w:sz w:val="15"/>
                <w:szCs w:val="15"/>
              </w:rPr>
            </w:pPr>
            <w:r w:rsidRPr="0041262C">
              <w:rPr>
                <w:rFonts w:ascii="Helvetica" w:hAnsi="Helvetica" w:cs="Helvetica"/>
                <w:sz w:val="15"/>
                <w:szCs w:val="15"/>
              </w:rPr>
              <w:t>85 ≤ EEI &lt; 95</w:t>
            </w:r>
          </w:p>
        </w:tc>
      </w:tr>
      <w:tr w:rsidR="005875E7" w:rsidRPr="00114031" w14:paraId="39EB7D56" w14:textId="77777777" w:rsidTr="005875E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14:paraId="08AAEF1A" w14:textId="77777777" w:rsidR="005875E7" w:rsidRPr="0041262C" w:rsidRDefault="005875E7" w:rsidP="005875E7">
            <w:pPr>
              <w:pStyle w:val="E3tabletext1"/>
              <w:jc w:val="left"/>
              <w:rPr>
                <w:rFonts w:ascii="Helvetica" w:hAnsi="Helvetica" w:cs="Helvetica"/>
                <w:sz w:val="15"/>
                <w:szCs w:val="15"/>
              </w:rPr>
            </w:pPr>
            <w:r w:rsidRPr="0041262C">
              <w:rPr>
                <w:rFonts w:ascii="Helvetica" w:hAnsi="Helvetica" w:cs="Helvetica"/>
                <w:sz w:val="15"/>
                <w:szCs w:val="15"/>
              </w:rPr>
              <w:t>G</w:t>
            </w:r>
          </w:p>
        </w:tc>
        <w:tc>
          <w:tcPr>
            <w:tcW w:w="4961" w:type="dxa"/>
            <w:tcBorders>
              <w:top w:val="single" w:sz="4" w:space="0" w:color="auto"/>
              <w:left w:val="nil"/>
              <w:bottom w:val="single" w:sz="4" w:space="0" w:color="auto"/>
              <w:right w:val="single" w:sz="4" w:space="0" w:color="auto"/>
            </w:tcBorders>
            <w:shd w:val="clear" w:color="auto" w:fill="auto"/>
            <w:noWrap/>
            <w:hideMark/>
          </w:tcPr>
          <w:p w14:paraId="20A375D0" w14:textId="77777777" w:rsidR="005875E7" w:rsidRPr="0041262C" w:rsidRDefault="005875E7" w:rsidP="005875E7">
            <w:pPr>
              <w:pStyle w:val="E3tabletext1"/>
              <w:jc w:val="left"/>
              <w:rPr>
                <w:rFonts w:ascii="Helvetica" w:hAnsi="Helvetica" w:cs="Helvetica"/>
                <w:sz w:val="15"/>
                <w:szCs w:val="15"/>
              </w:rPr>
            </w:pPr>
            <w:r w:rsidRPr="0041262C">
              <w:rPr>
                <w:rFonts w:ascii="Helvetica" w:hAnsi="Helvetica" w:cs="Helvetica"/>
                <w:sz w:val="15"/>
                <w:szCs w:val="15"/>
              </w:rPr>
              <w:t>95 ≤ EEI &lt; 115</w:t>
            </w:r>
          </w:p>
        </w:tc>
      </w:tr>
    </w:tbl>
    <w:p w14:paraId="31073AEC" w14:textId="77777777" w:rsidR="00781983" w:rsidRDefault="005875E7" w:rsidP="00497702">
      <w:pPr>
        <w:pStyle w:val="E3Bullets"/>
        <w:numPr>
          <w:ilvl w:val="0"/>
          <w:numId w:val="0"/>
        </w:numPr>
        <w:spacing w:before="120" w:after="240"/>
        <w:contextualSpacing w:val="0"/>
        <w:jc w:val="both"/>
      </w:pPr>
      <w:r w:rsidRPr="00AC7259">
        <w:t xml:space="preserve">There is currently no labelling of </w:t>
      </w:r>
      <w:r>
        <w:t>r</w:t>
      </w:r>
      <w:r w:rsidRPr="00AC7259">
        <w:t xml:space="preserve">efrigerated </w:t>
      </w:r>
      <w:r>
        <w:t xml:space="preserve">commercial </w:t>
      </w:r>
      <w:r w:rsidRPr="00AC7259">
        <w:t>cabinets in Australia or New Zealand</w:t>
      </w:r>
      <w:r>
        <w:t xml:space="preserve">. </w:t>
      </w:r>
      <w:r w:rsidRPr="00F96015">
        <w:t xml:space="preserve"> </w:t>
      </w:r>
      <w:r>
        <w:t xml:space="preserve">The proposal in the Consultation RIS to include mandatory labelling as part of the regulatory policy options has been modified following the consultation process.  While there was some support for mandatory labelling of refrigerated commercial cabinets from stakeholders, mandatory physical labelling was opposed, primarily due to the additional cost involved.  There was also concern that the use of physical labels on commercial cabinets would be impractical and of little benefit given that the purchasing decision or product comparison is often not made in the showroom. </w:t>
      </w:r>
    </w:p>
    <w:p w14:paraId="5C8C11F9" w14:textId="11E24895" w:rsidR="005875E7" w:rsidRDefault="005875E7" w:rsidP="00497702">
      <w:pPr>
        <w:pStyle w:val="E3Bullets"/>
        <w:numPr>
          <w:ilvl w:val="0"/>
          <w:numId w:val="0"/>
        </w:numPr>
        <w:spacing w:after="240"/>
        <w:contextualSpacing w:val="0"/>
        <w:jc w:val="both"/>
        <w:rPr>
          <w:lang w:val="en-NZ" w:eastAsia="en-NZ"/>
        </w:rPr>
      </w:pPr>
      <w:r>
        <w:rPr>
          <w:lang w:val="en-NZ" w:eastAsia="en-NZ"/>
        </w:rPr>
        <w:t>There was, however, support for voluntary electronic labelling online or in the literature. There was a clear preference for online labelling which auto-populates using the Energy Rating website.</w:t>
      </w:r>
      <w:r w:rsidRPr="009976A5">
        <w:rPr>
          <w:rStyle w:val="FootnoteReference"/>
        </w:rPr>
        <w:t xml:space="preserve"> </w:t>
      </w:r>
      <w:r w:rsidRPr="0085161C">
        <w:rPr>
          <w:rStyle w:val="FootnoteReference"/>
        </w:rPr>
        <w:footnoteReference w:id="36"/>
      </w:r>
      <w:r>
        <w:rPr>
          <w:lang w:val="en-NZ" w:eastAsia="en-NZ"/>
        </w:rPr>
        <w:t xml:space="preserve"> </w:t>
      </w:r>
    </w:p>
    <w:p w14:paraId="3BC766AE" w14:textId="0355B8D8" w:rsidR="005875E7" w:rsidRDefault="005875E7" w:rsidP="00497702">
      <w:pPr>
        <w:pStyle w:val="E3Bullets"/>
        <w:numPr>
          <w:ilvl w:val="0"/>
          <w:numId w:val="0"/>
        </w:numPr>
        <w:spacing w:before="120" w:after="240"/>
        <w:contextualSpacing w:val="0"/>
        <w:jc w:val="both"/>
        <w:rPr>
          <w:lang w:val="en-NZ" w:eastAsia="en-NZ"/>
        </w:rPr>
      </w:pPr>
      <w:r>
        <w:rPr>
          <w:lang w:val="en-NZ" w:eastAsia="en-NZ"/>
        </w:rPr>
        <w:t xml:space="preserve">The Technical Working Group recommended the introduction of voluntary online labelling, noting that some manufacturers may still choose to apply a physical label under an online energy rating information scheme (see </w:t>
      </w:r>
      <w:r w:rsidR="00803448">
        <w:rPr>
          <w:b/>
          <w:lang w:val="en-NZ" w:eastAsia="en-NZ"/>
        </w:rPr>
        <w:t>Attachment F</w:t>
      </w:r>
      <w:r>
        <w:rPr>
          <w:b/>
          <w:lang w:val="en-NZ" w:eastAsia="en-NZ"/>
        </w:rPr>
        <w:t xml:space="preserve"> </w:t>
      </w:r>
      <w:r>
        <w:rPr>
          <w:lang w:val="en-NZ" w:eastAsia="en-NZ"/>
        </w:rPr>
        <w:t>for further details).</w:t>
      </w:r>
    </w:p>
    <w:p w14:paraId="437795BD" w14:textId="47DFF132" w:rsidR="005875E7" w:rsidRDefault="005875E7" w:rsidP="00497702">
      <w:pPr>
        <w:pStyle w:val="E3Bullets"/>
        <w:numPr>
          <w:ilvl w:val="0"/>
          <w:numId w:val="0"/>
        </w:numPr>
        <w:spacing w:after="240"/>
        <w:contextualSpacing w:val="0"/>
        <w:jc w:val="both"/>
      </w:pPr>
      <w:r>
        <w:t>Voluntary online labelling has therefore been incorporated into all regulatory proposals. It is considered a cost-effective alternative to mandatory labelling. It has the advantage of being accessible online, with similar information provided to physical labels.  It would also provide consumers with:</w:t>
      </w:r>
    </w:p>
    <w:p w14:paraId="5DB85751" w14:textId="77777777" w:rsidR="005875E7" w:rsidRPr="00EB391B" w:rsidRDefault="005875E7" w:rsidP="00497702">
      <w:pPr>
        <w:pStyle w:val="E3Bullets"/>
        <w:spacing w:before="120"/>
        <w:contextualSpacing w:val="0"/>
        <w:jc w:val="both"/>
      </w:pPr>
      <w:r w:rsidRPr="00EB391B">
        <w:t>A comparative assessment of the model’s energy efficiency through a star rating scale, thereby assisting with the lack of readily available information about energy efficiency.</w:t>
      </w:r>
    </w:p>
    <w:p w14:paraId="3F00E244" w14:textId="77777777" w:rsidR="005875E7" w:rsidRPr="00EB391B" w:rsidRDefault="005875E7" w:rsidP="00781983">
      <w:pPr>
        <w:pStyle w:val="E3Bullets"/>
        <w:jc w:val="both"/>
      </w:pPr>
      <w:r w:rsidRPr="00EB391B">
        <w:lastRenderedPageBreak/>
        <w:t>The comparative energy consumption (usually kilowatt hours/year) which provides an estimate of the annual energy consumption of the appliance based on</w:t>
      </w:r>
      <w:r w:rsidR="00AF7405" w:rsidRPr="00EB391B">
        <w:t xml:space="preserve"> </w:t>
      </w:r>
      <w:r w:rsidRPr="00EB391B">
        <w:t>the tested energy consumption and information about the typical use of the appliance in the home.</w:t>
      </w:r>
    </w:p>
    <w:p w14:paraId="1FF512F0" w14:textId="77777777" w:rsidR="005875E7" w:rsidRDefault="005875E7" w:rsidP="00781983">
      <w:pPr>
        <w:pStyle w:val="E3BodyText"/>
        <w:jc w:val="both"/>
      </w:pPr>
      <w:r>
        <w:t>It is proposed that, to align with the European approach, a European style label would be adapted for use as an online star rating label in Australian and New Zealand.</w:t>
      </w:r>
    </w:p>
    <w:p w14:paraId="17E43890" w14:textId="77777777" w:rsidR="005875E7" w:rsidRPr="00A244E5" w:rsidRDefault="005875E7" w:rsidP="00781983">
      <w:pPr>
        <w:pStyle w:val="E3BodyText"/>
        <w:jc w:val="both"/>
      </w:pPr>
      <w:r w:rsidRPr="009E72D0">
        <w:t>In Europe storage cabinets have been regulated to be labelled from 1 July 2016 and display cabinets from 2017</w:t>
      </w:r>
      <w:r>
        <w:t>.</w:t>
      </w:r>
      <w:r w:rsidRPr="009E72D0">
        <w:rPr>
          <w:lang w:val="en-NZ" w:eastAsia="en-NZ"/>
        </w:rPr>
        <w:t xml:space="preserve"> </w:t>
      </w:r>
      <w:r>
        <w:rPr>
          <w:lang w:val="en-NZ" w:eastAsia="en-NZ"/>
        </w:rPr>
        <w:t xml:space="preserve"> </w:t>
      </w:r>
    </w:p>
    <w:p w14:paraId="295AA8B5" w14:textId="7534E1EE" w:rsidR="005875E7" w:rsidRPr="00FC1663" w:rsidRDefault="005875E7" w:rsidP="00781983">
      <w:pPr>
        <w:pStyle w:val="E3BodyText"/>
        <w:jc w:val="both"/>
      </w:pPr>
      <w:r>
        <w:rPr>
          <w:lang w:val="en-NZ" w:eastAsia="en-NZ"/>
        </w:rPr>
        <w:t>Some g</w:t>
      </w:r>
      <w:r w:rsidRPr="00AC7259">
        <w:rPr>
          <w:lang w:val="en-NZ" w:eastAsia="en-NZ"/>
        </w:rPr>
        <w:t xml:space="preserve">eneric examples of the European and </w:t>
      </w:r>
      <w:r>
        <w:rPr>
          <w:lang w:val="en-NZ" w:eastAsia="en-NZ"/>
        </w:rPr>
        <w:t>the online Energy R</w:t>
      </w:r>
      <w:r w:rsidRPr="00AC7259">
        <w:rPr>
          <w:lang w:val="en-NZ" w:eastAsia="en-NZ"/>
        </w:rPr>
        <w:t>ating labels are shown in</w:t>
      </w:r>
      <w:r>
        <w:rPr>
          <w:lang w:val="en-NZ" w:eastAsia="en-NZ"/>
        </w:rPr>
        <w:t xml:space="preserve"> </w:t>
      </w:r>
      <w:r w:rsidRPr="00C925B4">
        <w:rPr>
          <w:b/>
        </w:rPr>
        <w:t>Figure 1</w:t>
      </w:r>
      <w:r>
        <w:rPr>
          <w:b/>
        </w:rPr>
        <w:t>3</w:t>
      </w:r>
      <w:r w:rsidRPr="00AC7259">
        <w:rPr>
          <w:lang w:val="en-NZ" w:eastAsia="en-NZ"/>
        </w:rPr>
        <w:t xml:space="preserve">. </w:t>
      </w:r>
    </w:p>
    <w:p w14:paraId="5168D5F7" w14:textId="77777777" w:rsidR="0057327A" w:rsidRDefault="0057327A" w:rsidP="00781983">
      <w:pPr>
        <w:pStyle w:val="E3Figuretitles"/>
        <w:jc w:val="both"/>
      </w:pPr>
      <w:bookmarkStart w:id="172" w:name="_Ref449962955"/>
      <w:bookmarkStart w:id="173" w:name="_Toc449709074"/>
      <w:bookmarkStart w:id="174" w:name="_Ref449962947"/>
      <w:bookmarkStart w:id="175" w:name="_Toc494142481"/>
    </w:p>
    <w:p w14:paraId="1606EAAB" w14:textId="69B2FA4D" w:rsidR="005875E7" w:rsidRPr="00A929F6" w:rsidRDefault="005875E7" w:rsidP="00781983">
      <w:pPr>
        <w:pStyle w:val="E3Figuretitles"/>
        <w:jc w:val="both"/>
      </w:pPr>
      <w:r w:rsidRPr="00A929F6">
        <w:t xml:space="preserve">Figure </w:t>
      </w:r>
      <w:bookmarkEnd w:id="172"/>
      <w:r w:rsidRPr="00A929F6">
        <w:t>13: Generic example of proposed EU label (left) and generic Energy Rating label (right</w:t>
      </w:r>
      <w:bookmarkEnd w:id="173"/>
      <w:bookmarkEnd w:id="174"/>
      <w:bookmarkEnd w:id="175"/>
      <w:r w:rsidRPr="00A929F6">
        <w:t>).</w:t>
      </w:r>
    </w:p>
    <w:p w14:paraId="22655D77" w14:textId="77777777" w:rsidR="005875E7" w:rsidRPr="00C238F3" w:rsidRDefault="005875E7" w:rsidP="005875E7">
      <w:pPr>
        <w:pStyle w:val="ListParagraph"/>
      </w:pPr>
      <w:r w:rsidRPr="00C238F3">
        <w:rPr>
          <w:noProof/>
          <w:lang w:eastAsia="en-AU"/>
        </w:rPr>
        <w:drawing>
          <wp:inline distT="0" distB="0" distL="0" distR="0" wp14:anchorId="745D477D" wp14:editId="308B59E9">
            <wp:extent cx="2038350" cy="4065602"/>
            <wp:effectExtent l="0" t="0" r="0" b="0"/>
            <wp:docPr id="22" name="Picture 22" descr="Label shows European graduations of performance in a scale between A (lowest energy consuming) to G (highest energy consuming)." title="Example of European energy rat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43949" cy="4076769"/>
                    </a:xfrm>
                    <a:prstGeom prst="rect">
                      <a:avLst/>
                    </a:prstGeom>
                    <a:noFill/>
                    <a:ln>
                      <a:noFill/>
                    </a:ln>
                  </pic:spPr>
                </pic:pic>
              </a:graphicData>
            </a:graphic>
          </wp:inline>
        </w:drawing>
      </w:r>
      <w:r>
        <w:rPr>
          <w:noProof/>
          <w:lang w:val="en-NZ" w:eastAsia="en-NZ"/>
        </w:rPr>
        <w:t xml:space="preserve">     </w:t>
      </w:r>
      <w:r>
        <w:rPr>
          <w:noProof/>
          <w:lang w:eastAsia="en-AU"/>
        </w:rPr>
        <w:drawing>
          <wp:inline distT="0" distB="0" distL="0" distR="0" wp14:anchorId="5C46671D" wp14:editId="57740F66">
            <wp:extent cx="1790700" cy="1823258"/>
            <wp:effectExtent l="0" t="0" r="0" b="5715"/>
            <wp:docPr id="57" name="Picture 57" descr="Label shows the standard star rating format used trans-Tasman" title="Typical Australian and New Zealand Energy 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95764" cy="1828414"/>
                    </a:xfrm>
                    <a:prstGeom prst="rect">
                      <a:avLst/>
                    </a:prstGeom>
                  </pic:spPr>
                </pic:pic>
              </a:graphicData>
            </a:graphic>
          </wp:inline>
        </w:drawing>
      </w:r>
    </w:p>
    <w:p w14:paraId="25BF72AD" w14:textId="77777777" w:rsidR="005875E7" w:rsidRDefault="005875E7" w:rsidP="00AF7405">
      <w:pPr>
        <w:pStyle w:val="E3Bullets"/>
        <w:numPr>
          <w:ilvl w:val="0"/>
          <w:numId w:val="0"/>
        </w:numPr>
        <w:jc w:val="both"/>
      </w:pPr>
      <w:r>
        <w:rPr>
          <w:lang w:val="en-NZ" w:eastAsia="en-NZ"/>
        </w:rPr>
        <w:t>It is proposed that the online Energy R</w:t>
      </w:r>
      <w:r w:rsidRPr="0085161C">
        <w:rPr>
          <w:lang w:val="en-NZ" w:eastAsia="en-NZ"/>
        </w:rPr>
        <w:t xml:space="preserve">ating label </w:t>
      </w:r>
      <w:r>
        <w:rPr>
          <w:lang w:val="en-NZ" w:eastAsia="en-NZ"/>
        </w:rPr>
        <w:t xml:space="preserve">be used </w:t>
      </w:r>
      <w:r w:rsidRPr="0085161C">
        <w:rPr>
          <w:lang w:val="en-NZ" w:eastAsia="en-NZ"/>
        </w:rPr>
        <w:t xml:space="preserve">instead of the </w:t>
      </w:r>
      <w:r>
        <w:rPr>
          <w:lang w:val="en-NZ" w:eastAsia="en-NZ"/>
        </w:rPr>
        <w:t xml:space="preserve">European </w:t>
      </w:r>
      <w:r w:rsidRPr="0085161C">
        <w:rPr>
          <w:lang w:val="en-NZ" w:eastAsia="en-NZ"/>
        </w:rPr>
        <w:t>grading A to G, because this is familiar to buyers in Au</w:t>
      </w:r>
      <w:r>
        <w:rPr>
          <w:lang w:val="en-NZ" w:eastAsia="en-NZ"/>
        </w:rPr>
        <w:t>stralia</w:t>
      </w:r>
      <w:r w:rsidRPr="0085161C">
        <w:rPr>
          <w:lang w:val="en-NZ" w:eastAsia="en-NZ"/>
        </w:rPr>
        <w:t xml:space="preserve"> and N</w:t>
      </w:r>
      <w:r>
        <w:rPr>
          <w:lang w:val="en-NZ" w:eastAsia="en-NZ"/>
        </w:rPr>
        <w:t xml:space="preserve">ew </w:t>
      </w:r>
      <w:r w:rsidRPr="0085161C">
        <w:rPr>
          <w:lang w:val="en-NZ" w:eastAsia="en-NZ"/>
        </w:rPr>
        <w:t>Z</w:t>
      </w:r>
      <w:r>
        <w:rPr>
          <w:lang w:val="en-NZ" w:eastAsia="en-NZ"/>
        </w:rPr>
        <w:t>ealand</w:t>
      </w:r>
      <w:r w:rsidRPr="0085161C">
        <w:rPr>
          <w:lang w:val="en-NZ" w:eastAsia="en-NZ"/>
        </w:rPr>
        <w:t xml:space="preserve">. </w:t>
      </w:r>
      <w:r>
        <w:rPr>
          <w:lang w:val="en-NZ" w:eastAsia="en-NZ"/>
        </w:rPr>
        <w:t xml:space="preserve">The style of label used in Europe would need to be adapted for use.  </w:t>
      </w:r>
      <w:r w:rsidRPr="0085161C">
        <w:rPr>
          <w:lang w:val="en-NZ" w:eastAsia="en-NZ"/>
        </w:rPr>
        <w:t>The actual number of stars could be equivalent to the highest grade that the appliance meets</w:t>
      </w:r>
      <w:r>
        <w:rPr>
          <w:lang w:val="en-NZ" w:eastAsia="en-NZ"/>
        </w:rPr>
        <w:t xml:space="preserve"> (for example, </w:t>
      </w:r>
      <w:r w:rsidRPr="0085161C">
        <w:rPr>
          <w:lang w:val="en-NZ" w:eastAsia="en-NZ"/>
        </w:rPr>
        <w:t>6 stars for a</w:t>
      </w:r>
      <w:r>
        <w:rPr>
          <w:lang w:val="en-NZ" w:eastAsia="en-NZ"/>
        </w:rPr>
        <w:t>n A</w:t>
      </w:r>
      <w:r w:rsidRPr="0085161C">
        <w:rPr>
          <w:lang w:val="en-NZ" w:eastAsia="en-NZ"/>
        </w:rPr>
        <w:t xml:space="preserve"> grade</w:t>
      </w:r>
      <w:r>
        <w:rPr>
          <w:lang w:val="en-NZ" w:eastAsia="en-NZ"/>
        </w:rPr>
        <w:t xml:space="preserve"> </w:t>
      </w:r>
      <w:r w:rsidRPr="0085161C">
        <w:rPr>
          <w:lang w:val="en-NZ" w:eastAsia="en-NZ"/>
        </w:rPr>
        <w:t>model</w:t>
      </w:r>
      <w:r>
        <w:rPr>
          <w:lang w:val="en-NZ" w:eastAsia="en-NZ"/>
        </w:rPr>
        <w:t>)</w:t>
      </w:r>
      <w:r w:rsidRPr="0085161C">
        <w:rPr>
          <w:lang w:val="en-NZ" w:eastAsia="en-NZ"/>
        </w:rPr>
        <w:t xml:space="preserve">. </w:t>
      </w:r>
    </w:p>
    <w:p w14:paraId="3C9F2586" w14:textId="77777777" w:rsidR="005875E7" w:rsidRDefault="005875E7" w:rsidP="00AF7405">
      <w:pPr>
        <w:pStyle w:val="E3Bullets"/>
        <w:numPr>
          <w:ilvl w:val="0"/>
          <w:numId w:val="0"/>
        </w:numPr>
        <w:jc w:val="both"/>
      </w:pPr>
    </w:p>
    <w:p w14:paraId="406F54E1" w14:textId="77777777" w:rsidR="005875E7" w:rsidRDefault="005875E7" w:rsidP="00AF7405">
      <w:pPr>
        <w:pStyle w:val="E3Bullets"/>
        <w:numPr>
          <w:ilvl w:val="0"/>
          <w:numId w:val="0"/>
        </w:numPr>
        <w:jc w:val="both"/>
        <w:rPr>
          <w:lang w:val="en-NZ" w:eastAsia="en-NZ"/>
        </w:rPr>
      </w:pPr>
      <w:r w:rsidRPr="0085161C">
        <w:rPr>
          <w:lang w:val="en-NZ" w:eastAsia="en-NZ"/>
        </w:rPr>
        <w:t>Actual label specifications</w:t>
      </w:r>
      <w:r>
        <w:rPr>
          <w:lang w:val="en-NZ" w:eastAsia="en-NZ"/>
        </w:rPr>
        <w:t xml:space="preserve">, including the algorithm to translate the European EEI rating into a star rating, will </w:t>
      </w:r>
      <w:r w:rsidRPr="0085161C">
        <w:rPr>
          <w:lang w:val="en-NZ" w:eastAsia="en-NZ"/>
        </w:rPr>
        <w:t xml:space="preserve">be developed for Australia and New Zealand by government and industry </w:t>
      </w:r>
      <w:r>
        <w:rPr>
          <w:lang w:val="en-NZ" w:eastAsia="en-NZ"/>
        </w:rPr>
        <w:t>experts and regulators.</w:t>
      </w:r>
      <w:bookmarkStart w:id="176" w:name="_Toc449708771"/>
    </w:p>
    <w:p w14:paraId="0A18155B" w14:textId="77777777" w:rsidR="005875E7" w:rsidRPr="00882D63" w:rsidRDefault="005875E7" w:rsidP="00AF7405">
      <w:pPr>
        <w:pStyle w:val="E3Bullets"/>
        <w:numPr>
          <w:ilvl w:val="0"/>
          <w:numId w:val="0"/>
        </w:numPr>
        <w:jc w:val="both"/>
      </w:pPr>
    </w:p>
    <w:p w14:paraId="58F800D3" w14:textId="77777777" w:rsidR="005875E7" w:rsidRPr="00AF7405" w:rsidRDefault="005875E7" w:rsidP="00AF7405">
      <w:pPr>
        <w:pStyle w:val="E3Heading2"/>
      </w:pPr>
      <w:bookmarkStart w:id="177" w:name="_Toc494897969"/>
      <w:bookmarkStart w:id="178" w:name="_Toc494955765"/>
      <w:bookmarkStart w:id="179" w:name="_Toc494959573"/>
      <w:bookmarkStart w:id="180" w:name="_Toc494972699"/>
      <w:bookmarkStart w:id="181" w:name="_Toc494973886"/>
      <w:bookmarkStart w:id="182" w:name="_Toc494974575"/>
      <w:bookmarkStart w:id="183" w:name="_Toc500151802"/>
      <w:r w:rsidRPr="00AF7405">
        <w:t>Summary of regulatory options</w:t>
      </w:r>
      <w:bookmarkEnd w:id="177"/>
      <w:bookmarkEnd w:id="178"/>
      <w:bookmarkEnd w:id="179"/>
      <w:bookmarkEnd w:id="180"/>
      <w:bookmarkEnd w:id="181"/>
      <w:bookmarkEnd w:id="182"/>
      <w:bookmarkEnd w:id="183"/>
    </w:p>
    <w:p w14:paraId="3D448468" w14:textId="77777777" w:rsidR="00AF7405" w:rsidRDefault="00AF7405" w:rsidP="005875E7">
      <w:pPr>
        <w:pStyle w:val="E3Heading2"/>
        <w:spacing w:after="240"/>
        <w:rPr>
          <w:rFonts w:ascii="Georgia" w:hAnsi="Georgia"/>
          <w:i/>
          <w:sz w:val="24"/>
        </w:rPr>
      </w:pPr>
      <w:bookmarkStart w:id="184" w:name="_Toc494897970"/>
      <w:bookmarkStart w:id="185" w:name="_Toc494955766"/>
      <w:bookmarkStart w:id="186" w:name="_Toc494959574"/>
      <w:bookmarkStart w:id="187" w:name="_Toc494972700"/>
      <w:bookmarkStart w:id="188" w:name="_Toc494973887"/>
      <w:bookmarkStart w:id="189" w:name="_Toc494974576"/>
    </w:p>
    <w:p w14:paraId="089856E3" w14:textId="77777777" w:rsidR="005875E7" w:rsidRPr="002E2FF4" w:rsidRDefault="005875E7" w:rsidP="006C0C1F">
      <w:pPr>
        <w:pStyle w:val="E3Heading2"/>
      </w:pPr>
      <w:bookmarkStart w:id="190" w:name="_Toc500151803"/>
      <w:r w:rsidRPr="002E2FF4">
        <w:t>Option 2</w:t>
      </w:r>
      <w:bookmarkEnd w:id="184"/>
      <w:bookmarkEnd w:id="185"/>
      <w:bookmarkEnd w:id="186"/>
      <w:bookmarkEnd w:id="187"/>
      <w:bookmarkEnd w:id="188"/>
      <w:bookmarkEnd w:id="189"/>
      <w:bookmarkEnd w:id="190"/>
    </w:p>
    <w:p w14:paraId="5749F26B" w14:textId="77777777" w:rsidR="005875E7" w:rsidRPr="0041262C" w:rsidRDefault="005875E7" w:rsidP="005875E7">
      <w:pPr>
        <w:spacing w:after="240"/>
        <w:jc w:val="both"/>
        <w:rPr>
          <w:rFonts w:cs="Helvetica"/>
          <w:b/>
          <w:sz w:val="24"/>
        </w:rPr>
      </w:pPr>
      <w:r w:rsidRPr="0041262C">
        <w:rPr>
          <w:rFonts w:cs="Helvetica"/>
          <w:b/>
          <w:sz w:val="24"/>
        </w:rPr>
        <w:t xml:space="preserve">Adopt ISO and EN test methods for display, storage and related cabinets. Develop Australasian MEPS to affect the least efficient 10% of models per group. Voluntary labelling is added. Implemented in </w:t>
      </w:r>
      <w:bookmarkEnd w:id="176"/>
      <w:r w:rsidRPr="0041262C">
        <w:rPr>
          <w:rFonts w:cs="Helvetica"/>
          <w:b/>
          <w:sz w:val="24"/>
        </w:rPr>
        <w:t>2019.</w:t>
      </w:r>
    </w:p>
    <w:p w14:paraId="4AE5D64D" w14:textId="77777777" w:rsidR="005875E7" w:rsidRPr="00AC7259" w:rsidRDefault="005875E7" w:rsidP="00AF7405">
      <w:pPr>
        <w:pStyle w:val="E3Bullets"/>
        <w:numPr>
          <w:ilvl w:val="0"/>
          <w:numId w:val="0"/>
        </w:numPr>
        <w:jc w:val="both"/>
      </w:pPr>
      <w:r w:rsidRPr="00AC7259">
        <w:t>Option 2 proposes Australasian-specific MEPS set at an amalgamated group level to affect the least efficient 10% of cabinet models per group</w:t>
      </w:r>
      <w:r>
        <w:t>, with</w:t>
      </w:r>
      <w:r w:rsidRPr="00AC7259">
        <w:t xml:space="preserve"> </w:t>
      </w:r>
      <w:r>
        <w:t xml:space="preserve">voluntary online </w:t>
      </w:r>
      <w:r w:rsidRPr="00AC7259">
        <w:t xml:space="preserve">labelling is </w:t>
      </w:r>
      <w:r>
        <w:t xml:space="preserve">added (from 2019). </w:t>
      </w:r>
    </w:p>
    <w:p w14:paraId="6E5B233C" w14:textId="77777777" w:rsidR="005875E7" w:rsidRPr="00AC7259" w:rsidRDefault="005875E7" w:rsidP="00AF7405">
      <w:pPr>
        <w:pStyle w:val="E3Bullets"/>
        <w:numPr>
          <w:ilvl w:val="0"/>
          <w:numId w:val="0"/>
        </w:numPr>
        <w:jc w:val="both"/>
      </w:pPr>
    </w:p>
    <w:p w14:paraId="396397C7" w14:textId="77777777" w:rsidR="005875E7" w:rsidRPr="00AC7259" w:rsidRDefault="005875E7" w:rsidP="00AF7405">
      <w:pPr>
        <w:pStyle w:val="E3Bullets"/>
        <w:numPr>
          <w:ilvl w:val="0"/>
          <w:numId w:val="0"/>
        </w:numPr>
        <w:jc w:val="both"/>
        <w:rPr>
          <w:b/>
          <w:highlight w:val="yellow"/>
        </w:rPr>
      </w:pPr>
      <w:r w:rsidRPr="00AC7259">
        <w:t xml:space="preserve">MEPS levels would be devised per group using model-weighted registration data, where this is available, from the E3 registration database and estimates from European data where there is no local data.  This approach would accord with the group-level MEPS method being applied in Europe and make it easier to transition to EC MEPS levels in the future should the need arise. </w:t>
      </w:r>
    </w:p>
    <w:p w14:paraId="3CC2852F" w14:textId="77777777" w:rsidR="005875E7" w:rsidRPr="00AF7405" w:rsidRDefault="005875E7" w:rsidP="006C0C1F">
      <w:pPr>
        <w:pStyle w:val="E3Heading2"/>
      </w:pPr>
      <w:bookmarkStart w:id="191" w:name="_Toc494897971"/>
      <w:bookmarkStart w:id="192" w:name="_Toc494955767"/>
      <w:bookmarkStart w:id="193" w:name="_Toc494959575"/>
      <w:bookmarkStart w:id="194" w:name="_Toc494972701"/>
      <w:bookmarkStart w:id="195" w:name="_Toc494973888"/>
      <w:bookmarkStart w:id="196" w:name="_Toc494974577"/>
      <w:bookmarkStart w:id="197" w:name="_Toc500151804"/>
      <w:bookmarkStart w:id="198" w:name="_Toc449708772"/>
      <w:r w:rsidRPr="00AF7405">
        <w:t>Option 3</w:t>
      </w:r>
      <w:bookmarkEnd w:id="191"/>
      <w:bookmarkEnd w:id="192"/>
      <w:bookmarkEnd w:id="193"/>
      <w:bookmarkEnd w:id="194"/>
      <w:bookmarkEnd w:id="195"/>
      <w:bookmarkEnd w:id="196"/>
      <w:bookmarkEnd w:id="197"/>
    </w:p>
    <w:p w14:paraId="0D7C3864" w14:textId="77777777" w:rsidR="005875E7" w:rsidRPr="0041262C" w:rsidRDefault="005875E7" w:rsidP="005875E7">
      <w:pPr>
        <w:spacing w:after="240"/>
        <w:jc w:val="both"/>
        <w:rPr>
          <w:rFonts w:cs="Helvetica"/>
          <w:b/>
          <w:sz w:val="24"/>
        </w:rPr>
      </w:pPr>
      <w:r w:rsidRPr="0041262C">
        <w:rPr>
          <w:rFonts w:cs="Helvetica"/>
          <w:b/>
          <w:sz w:val="24"/>
        </w:rPr>
        <w:t>Adopt ISO and EN test methods for display, storage and related cabinets. Develop Australasian MEPS to affect the least efficient 30% of models per group. Online energy rating information is added. Implemented in 2019.</w:t>
      </w:r>
      <w:bookmarkEnd w:id="198"/>
    </w:p>
    <w:p w14:paraId="718BFF69" w14:textId="77777777" w:rsidR="005875E7" w:rsidRPr="00AC7259" w:rsidRDefault="005875E7" w:rsidP="00AF7405">
      <w:pPr>
        <w:pStyle w:val="E3Bullets"/>
        <w:numPr>
          <w:ilvl w:val="0"/>
          <w:numId w:val="0"/>
        </w:numPr>
        <w:jc w:val="both"/>
      </w:pPr>
      <w:r w:rsidRPr="00AC7259">
        <w:t xml:space="preserve">Option 3 is the same as option 2 </w:t>
      </w:r>
      <w:r>
        <w:t xml:space="preserve">(including online energy rating information) </w:t>
      </w:r>
      <w:r w:rsidRPr="00AC7259">
        <w:t>except Australasian-specific MEPS would be set to affect a greater percentage of the least efficient models – 30% rather than 10% as per option 2</w:t>
      </w:r>
      <w:r>
        <w:t xml:space="preserve"> (from 2019).</w:t>
      </w:r>
      <w:r w:rsidRPr="00AC7259">
        <w:t xml:space="preserve"> </w:t>
      </w:r>
    </w:p>
    <w:p w14:paraId="22D249FF" w14:textId="77777777" w:rsidR="005875E7" w:rsidRPr="00AF7405" w:rsidRDefault="005875E7" w:rsidP="006C0C1F">
      <w:pPr>
        <w:pStyle w:val="E3Heading2"/>
      </w:pPr>
      <w:bookmarkStart w:id="199" w:name="_Toc494897972"/>
      <w:bookmarkStart w:id="200" w:name="_Toc494955768"/>
      <w:bookmarkStart w:id="201" w:name="_Toc494959576"/>
      <w:bookmarkStart w:id="202" w:name="_Toc494972702"/>
      <w:bookmarkStart w:id="203" w:name="_Toc494973889"/>
      <w:bookmarkStart w:id="204" w:name="_Toc494974578"/>
      <w:bookmarkStart w:id="205" w:name="_Toc500151805"/>
      <w:bookmarkStart w:id="206" w:name="_Toc449708773"/>
      <w:r w:rsidRPr="00AF7405">
        <w:t>Option 4</w:t>
      </w:r>
      <w:bookmarkEnd w:id="199"/>
      <w:bookmarkEnd w:id="200"/>
      <w:bookmarkEnd w:id="201"/>
      <w:bookmarkEnd w:id="202"/>
      <w:bookmarkEnd w:id="203"/>
      <w:bookmarkEnd w:id="204"/>
      <w:bookmarkEnd w:id="205"/>
      <w:r w:rsidRPr="00AF7405">
        <w:t xml:space="preserve"> </w:t>
      </w:r>
    </w:p>
    <w:p w14:paraId="786D7002" w14:textId="77777777" w:rsidR="005875E7" w:rsidRPr="0041262C" w:rsidRDefault="005875E7" w:rsidP="005875E7">
      <w:pPr>
        <w:spacing w:after="240"/>
        <w:jc w:val="both"/>
        <w:rPr>
          <w:rFonts w:cs="Helvetica"/>
          <w:b/>
          <w:sz w:val="24"/>
        </w:rPr>
      </w:pPr>
      <w:r w:rsidRPr="0041262C">
        <w:rPr>
          <w:rFonts w:cs="Helvetica"/>
          <w:b/>
          <w:sz w:val="24"/>
        </w:rPr>
        <w:t>Adopt ISO and EN test methods for display, storage and related cabinets. Develop Australasian MEPS to align with EC MEPS levels. Voluntary labelling is added.</w:t>
      </w:r>
      <w:bookmarkEnd w:id="206"/>
      <w:r w:rsidRPr="0041262C">
        <w:rPr>
          <w:rFonts w:cs="Helvetica"/>
          <w:b/>
          <w:sz w:val="24"/>
        </w:rPr>
        <w:t xml:space="preserve"> Implemented in 2019.</w:t>
      </w:r>
    </w:p>
    <w:p w14:paraId="479F9157" w14:textId="5302AB6D" w:rsidR="00AF7405" w:rsidRDefault="005875E7" w:rsidP="00781983">
      <w:pPr>
        <w:pStyle w:val="E3Bullets"/>
        <w:numPr>
          <w:ilvl w:val="0"/>
          <w:numId w:val="0"/>
        </w:numPr>
        <w:jc w:val="both"/>
      </w:pPr>
      <w:r w:rsidRPr="00AC7259">
        <w:t xml:space="preserve">Option 4 is the same as options 2 and 3 </w:t>
      </w:r>
      <w:r>
        <w:t xml:space="preserve">(including online energy rating information) </w:t>
      </w:r>
      <w:r w:rsidRPr="00AC7259">
        <w:t xml:space="preserve">except it proposes </w:t>
      </w:r>
      <w:r>
        <w:t xml:space="preserve">to align Australasian MEPS levels with </w:t>
      </w:r>
      <w:r w:rsidRPr="00AC7259">
        <w:t>EC MEPS levels</w:t>
      </w:r>
      <w:r>
        <w:t xml:space="preserve"> (see </w:t>
      </w:r>
      <w:r w:rsidRPr="006978B6">
        <w:rPr>
          <w:b/>
        </w:rPr>
        <w:t>tables 8a</w:t>
      </w:r>
      <w:r>
        <w:t xml:space="preserve"> and </w:t>
      </w:r>
      <w:r w:rsidRPr="006978B6">
        <w:rPr>
          <w:b/>
        </w:rPr>
        <w:t xml:space="preserve">table 8b </w:t>
      </w:r>
      <w:r>
        <w:t>for details)</w:t>
      </w:r>
      <w:r w:rsidRPr="00AC7259">
        <w:t xml:space="preserve"> per group</w:t>
      </w:r>
      <w:r>
        <w:t xml:space="preserve"> (from 2019).</w:t>
      </w:r>
      <w:bookmarkStart w:id="207" w:name="_Toc494897973"/>
      <w:bookmarkStart w:id="208" w:name="_Toc494955769"/>
      <w:bookmarkStart w:id="209" w:name="_Toc494959577"/>
      <w:bookmarkStart w:id="210" w:name="_Toc494972703"/>
      <w:bookmarkStart w:id="211" w:name="_Toc494973890"/>
      <w:bookmarkStart w:id="212" w:name="_Toc494974579"/>
      <w:bookmarkStart w:id="213" w:name="_Toc449708774"/>
    </w:p>
    <w:p w14:paraId="1C05BF49" w14:textId="77777777" w:rsidR="00497702" w:rsidRPr="00781983" w:rsidRDefault="00497702" w:rsidP="00781983">
      <w:pPr>
        <w:pStyle w:val="E3Bullets"/>
        <w:numPr>
          <w:ilvl w:val="0"/>
          <w:numId w:val="0"/>
        </w:numPr>
        <w:jc w:val="both"/>
      </w:pPr>
    </w:p>
    <w:p w14:paraId="065EE224" w14:textId="63B91027" w:rsidR="00AF7405" w:rsidRPr="00AF7405" w:rsidRDefault="005875E7" w:rsidP="006C0C1F">
      <w:pPr>
        <w:pStyle w:val="E3Heading2"/>
      </w:pPr>
      <w:bookmarkStart w:id="214" w:name="_Toc500151806"/>
      <w:r w:rsidRPr="00AF7405">
        <w:t>Option 5</w:t>
      </w:r>
      <w:bookmarkStart w:id="215" w:name="_Toc494897974"/>
      <w:bookmarkStart w:id="216" w:name="_Toc494955770"/>
      <w:bookmarkStart w:id="217" w:name="_Toc494959578"/>
      <w:bookmarkStart w:id="218" w:name="_Toc494972704"/>
      <w:bookmarkStart w:id="219" w:name="_Toc494973891"/>
      <w:bookmarkStart w:id="220" w:name="_Toc494974580"/>
      <w:bookmarkEnd w:id="207"/>
      <w:bookmarkEnd w:id="208"/>
      <w:bookmarkEnd w:id="209"/>
      <w:bookmarkEnd w:id="210"/>
      <w:bookmarkEnd w:id="211"/>
      <w:bookmarkEnd w:id="212"/>
      <w:bookmarkEnd w:id="214"/>
    </w:p>
    <w:p w14:paraId="011622AC" w14:textId="77777777" w:rsidR="005875E7" w:rsidRDefault="00AF7405" w:rsidP="00AF7405">
      <w:pPr>
        <w:pStyle w:val="E3Heading4"/>
      </w:pPr>
      <w:r>
        <w:rPr>
          <w:i/>
        </w:rPr>
        <w:t xml:space="preserve"> </w:t>
      </w:r>
      <w:r w:rsidR="005875E7" w:rsidRPr="0041262C">
        <w:t>Non-Regulatory Options</w:t>
      </w:r>
      <w:bookmarkEnd w:id="213"/>
      <w:bookmarkEnd w:id="215"/>
      <w:bookmarkEnd w:id="216"/>
      <w:bookmarkEnd w:id="217"/>
      <w:bookmarkEnd w:id="218"/>
      <w:bookmarkEnd w:id="219"/>
      <w:bookmarkEnd w:id="220"/>
      <w:r w:rsidR="005875E7" w:rsidRPr="0041262C">
        <w:t xml:space="preserve"> </w:t>
      </w:r>
    </w:p>
    <w:p w14:paraId="3F37638C" w14:textId="23D6D682" w:rsidR="005875E7" w:rsidRPr="00AC7259" w:rsidRDefault="005875E7" w:rsidP="00AF7405">
      <w:pPr>
        <w:pStyle w:val="E3Bullets"/>
        <w:numPr>
          <w:ilvl w:val="0"/>
          <w:numId w:val="0"/>
        </w:numPr>
        <w:spacing w:after="240"/>
        <w:jc w:val="both"/>
      </w:pPr>
      <w:r w:rsidRPr="00AC7259">
        <w:t>Option 5 looks at possible non-regulatory options for refrigerated commercial cabinets</w:t>
      </w:r>
      <w:r>
        <w:t>.</w:t>
      </w:r>
      <w:r w:rsidRPr="00AC7259">
        <w:t xml:space="preserve"> The aim of any intervention would be to increase the average energy efficiency of refrigerated cabinets sold into the Australian and New Zealand markets. None of the </w:t>
      </w:r>
      <w:r>
        <w:t xml:space="preserve">non-regulatory </w:t>
      </w:r>
      <w:r w:rsidRPr="00AC7259">
        <w:lastRenderedPageBreak/>
        <w:t xml:space="preserve">options were modelled </w:t>
      </w:r>
      <w:r>
        <w:t xml:space="preserve">as part of the </w:t>
      </w:r>
      <w:r w:rsidRPr="00AC7259">
        <w:t>cost-benefit analysis</w:t>
      </w:r>
      <w:r>
        <w:t xml:space="preserve"> but are discussed in the impacts analysis in the next section.</w:t>
      </w:r>
    </w:p>
    <w:p w14:paraId="4AF2C8DA" w14:textId="77777777" w:rsidR="005875E7" w:rsidRPr="00AC7259" w:rsidRDefault="005875E7" w:rsidP="00AF7405">
      <w:pPr>
        <w:pStyle w:val="E3Bullets"/>
        <w:numPr>
          <w:ilvl w:val="0"/>
          <w:numId w:val="0"/>
        </w:numPr>
        <w:ind w:left="720"/>
        <w:jc w:val="both"/>
      </w:pPr>
    </w:p>
    <w:p w14:paraId="5F10289D" w14:textId="77777777" w:rsidR="005875E7" w:rsidRPr="00AC7259" w:rsidRDefault="005875E7" w:rsidP="00AF7405">
      <w:pPr>
        <w:pStyle w:val="E3Bullets"/>
        <w:numPr>
          <w:ilvl w:val="0"/>
          <w:numId w:val="0"/>
        </w:numPr>
        <w:contextualSpacing w:val="0"/>
        <w:jc w:val="both"/>
      </w:pPr>
      <w:r w:rsidRPr="00AC7259">
        <w:t>Non-regulatory interventions could include:</w:t>
      </w:r>
    </w:p>
    <w:p w14:paraId="47442664" w14:textId="77777777" w:rsidR="005875E7" w:rsidRPr="00EB391B" w:rsidRDefault="005875E7" w:rsidP="00EB391B">
      <w:pPr>
        <w:pStyle w:val="E3Bullets"/>
        <w:contextualSpacing w:val="0"/>
      </w:pPr>
      <w:r w:rsidRPr="00EB391B">
        <w:t xml:space="preserve">Incentive schemes. </w:t>
      </w:r>
    </w:p>
    <w:p w14:paraId="1C81A8D1" w14:textId="77777777" w:rsidR="005875E7" w:rsidRPr="00EB391B" w:rsidRDefault="005875E7" w:rsidP="00EB391B">
      <w:pPr>
        <w:pStyle w:val="E3Bullets"/>
        <w:contextualSpacing w:val="0"/>
      </w:pPr>
      <w:r w:rsidRPr="00EB391B">
        <w:t>Voluntary efficiency Standards, certification or labelling programs.</w:t>
      </w:r>
    </w:p>
    <w:p w14:paraId="35360F47" w14:textId="77777777" w:rsidR="005875E7" w:rsidRPr="00EB391B" w:rsidRDefault="005875E7" w:rsidP="00EB391B">
      <w:pPr>
        <w:pStyle w:val="E3Bullets"/>
      </w:pPr>
      <w:r w:rsidRPr="00EB391B">
        <w:t>Buyer education campaigns.</w:t>
      </w:r>
    </w:p>
    <w:p w14:paraId="77C1F714" w14:textId="77777777" w:rsidR="00A97BF6" w:rsidRPr="008654C5" w:rsidRDefault="00A97BF6" w:rsidP="00AF7405">
      <w:pPr>
        <w:pStyle w:val="E3Bullets"/>
        <w:numPr>
          <w:ilvl w:val="0"/>
          <w:numId w:val="0"/>
        </w:numPr>
        <w:ind w:left="1003"/>
        <w:jc w:val="both"/>
      </w:pPr>
      <w:bookmarkStart w:id="221" w:name="_Toc447533588"/>
    </w:p>
    <w:p w14:paraId="4CE37503" w14:textId="77777777" w:rsidR="005875E7" w:rsidRPr="006C0C1F" w:rsidRDefault="005875E7" w:rsidP="006C0C1F">
      <w:pPr>
        <w:pStyle w:val="E3Heading4"/>
      </w:pPr>
      <w:r w:rsidRPr="006C0C1F">
        <w:t>Incentive schemes</w:t>
      </w:r>
      <w:bookmarkEnd w:id="221"/>
    </w:p>
    <w:p w14:paraId="4D0CCBD5" w14:textId="77777777" w:rsidR="005875E7" w:rsidRPr="00AC7259" w:rsidRDefault="005875E7" w:rsidP="00781983">
      <w:pPr>
        <w:spacing w:before="240"/>
        <w:jc w:val="both"/>
        <w:rPr>
          <w:sz w:val="24"/>
        </w:rPr>
      </w:pPr>
      <w:r w:rsidRPr="00AC7259">
        <w:rPr>
          <w:sz w:val="24"/>
        </w:rPr>
        <w:t xml:space="preserve">Incentive schemes have been developed for refrigeration-cycle appliances in Europe and, recently, in Australia. </w:t>
      </w:r>
      <w:r>
        <w:rPr>
          <w:sz w:val="24"/>
        </w:rPr>
        <w:t xml:space="preserve">These schemes provide an alternative to regulatory action in Australia only as </w:t>
      </w:r>
      <w:r w:rsidRPr="00AC7259">
        <w:rPr>
          <w:sz w:val="24"/>
        </w:rPr>
        <w:t>New Zealand does not have an</w:t>
      </w:r>
      <w:r>
        <w:rPr>
          <w:sz w:val="24"/>
        </w:rPr>
        <w:t>y</w:t>
      </w:r>
      <w:r w:rsidRPr="00AC7259">
        <w:rPr>
          <w:sz w:val="24"/>
        </w:rPr>
        <w:t xml:space="preserve"> incentive scheme</w:t>
      </w:r>
      <w:r>
        <w:rPr>
          <w:sz w:val="24"/>
        </w:rPr>
        <w:t>s</w:t>
      </w:r>
      <w:r w:rsidRPr="00AC7259">
        <w:rPr>
          <w:sz w:val="24"/>
        </w:rPr>
        <w:t>.</w:t>
      </w:r>
    </w:p>
    <w:p w14:paraId="7EF478C0" w14:textId="77777777" w:rsidR="005875E7" w:rsidRPr="00AC7259" w:rsidRDefault="005875E7" w:rsidP="00781983">
      <w:pPr>
        <w:jc w:val="both"/>
        <w:rPr>
          <w:sz w:val="24"/>
        </w:rPr>
      </w:pPr>
      <w:r w:rsidRPr="00AC7259">
        <w:rPr>
          <w:sz w:val="24"/>
        </w:rPr>
        <w:t>In Europe, the Energy Technology List (ETL) lists the most energy efficient products and allows buyers of listed equipment to claim an Enhanced Capital Allowance (ECA) in their tax return.</w:t>
      </w:r>
      <w:r w:rsidRPr="00AC7259">
        <w:rPr>
          <w:sz w:val="24"/>
          <w:vertAlign w:val="superscript"/>
        </w:rPr>
        <w:footnoteReference w:id="37"/>
      </w:r>
      <w:r w:rsidRPr="00AC7259">
        <w:rPr>
          <w:sz w:val="24"/>
        </w:rPr>
        <w:t xml:space="preserve"> Buyers can claim the entire ECA in the first year after purchase (rather than over four years based on the depreciated value of the product).</w:t>
      </w:r>
    </w:p>
    <w:p w14:paraId="5F206BA5" w14:textId="77777777" w:rsidR="005875E7" w:rsidRPr="00AC7259" w:rsidRDefault="005875E7" w:rsidP="00781983">
      <w:pPr>
        <w:pStyle w:val="E3Bullets"/>
        <w:numPr>
          <w:ilvl w:val="0"/>
          <w:numId w:val="0"/>
        </w:numPr>
        <w:spacing w:after="240"/>
        <w:jc w:val="both"/>
      </w:pPr>
      <w:r w:rsidRPr="00AC7259">
        <w:t>In Australia, the Emissions Reduction Fund (developed by the Australian Department of the Environment) now provides opportunities for crediting abatement associated with the installation of high efficiency refrigerated display cabinets. It is designed to reward businesses that go the extra mile by installing and using highly efficient appliances. Businesses or their agents can register their project with the Clean Energy Regulator and receive Australian Carbon Credit Units for abatement achieved beyond business as usual by installing high efficiency units.</w:t>
      </w:r>
    </w:p>
    <w:p w14:paraId="79CE818A" w14:textId="77777777" w:rsidR="005875E7" w:rsidRPr="0041262C" w:rsidRDefault="005875E7" w:rsidP="00781983">
      <w:pPr>
        <w:pStyle w:val="E3Heading4"/>
        <w:jc w:val="both"/>
      </w:pPr>
      <w:bookmarkStart w:id="222" w:name="_Toc447533589"/>
      <w:r w:rsidRPr="0041262C">
        <w:t>Voluntary efficiency standards, codes, certification or labelling programmes</w:t>
      </w:r>
      <w:bookmarkEnd w:id="222"/>
    </w:p>
    <w:p w14:paraId="024C7ADB" w14:textId="77777777" w:rsidR="005875E7" w:rsidRPr="00AC7259" w:rsidRDefault="005875E7" w:rsidP="00781983">
      <w:pPr>
        <w:pStyle w:val="E3BodyText"/>
        <w:jc w:val="both"/>
      </w:pPr>
      <w:r w:rsidRPr="00AC7259">
        <w:t xml:space="preserve">Voluntary efficiency standards, certification schemes, high efficiency endorsement labelling or dis-endorsement programmes rely on equipment suppliers agreeing to meet certain criteria in the absence of regulation.  </w:t>
      </w:r>
      <w:r>
        <w:t>High v</w:t>
      </w:r>
      <w:r w:rsidRPr="00AC7259">
        <w:t>oluntary efficiency levels can subsequently be used to develop rebates, incentives, white certificate schemes or similar.</w:t>
      </w:r>
    </w:p>
    <w:p w14:paraId="4B11D071" w14:textId="77777777" w:rsidR="005875E7" w:rsidRDefault="005875E7" w:rsidP="00781983">
      <w:pPr>
        <w:pStyle w:val="E3BodyText"/>
        <w:jc w:val="both"/>
      </w:pPr>
      <w:r>
        <w:t xml:space="preserve">Suppliers </w:t>
      </w:r>
      <w:r w:rsidRPr="00AC7259">
        <w:t xml:space="preserve">rely on up-to-date </w:t>
      </w:r>
      <w:r>
        <w:t>s</w:t>
      </w:r>
      <w:r w:rsidRPr="00AC7259">
        <w:t>tandards or industry-accepted methods of testing, declarations of performance and calculations to prove that they qualify.</w:t>
      </w:r>
    </w:p>
    <w:p w14:paraId="05765154" w14:textId="77777777" w:rsidR="005875E7" w:rsidRPr="00AC7259" w:rsidRDefault="005875E7" w:rsidP="003616D8">
      <w:pPr>
        <w:pStyle w:val="E3BodyText"/>
        <w:spacing w:after="240"/>
        <w:jc w:val="both"/>
      </w:pPr>
      <w:r>
        <w:t xml:space="preserve">Feedback on the Consultation RIS provided strong support for voluntary online labelling (see the Consultation Section). All regulatory options, including the new option 4, </w:t>
      </w:r>
      <w:r>
        <w:lastRenderedPageBreak/>
        <w:t>incorporate online energy rating information rather than the mandatory labelling proposed in the Consultation RIS.</w:t>
      </w:r>
    </w:p>
    <w:p w14:paraId="271AB891" w14:textId="77777777" w:rsidR="005875E7" w:rsidRPr="0041262C" w:rsidRDefault="005875E7" w:rsidP="00781983">
      <w:pPr>
        <w:pStyle w:val="E3Heading4"/>
        <w:jc w:val="both"/>
      </w:pPr>
      <w:bookmarkStart w:id="223" w:name="_Toc447533590"/>
      <w:r w:rsidRPr="0041262C">
        <w:t>Buyer education programmes</w:t>
      </w:r>
      <w:bookmarkEnd w:id="223"/>
    </w:p>
    <w:p w14:paraId="47275D3B" w14:textId="77777777" w:rsidR="005875E7" w:rsidRDefault="005875E7" w:rsidP="00781983">
      <w:pPr>
        <w:pStyle w:val="E3BodyText"/>
        <w:jc w:val="both"/>
      </w:pPr>
      <w:r w:rsidRPr="00AC7259">
        <w:t>Any non-regulatory intervention would need to involve a buyer education campaign. To be effective such a campaign would need to be ongoing and target buyers across the range of purchase avenues.</w:t>
      </w:r>
      <w:r>
        <w:t xml:space="preserve"> </w:t>
      </w:r>
      <w:r w:rsidRPr="00AC7259">
        <w:t xml:space="preserve">Feedback from submissions on the product profile suggested that buyer education was important and would be needed anyway with a labelling regime. </w:t>
      </w:r>
    </w:p>
    <w:p w14:paraId="4C307002" w14:textId="66E45E9E" w:rsidR="004E162B" w:rsidRDefault="005875E7" w:rsidP="00781983">
      <w:pPr>
        <w:jc w:val="both"/>
        <w:rPr>
          <w:rFonts w:eastAsia="Calibri" w:cs="Georgia"/>
          <w:color w:val="000000"/>
          <w:sz w:val="24"/>
          <w:szCs w:val="19"/>
          <w:lang w:val="en-US"/>
        </w:rPr>
      </w:pPr>
      <w:r w:rsidRPr="006C0C1F">
        <w:rPr>
          <w:rFonts w:eastAsia="Calibri" w:cs="Georgia"/>
          <w:color w:val="000000"/>
          <w:sz w:val="24"/>
          <w:szCs w:val="19"/>
          <w:lang w:val="en-US"/>
        </w:rPr>
        <w:t>However given existing market barriers and issues with the coverage of AS 1731, the ability to influence every buyer through education may be limited</w:t>
      </w:r>
      <w:r w:rsidR="004E162B">
        <w:rPr>
          <w:rFonts w:eastAsia="Calibri" w:cs="Georgia"/>
          <w:color w:val="000000"/>
          <w:sz w:val="24"/>
          <w:szCs w:val="19"/>
          <w:lang w:val="en-US"/>
        </w:rPr>
        <w:t>.</w:t>
      </w:r>
    </w:p>
    <w:p w14:paraId="620EC4EA" w14:textId="77777777" w:rsidR="004E162B" w:rsidRDefault="004E162B">
      <w:pPr>
        <w:spacing w:after="0" w:line="240" w:lineRule="auto"/>
        <w:rPr>
          <w:rFonts w:eastAsia="Calibri" w:cs="Georgia"/>
          <w:color w:val="000000"/>
          <w:sz w:val="24"/>
          <w:szCs w:val="19"/>
          <w:lang w:val="en-US"/>
        </w:rPr>
      </w:pPr>
      <w:r>
        <w:rPr>
          <w:rFonts w:eastAsia="Calibri" w:cs="Georgia"/>
          <w:color w:val="000000"/>
          <w:sz w:val="24"/>
          <w:szCs w:val="19"/>
          <w:lang w:val="en-US"/>
        </w:rPr>
        <w:br w:type="page"/>
      </w:r>
    </w:p>
    <w:p w14:paraId="3B69DA31" w14:textId="77777777" w:rsidR="005875E7" w:rsidRDefault="005875E7" w:rsidP="00781983">
      <w:pPr>
        <w:jc w:val="both"/>
        <w:rPr>
          <w:rFonts w:eastAsia="Calibri" w:cs="Georgia"/>
          <w:color w:val="000000"/>
          <w:sz w:val="24"/>
          <w:szCs w:val="19"/>
          <w:lang w:val="en-US"/>
        </w:rPr>
      </w:pPr>
    </w:p>
    <w:p w14:paraId="6BA525F6" w14:textId="77777777" w:rsidR="004E162B" w:rsidRPr="006C0C1F" w:rsidRDefault="004E162B" w:rsidP="00781983">
      <w:pPr>
        <w:jc w:val="both"/>
        <w:rPr>
          <w:rFonts w:eastAsia="Calibri" w:cs="Georgia"/>
          <w:color w:val="000000"/>
          <w:sz w:val="24"/>
          <w:szCs w:val="19"/>
          <w:lang w:val="en-US"/>
        </w:rPr>
      </w:pPr>
    </w:p>
    <w:p w14:paraId="72F6C49B" w14:textId="16CE4D9F" w:rsidR="006C0C1F" w:rsidRDefault="006C0C1F" w:rsidP="00382D94">
      <w:pPr>
        <w:pStyle w:val="E3ChapterTitle"/>
        <w:numPr>
          <w:ilvl w:val="0"/>
          <w:numId w:val="72"/>
        </w:numPr>
      </w:pPr>
      <w:bookmarkStart w:id="224" w:name="_Toc500151807"/>
      <w:r>
        <w:rPr>
          <w:noProof/>
          <w:lang w:eastAsia="en-AU"/>
        </w:rPr>
        <w:drawing>
          <wp:anchor distT="0" distB="0" distL="114300" distR="114300" simplePos="0" relativeHeight="251658246" behindDoc="1" locked="1" layoutInCell="1" allowOverlap="1" wp14:anchorId="12E27FAC" wp14:editId="22EE06D8">
            <wp:simplePos x="0" y="0"/>
            <wp:positionH relativeFrom="margin">
              <wp:posOffset>-342900</wp:posOffset>
            </wp:positionH>
            <wp:positionV relativeFrom="margin">
              <wp:align>top</wp:align>
            </wp:positionV>
            <wp:extent cx="6124575" cy="1800225"/>
            <wp:effectExtent l="0" t="0" r="9525" b="9525"/>
            <wp:wrapNone/>
            <wp:docPr id="23"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25"/>
                    <a:stretch>
                      <a:fillRect/>
                    </a:stretch>
                  </pic:blipFill>
                  <pic:spPr>
                    <a:xfrm>
                      <a:off x="0" y="0"/>
                      <a:ext cx="6124575" cy="1800225"/>
                    </a:xfrm>
                    <a:prstGeom prst="rect">
                      <a:avLst/>
                    </a:prstGeom>
                  </pic:spPr>
                </pic:pic>
              </a:graphicData>
            </a:graphic>
          </wp:anchor>
        </w:drawing>
      </w:r>
      <w:r>
        <w:t>Impacts</w:t>
      </w:r>
      <w:bookmarkEnd w:id="224"/>
    </w:p>
    <w:p w14:paraId="140570F6" w14:textId="2AB54183" w:rsidR="00EB391B" w:rsidRDefault="00EB391B" w:rsidP="006C0C1F">
      <w:pPr>
        <w:pStyle w:val="E3BodyText"/>
      </w:pPr>
    </w:p>
    <w:p w14:paraId="7FE175B3" w14:textId="31B1FB60" w:rsidR="006C0C1F" w:rsidRDefault="006C0C1F" w:rsidP="00781983">
      <w:pPr>
        <w:pStyle w:val="E3BodyText"/>
        <w:jc w:val="both"/>
      </w:pPr>
      <w:r>
        <w:t>This section identifies the groups of stakeholders likely to be affected by each option and outline the associated benefits and costs</w:t>
      </w:r>
      <w:r>
        <w:rPr>
          <w:rStyle w:val="FootnoteReference"/>
        </w:rPr>
        <w:footnoteReference w:id="38"/>
      </w:r>
      <w:r>
        <w:t>, as well as the distribution of these costs and benefits. In analysing each option, this RIS will assess the impact on those issues identified in the problem section, and whether the identified objectives can be achieved.</w:t>
      </w:r>
    </w:p>
    <w:p w14:paraId="09929E2F" w14:textId="77A47EA5" w:rsidR="006C0C1F" w:rsidRDefault="006C0C1F" w:rsidP="00781983">
      <w:pPr>
        <w:pStyle w:val="E3BodyText"/>
        <w:jc w:val="both"/>
      </w:pPr>
      <w:r>
        <w:t xml:space="preserve">The full methodology and analysis, including modelling assumptions and an assessment of the regulatory cost burden on Australian companies, is available at </w:t>
      </w:r>
      <w:r w:rsidR="00803448">
        <w:rPr>
          <w:b/>
        </w:rPr>
        <w:t>Attachment C</w:t>
      </w:r>
      <w:r>
        <w:t>.</w:t>
      </w:r>
    </w:p>
    <w:p w14:paraId="3926601C" w14:textId="77777777" w:rsidR="00781983" w:rsidRDefault="00781983" w:rsidP="00781983">
      <w:pPr>
        <w:pStyle w:val="E3BodyText"/>
        <w:jc w:val="both"/>
      </w:pPr>
    </w:p>
    <w:p w14:paraId="58CB1962" w14:textId="77777777" w:rsidR="006C0C1F" w:rsidRPr="0041262C" w:rsidRDefault="006C0C1F" w:rsidP="00781983">
      <w:pPr>
        <w:pStyle w:val="E3Heading2"/>
        <w:jc w:val="both"/>
      </w:pPr>
      <w:bookmarkStart w:id="225" w:name="_Toc500151808"/>
      <w:r w:rsidRPr="0041262C">
        <w:t>Option 1: Business as Usual (BAU)</w:t>
      </w:r>
      <w:bookmarkEnd w:id="225"/>
    </w:p>
    <w:p w14:paraId="0299BA2B" w14:textId="77777777" w:rsidR="006C0C1F" w:rsidRDefault="006C0C1F" w:rsidP="00781983">
      <w:pPr>
        <w:pStyle w:val="E3BodyText"/>
        <w:jc w:val="both"/>
      </w:pPr>
      <w:r>
        <w:t xml:space="preserve">Under BAU there is no change to the current requirements for refrigerated commercial cabinets and no policy intervention. This means that the energy efficiency benefits still continue from the existing requirements. </w:t>
      </w:r>
    </w:p>
    <w:p w14:paraId="5E87B6DF" w14:textId="77777777" w:rsidR="006C0C1F" w:rsidRDefault="006C0C1F" w:rsidP="00781983">
      <w:pPr>
        <w:pStyle w:val="E3BodyText"/>
        <w:jc w:val="both"/>
      </w:pPr>
      <w:r>
        <w:t xml:space="preserve">A BAU efficiency improvement of 1.0% pa (based on sales weighted efficiency from 2008 – 2012 from actual sales data) is assumed.  This improvement in efficiency can be expected to continue, given ongoing changes in technology and increased user awareness of the cost of energy and international demand for greenhouse gas reductions.  However, growth in energy use will outstrip BAU efficiency improvements so that energy consumption will continue to grow, albeit gradually, in both Australian and New Zealand under the BAU scenario. </w:t>
      </w:r>
    </w:p>
    <w:p w14:paraId="177F6C26" w14:textId="665CB3D7" w:rsidR="006C0C1F" w:rsidRPr="0074153A" w:rsidRDefault="006C0C1F" w:rsidP="00781983">
      <w:pPr>
        <w:pStyle w:val="E3BodyText"/>
        <w:spacing w:after="114"/>
        <w:jc w:val="both"/>
      </w:pPr>
      <w:r>
        <w:t>It is worth noting that this option, when compared to the other options below, would see Australian and New Zealand consumers experiencing lost energy savings of up to 1,361 GWh per year</w:t>
      </w:r>
      <w:r>
        <w:rPr>
          <w:rStyle w:val="FootnoteReference"/>
        </w:rPr>
        <w:footnoteReference w:id="39"/>
      </w:r>
      <w:r>
        <w:t>, along with the lost opportunity to reduce CO2 emissions. In addition:</w:t>
      </w:r>
    </w:p>
    <w:p w14:paraId="4507DEC7" w14:textId="77777777" w:rsidR="006C0C1F" w:rsidRDefault="006C0C1F" w:rsidP="00781983">
      <w:pPr>
        <w:pStyle w:val="E3Bullets"/>
        <w:autoSpaceDE/>
        <w:autoSpaceDN/>
        <w:adjustRightInd/>
        <w:spacing w:before="120" w:after="113" w:line="276" w:lineRule="auto"/>
        <w:ind w:left="714" w:hanging="357"/>
        <w:jc w:val="both"/>
        <w:rPr>
          <w:lang w:val="en-NZ"/>
        </w:rPr>
      </w:pPr>
      <w:r>
        <w:rPr>
          <w:lang w:val="en-NZ"/>
        </w:rPr>
        <w:t xml:space="preserve">Suppliers and regulators will continue to encounter problems with the complex and outdated AS 1731 test standard. </w:t>
      </w:r>
    </w:p>
    <w:p w14:paraId="59FA4F6F" w14:textId="77777777" w:rsidR="006C0C1F" w:rsidRDefault="006C0C1F" w:rsidP="006C0C1F">
      <w:pPr>
        <w:pStyle w:val="E3Bullets"/>
        <w:autoSpaceDE/>
        <w:autoSpaceDN/>
        <w:adjustRightInd/>
        <w:spacing w:before="120" w:after="113" w:line="276" w:lineRule="auto"/>
        <w:ind w:left="714" w:hanging="357"/>
        <w:jc w:val="both"/>
      </w:pPr>
      <w:r>
        <w:lastRenderedPageBreak/>
        <w:t xml:space="preserve">AS 1731 will continue to provide incomplete coverage of the refrigerated commercial cabinet market, with an increasing share of that market not subject to compliance requirements. </w:t>
      </w:r>
    </w:p>
    <w:p w14:paraId="72C638AD" w14:textId="77777777" w:rsidR="006C0C1F" w:rsidRDefault="006C0C1F" w:rsidP="00781983">
      <w:pPr>
        <w:pStyle w:val="E3Bullets"/>
        <w:autoSpaceDE/>
        <w:autoSpaceDN/>
        <w:adjustRightInd/>
        <w:spacing w:before="120" w:after="113" w:line="276" w:lineRule="auto"/>
        <w:ind w:left="714" w:hanging="357"/>
        <w:jc w:val="both"/>
      </w:pPr>
      <w:r>
        <w:t>Some products will continue to have ‘no value” – as they are not allocated MEPS levels under AS 1731, they do not have to comply with efficiency levels and are likely to remain unregistered. The industry will continue to perceive this as being unfair, there being no technical reason why some cabinet types remain unregulated when they provide a similar function and have similar characteristics to regulated types. Unregulated cabinet types will continue to use significant amounts of energy in both countries.</w:t>
      </w:r>
    </w:p>
    <w:p w14:paraId="39793F82" w14:textId="77777777" w:rsidR="006C0C1F" w:rsidRDefault="006C0C1F" w:rsidP="00781983">
      <w:pPr>
        <w:pStyle w:val="E3Bullets"/>
        <w:autoSpaceDE/>
        <w:autoSpaceDN/>
        <w:adjustRightInd/>
        <w:spacing w:before="120" w:after="113" w:line="276" w:lineRule="auto"/>
        <w:ind w:left="714" w:hanging="357"/>
        <w:jc w:val="both"/>
      </w:pPr>
      <w:r>
        <w:t>Unless MEPS levels are more stringent, demand on energy from the market will continue to significantly outstrip any normal predicted improvements in technology. Regulating a wider product base combined with increased MEPS levels helps to slow energy demand.</w:t>
      </w:r>
      <w:r>
        <w:rPr>
          <w:lang w:val="en-NZ"/>
        </w:rPr>
        <w:t xml:space="preserve"> </w:t>
      </w:r>
    </w:p>
    <w:p w14:paraId="7B861F09" w14:textId="3602F82D" w:rsidR="006C0C1F" w:rsidRPr="00781983" w:rsidRDefault="006C0C1F" w:rsidP="00781983">
      <w:pPr>
        <w:pStyle w:val="E3Bullets"/>
        <w:autoSpaceDE/>
        <w:autoSpaceDN/>
        <w:adjustRightInd/>
        <w:spacing w:after="113" w:line="276" w:lineRule="auto"/>
        <w:ind w:left="643" w:hanging="360"/>
        <w:jc w:val="both"/>
      </w:pPr>
      <w:r>
        <w:rPr>
          <w:lang w:val="en-NZ"/>
        </w:rPr>
        <w:t>The absence of labelling and lack of comparative information about energy efficiency will continue to prevent consumers from assessing the relative energy efficiency of different display cabinets. As a result they may incur higher running costs than necessary.</w:t>
      </w:r>
    </w:p>
    <w:p w14:paraId="2AF7A9D2" w14:textId="4706F385" w:rsidR="00781983" w:rsidRPr="00DC72E7" w:rsidRDefault="00781983" w:rsidP="00781983">
      <w:pPr>
        <w:pStyle w:val="E3Bullets"/>
        <w:numPr>
          <w:ilvl w:val="0"/>
          <w:numId w:val="0"/>
        </w:numPr>
        <w:autoSpaceDE/>
        <w:autoSpaceDN/>
        <w:adjustRightInd/>
        <w:spacing w:after="113" w:line="276" w:lineRule="auto"/>
        <w:ind w:left="643"/>
        <w:jc w:val="both"/>
      </w:pPr>
    </w:p>
    <w:p w14:paraId="6361A10A" w14:textId="77777777" w:rsidR="006C0C1F" w:rsidRPr="00681F91" w:rsidRDefault="006C0C1F" w:rsidP="00781983">
      <w:pPr>
        <w:pStyle w:val="E3Heading2"/>
        <w:jc w:val="both"/>
      </w:pPr>
      <w:bookmarkStart w:id="226" w:name="_Toc500151809"/>
      <w:r w:rsidRPr="0041262C">
        <w:t>Option 2</w:t>
      </w:r>
      <w:bookmarkEnd w:id="226"/>
      <w:r w:rsidRPr="0041262C">
        <w:t xml:space="preserve"> </w:t>
      </w:r>
    </w:p>
    <w:p w14:paraId="336BF7BE" w14:textId="77777777" w:rsidR="006C0C1F" w:rsidRPr="0041262C" w:rsidRDefault="006C0C1F" w:rsidP="00781983">
      <w:pPr>
        <w:spacing w:after="240"/>
        <w:jc w:val="both"/>
        <w:rPr>
          <w:rFonts w:cs="Helvetica"/>
          <w:b/>
          <w:sz w:val="24"/>
        </w:rPr>
      </w:pPr>
      <w:r w:rsidRPr="0041262C">
        <w:rPr>
          <w:rFonts w:cs="Helvetica"/>
          <w:b/>
          <w:sz w:val="24"/>
        </w:rPr>
        <w:t>Adopt ISO and EN test methods for display, storage and related cabinets. Develop Australasian MEPS to affect the least efficient 10% of models per group. Voluntary labelling is added. Implemented in 2019.</w:t>
      </w:r>
    </w:p>
    <w:p w14:paraId="500BF835" w14:textId="77777777" w:rsidR="006C0C1F" w:rsidRDefault="006C0C1F" w:rsidP="00781983">
      <w:pPr>
        <w:pStyle w:val="E3BodyText"/>
        <w:jc w:val="both"/>
      </w:pPr>
      <w:r w:rsidRPr="00AC7259">
        <w:t>Option 2 proposes Australasian-specific MEPS set at an amalgamated group level to affect the least efficient 10% of cabinet models per group</w:t>
      </w:r>
      <w:r>
        <w:t>, with</w:t>
      </w:r>
      <w:r w:rsidRPr="00AC7259">
        <w:t xml:space="preserve"> </w:t>
      </w:r>
      <w:r>
        <w:t xml:space="preserve">voluntary online </w:t>
      </w:r>
      <w:r w:rsidRPr="00AC7259">
        <w:t xml:space="preserve">labelling is </w:t>
      </w:r>
      <w:r>
        <w:t xml:space="preserve">added (from 2019). </w:t>
      </w:r>
    </w:p>
    <w:p w14:paraId="40ED0DFE" w14:textId="1DD4AF0B" w:rsidR="006C0C1F" w:rsidRPr="006C0C1F" w:rsidRDefault="006C0C1F" w:rsidP="00781983">
      <w:pPr>
        <w:pStyle w:val="E3BodyText"/>
        <w:jc w:val="both"/>
      </w:pPr>
      <w:r w:rsidRPr="00AC7259">
        <w:t xml:space="preserve">MEPS levels would be devised per group using model-weighted registration data, where this is available, from the E3 registration database and estimates from European data where there is no local data.  This approach would accord with the group-level MEPS method being applied in Europe and make it easier to transition to EC MEPS levels in the future should the need arise. </w:t>
      </w:r>
    </w:p>
    <w:p w14:paraId="613E9E51" w14:textId="77777777" w:rsidR="006C0C1F" w:rsidRPr="00CA6FCF" w:rsidRDefault="006C0C1F" w:rsidP="00781983">
      <w:pPr>
        <w:pStyle w:val="E3BodyText"/>
        <w:jc w:val="both"/>
      </w:pPr>
      <w:r w:rsidRPr="00CA6FCF">
        <w:t>Option 2 proposes the following changes to BAU:</w:t>
      </w:r>
    </w:p>
    <w:p w14:paraId="4544C4B1" w14:textId="77777777" w:rsidR="00CA6FCF" w:rsidRDefault="006C0C1F" w:rsidP="00781983">
      <w:pPr>
        <w:pStyle w:val="E3BodyText"/>
        <w:numPr>
          <w:ilvl w:val="0"/>
          <w:numId w:val="69"/>
        </w:numPr>
        <w:jc w:val="both"/>
      </w:pPr>
      <w:r w:rsidRPr="00CA6FCF">
        <w:t xml:space="preserve">Adopt ISO and EN test methods for display, storage and related cabinets. </w:t>
      </w:r>
    </w:p>
    <w:p w14:paraId="6E5F4925" w14:textId="77777777" w:rsidR="00CA6FCF" w:rsidRDefault="006C0C1F" w:rsidP="00781983">
      <w:pPr>
        <w:pStyle w:val="E3BodyText"/>
        <w:numPr>
          <w:ilvl w:val="0"/>
          <w:numId w:val="69"/>
        </w:numPr>
        <w:jc w:val="both"/>
      </w:pPr>
      <w:r w:rsidRPr="00CA6FCF">
        <w:t>Introduce Australasian MEPS to effect the least ef</w:t>
      </w:r>
      <w:r w:rsidR="00CA6FCF">
        <w:t>ficient 10% of models per group</w:t>
      </w:r>
    </w:p>
    <w:p w14:paraId="464CD669" w14:textId="77777777" w:rsidR="00CA6FCF" w:rsidRDefault="006C0C1F" w:rsidP="00781983">
      <w:pPr>
        <w:pStyle w:val="E3BodyText"/>
        <w:numPr>
          <w:ilvl w:val="0"/>
          <w:numId w:val="69"/>
        </w:numPr>
        <w:jc w:val="both"/>
      </w:pPr>
      <w:r w:rsidRPr="00CA6FCF">
        <w:t>Introduce voluntary online energy efficiency labelling</w:t>
      </w:r>
    </w:p>
    <w:p w14:paraId="622EB07B" w14:textId="77777777" w:rsidR="00CA6FCF" w:rsidRDefault="006C0C1F" w:rsidP="00781983">
      <w:pPr>
        <w:pStyle w:val="E3BodyText"/>
        <w:numPr>
          <w:ilvl w:val="0"/>
          <w:numId w:val="69"/>
        </w:numPr>
        <w:jc w:val="both"/>
      </w:pPr>
      <w:r w:rsidRPr="00CA6FCF">
        <w:t>Deemed to comply registration pathway</w:t>
      </w:r>
    </w:p>
    <w:p w14:paraId="054788D8" w14:textId="6FB3DCE8" w:rsidR="006C0C1F" w:rsidRPr="00CA6FCF" w:rsidRDefault="006C0C1F" w:rsidP="00781983">
      <w:pPr>
        <w:pStyle w:val="E3BodyText"/>
        <w:numPr>
          <w:ilvl w:val="0"/>
          <w:numId w:val="69"/>
        </w:numPr>
        <w:jc w:val="both"/>
      </w:pPr>
      <w:r w:rsidRPr="00CA6FCF">
        <w:t xml:space="preserve">Implementation December 2019. </w:t>
      </w:r>
    </w:p>
    <w:p w14:paraId="66DBD439" w14:textId="77777777" w:rsidR="00E10F09" w:rsidRDefault="00E10F09" w:rsidP="00781983">
      <w:pPr>
        <w:pStyle w:val="E3BodyText"/>
        <w:jc w:val="both"/>
      </w:pPr>
    </w:p>
    <w:p w14:paraId="7D68E5A2" w14:textId="77777777" w:rsidR="00E10F09" w:rsidRDefault="00E10F09" w:rsidP="00781983">
      <w:pPr>
        <w:pStyle w:val="E3BodyText"/>
        <w:jc w:val="both"/>
      </w:pPr>
    </w:p>
    <w:p w14:paraId="24597C32" w14:textId="16816769" w:rsidR="006C0C1F" w:rsidRDefault="006C0C1F" w:rsidP="00781983">
      <w:pPr>
        <w:pStyle w:val="E3BodyText"/>
        <w:jc w:val="both"/>
        <w:rPr>
          <w:b/>
        </w:rPr>
      </w:pPr>
      <w:r>
        <w:t>Each regulatory option have advantages and disadvantages compared to BAU:</w:t>
      </w:r>
    </w:p>
    <w:p w14:paraId="17FE46B5" w14:textId="77777777" w:rsidR="006C0C1F" w:rsidRDefault="006C0C1F" w:rsidP="00781983">
      <w:pPr>
        <w:pStyle w:val="E3Heading1"/>
        <w:spacing w:before="240" w:after="240"/>
        <w:jc w:val="both"/>
        <w:rPr>
          <w:rFonts w:ascii="Georgia" w:hAnsi="Georgia" w:cs="Times New Roman"/>
          <w:b w:val="0"/>
          <w:sz w:val="24"/>
          <w:szCs w:val="24"/>
        </w:rPr>
      </w:pPr>
      <w:bookmarkStart w:id="227" w:name="_Toc500151810"/>
      <w:r>
        <w:rPr>
          <w:rFonts w:ascii="Georgia" w:hAnsi="Georgia" w:cs="Times New Roman"/>
          <w:b w:val="0"/>
          <w:sz w:val="24"/>
          <w:szCs w:val="24"/>
        </w:rPr>
        <w:t>Advantages of Option 2:</w:t>
      </w:r>
      <w:bookmarkEnd w:id="227"/>
    </w:p>
    <w:p w14:paraId="10EB5E9B" w14:textId="77777777" w:rsidR="006C0C1F" w:rsidRDefault="006C0C1F" w:rsidP="00781983">
      <w:pPr>
        <w:pStyle w:val="E3Bullets"/>
        <w:jc w:val="both"/>
        <w:rPr>
          <w:b/>
        </w:rPr>
      </w:pPr>
      <w:r>
        <w:t xml:space="preserve">Clarification and simplification of regulatory requirements that align with international testing, cabinet classification and methods to determine MEPS levels. </w:t>
      </w:r>
    </w:p>
    <w:p w14:paraId="30991369" w14:textId="77777777" w:rsidR="006C0C1F" w:rsidRDefault="006C0C1F" w:rsidP="00781983">
      <w:pPr>
        <w:pStyle w:val="E3Bullets"/>
        <w:jc w:val="both"/>
        <w:rPr>
          <w:b/>
        </w:rPr>
      </w:pPr>
      <w:r>
        <w:t xml:space="preserve">Removal of “grey” areas of scope of current regulations by including refrigerated storage cabinets and aligning scope of regulations with international standards. </w:t>
      </w:r>
    </w:p>
    <w:p w14:paraId="7B8A7856" w14:textId="77777777" w:rsidR="006C0C1F" w:rsidRPr="006C0C1F" w:rsidRDefault="006C0C1F" w:rsidP="00781983">
      <w:pPr>
        <w:pStyle w:val="E3Bullets"/>
        <w:jc w:val="both"/>
        <w:rPr>
          <w:b/>
        </w:rPr>
      </w:pPr>
      <w:r w:rsidRPr="006C0C1F">
        <w:t>It will also enable broader families of cabinet models to be designated and registered, which will reduce the number of registrations by an estimated 20%.</w:t>
      </w:r>
    </w:p>
    <w:p w14:paraId="0A37693E" w14:textId="77777777" w:rsidR="006C0C1F" w:rsidRDefault="006C0C1F" w:rsidP="00781983">
      <w:pPr>
        <w:pStyle w:val="E3Bullets"/>
        <w:jc w:val="both"/>
        <w:rPr>
          <w:b/>
        </w:rPr>
      </w:pPr>
      <w:r>
        <w:t>Reduced compliance costs to suppliers of low volume products through deemed to comply compliance pathway</w:t>
      </w:r>
    </w:p>
    <w:p w14:paraId="0ACD1584" w14:textId="77777777" w:rsidR="006C0C1F" w:rsidRDefault="006C0C1F" w:rsidP="00781983">
      <w:pPr>
        <w:pStyle w:val="E3Bullets"/>
        <w:jc w:val="both"/>
        <w:rPr>
          <w:b/>
        </w:rPr>
      </w:pPr>
      <w:r>
        <w:t>Lower overall cost of commercial refrigeration to consumers and improved consumer information regarding energy consumption through online labelling</w:t>
      </w:r>
    </w:p>
    <w:p w14:paraId="78BF1FF3" w14:textId="77777777" w:rsidR="006C0C1F" w:rsidRPr="003001F0" w:rsidRDefault="006C0C1F" w:rsidP="00781983">
      <w:pPr>
        <w:pStyle w:val="E3Bullets"/>
        <w:jc w:val="both"/>
        <w:rPr>
          <w:b/>
        </w:rPr>
      </w:pPr>
      <w:r>
        <w:t xml:space="preserve">Additional energy savings and greenhouse gas savings </w:t>
      </w:r>
    </w:p>
    <w:p w14:paraId="5739938E" w14:textId="77777777" w:rsidR="006C0C1F" w:rsidRDefault="006C0C1F" w:rsidP="00781983">
      <w:pPr>
        <w:pStyle w:val="E3Heading1"/>
        <w:spacing w:before="240" w:after="240"/>
        <w:jc w:val="both"/>
        <w:rPr>
          <w:rFonts w:ascii="Georgia" w:hAnsi="Georgia" w:cs="Times New Roman"/>
          <w:b w:val="0"/>
          <w:sz w:val="24"/>
          <w:szCs w:val="24"/>
        </w:rPr>
      </w:pPr>
      <w:bookmarkStart w:id="228" w:name="_Toc500151811"/>
      <w:r>
        <w:rPr>
          <w:rFonts w:ascii="Georgia" w:hAnsi="Georgia" w:cs="Times New Roman"/>
          <w:b w:val="0"/>
          <w:sz w:val="24"/>
          <w:szCs w:val="24"/>
        </w:rPr>
        <w:t>Dis-advantages of Option 2:</w:t>
      </w:r>
      <w:bookmarkEnd w:id="228"/>
    </w:p>
    <w:p w14:paraId="56DE862D" w14:textId="77777777" w:rsidR="006C0C1F" w:rsidRDefault="006C0C1F" w:rsidP="00781983">
      <w:pPr>
        <w:pStyle w:val="E3Bullets"/>
        <w:jc w:val="both"/>
        <w:rPr>
          <w:b/>
        </w:rPr>
      </w:pPr>
      <w:r>
        <w:t xml:space="preserve">An overall increase in costs to suppliers due to introducing MEPS to currently unregulated refrigerated storage cabinets   </w:t>
      </w:r>
    </w:p>
    <w:p w14:paraId="08366FCF" w14:textId="77777777" w:rsidR="00781983" w:rsidRDefault="00781983" w:rsidP="00781983">
      <w:pPr>
        <w:pStyle w:val="E3Heading2"/>
        <w:jc w:val="both"/>
      </w:pPr>
    </w:p>
    <w:p w14:paraId="31CE5327" w14:textId="70B91A64" w:rsidR="006C0C1F" w:rsidRPr="00F056E3" w:rsidRDefault="006C0C1F" w:rsidP="00781983">
      <w:pPr>
        <w:pStyle w:val="E3Heading2"/>
        <w:jc w:val="both"/>
      </w:pPr>
      <w:bookmarkStart w:id="229" w:name="_Toc500151812"/>
      <w:r w:rsidRPr="00F056E3">
        <w:t>Impacts on Market Participants</w:t>
      </w:r>
      <w:bookmarkEnd w:id="229"/>
    </w:p>
    <w:p w14:paraId="5358BABC" w14:textId="243F32BD" w:rsidR="006C0C1F" w:rsidRDefault="006C0C1F" w:rsidP="00781983">
      <w:pPr>
        <w:pStyle w:val="E3BodyText"/>
        <w:jc w:val="both"/>
        <w:rPr>
          <w:b/>
        </w:rPr>
      </w:pPr>
      <w:r w:rsidRPr="00764FA1">
        <w:t xml:space="preserve">The impact on </w:t>
      </w:r>
      <w:r>
        <w:t xml:space="preserve">each </w:t>
      </w:r>
      <w:r w:rsidRPr="00764FA1">
        <w:t>participant in the refrigerated commercial cabinet</w:t>
      </w:r>
      <w:r>
        <w:t xml:space="preserve"> market from option 2 are </w:t>
      </w:r>
      <w:r w:rsidR="00781983">
        <w:t>as follows:</w:t>
      </w:r>
    </w:p>
    <w:p w14:paraId="0E00A7A6" w14:textId="77777777" w:rsidR="006C0C1F" w:rsidRPr="00F056E3" w:rsidRDefault="006C0C1F" w:rsidP="00781983">
      <w:pPr>
        <w:pStyle w:val="E3Heading4"/>
        <w:jc w:val="both"/>
      </w:pPr>
      <w:r w:rsidRPr="00F056E3">
        <w:t>Suppliers</w:t>
      </w:r>
    </w:p>
    <w:p w14:paraId="20AA76B9" w14:textId="37C0F7B4" w:rsidR="006C0C1F" w:rsidRDefault="006C0C1F" w:rsidP="00781983">
      <w:pPr>
        <w:pStyle w:val="E3Bullets"/>
        <w:numPr>
          <w:ilvl w:val="0"/>
          <w:numId w:val="0"/>
        </w:numPr>
        <w:spacing w:before="120" w:line="276" w:lineRule="auto"/>
        <w:jc w:val="both"/>
      </w:pPr>
      <w:r>
        <w:t xml:space="preserve">Option 2 will simplify compliance and reduce compliance costs for currently regulated products but overall compliance costs will increase due to introducing regulations for previously unregulated refrigerated storage cabinets.  For more detail on the positive and negative effects on suppliers of refrigerated commercial cabinets sold in Australia and New Zealand see below. </w:t>
      </w:r>
    </w:p>
    <w:p w14:paraId="46996642" w14:textId="77777777" w:rsidR="006C0C1F" w:rsidRDefault="006C0C1F" w:rsidP="00781983">
      <w:pPr>
        <w:pStyle w:val="E3Bullets"/>
        <w:numPr>
          <w:ilvl w:val="0"/>
          <w:numId w:val="0"/>
        </w:numPr>
        <w:spacing w:before="120" w:line="276" w:lineRule="auto"/>
        <w:jc w:val="both"/>
      </w:pPr>
    </w:p>
    <w:p w14:paraId="05F4BDA8" w14:textId="77777777" w:rsidR="006C0C1F" w:rsidRDefault="006C0C1F" w:rsidP="00781983">
      <w:pPr>
        <w:pStyle w:val="E3Heading4"/>
        <w:jc w:val="both"/>
      </w:pPr>
      <w:r>
        <w:t>Positive effects:</w:t>
      </w:r>
    </w:p>
    <w:p w14:paraId="0D1C485D" w14:textId="7C00FF3E" w:rsidR="006C0C1F" w:rsidRDefault="006C0C1F" w:rsidP="00824F4F">
      <w:pPr>
        <w:pStyle w:val="E3BodyText"/>
        <w:jc w:val="both"/>
      </w:pPr>
      <w:r>
        <w:t>Suppliers would no longer need to access, interpret and comply with the very complicated and confusing regionally–specific Australian test standards and no longer need to:</w:t>
      </w:r>
    </w:p>
    <w:p w14:paraId="1110CAAA" w14:textId="77777777" w:rsidR="006C0C1F" w:rsidRDefault="006C0C1F" w:rsidP="00781983">
      <w:pPr>
        <w:pStyle w:val="E3Bullets"/>
        <w:numPr>
          <w:ilvl w:val="0"/>
          <w:numId w:val="40"/>
        </w:numPr>
        <w:autoSpaceDE/>
        <w:autoSpaceDN/>
        <w:adjustRightInd/>
        <w:spacing w:before="120" w:after="113" w:line="276" w:lineRule="auto"/>
        <w:jc w:val="both"/>
      </w:pPr>
      <w:r>
        <w:t>Purchase the Australian Standard</w:t>
      </w:r>
    </w:p>
    <w:p w14:paraId="4C3B9C0C" w14:textId="77777777" w:rsidR="006C0C1F" w:rsidRDefault="006C0C1F" w:rsidP="00781983">
      <w:pPr>
        <w:pStyle w:val="E3Bullets"/>
        <w:numPr>
          <w:ilvl w:val="0"/>
          <w:numId w:val="40"/>
        </w:numPr>
        <w:autoSpaceDE/>
        <w:autoSpaceDN/>
        <w:adjustRightInd/>
        <w:spacing w:before="120" w:after="113" w:line="276" w:lineRule="auto"/>
        <w:jc w:val="both"/>
      </w:pPr>
      <w:r>
        <w:t>Have appliances tested to the Australian Standard</w:t>
      </w:r>
    </w:p>
    <w:p w14:paraId="25DE4C5B" w14:textId="77777777" w:rsidR="006C0C1F" w:rsidRDefault="006C0C1F" w:rsidP="00781983">
      <w:pPr>
        <w:pStyle w:val="E3Bullets"/>
        <w:numPr>
          <w:ilvl w:val="0"/>
          <w:numId w:val="40"/>
        </w:numPr>
        <w:autoSpaceDE/>
        <w:autoSpaceDN/>
        <w:adjustRightInd/>
        <w:spacing w:before="120" w:after="113" w:line="276" w:lineRule="auto"/>
        <w:jc w:val="both"/>
      </w:pPr>
      <w:r>
        <w:t>Incur administrative costs associated with interpreting and complying with the unique Australia/New Zealand specific test Standard</w:t>
      </w:r>
    </w:p>
    <w:p w14:paraId="5C240A49" w14:textId="77777777" w:rsidR="006C0C1F" w:rsidRDefault="006C0C1F" w:rsidP="00824F4F">
      <w:pPr>
        <w:pStyle w:val="E3BodyText"/>
        <w:jc w:val="both"/>
        <w:rPr>
          <w:b/>
        </w:rPr>
      </w:pPr>
      <w:r>
        <w:lastRenderedPageBreak/>
        <w:t>As product groupings will be aligned with international standards and convention it will be much easier for local importers (</w:t>
      </w:r>
      <w:r w:rsidRPr="008A1AA5">
        <w:t>who account for approximately 95% of all refrigerated cabinets sold in the Australasian market</w:t>
      </w:r>
      <w:r>
        <w:t>)</w:t>
      </w:r>
      <w:r w:rsidRPr="0041262C">
        <w:rPr>
          <w:rStyle w:val="FootnoteReference"/>
          <w:szCs w:val="24"/>
        </w:rPr>
        <w:footnoteReference w:id="40"/>
      </w:r>
      <w:r w:rsidRPr="0041262C">
        <w:t xml:space="preserve"> </w:t>
      </w:r>
      <w:r>
        <w:t>to identify and source Australasian compliant products from the international market. Importers will be able to select from the international market products already tested to ISO or IEC standard. Therefore reducing compliance costs and potentially improving the range of products on the market.</w:t>
      </w:r>
    </w:p>
    <w:p w14:paraId="66853EC7" w14:textId="77777777" w:rsidR="006C0C1F" w:rsidRDefault="006C0C1F" w:rsidP="00824F4F">
      <w:pPr>
        <w:pStyle w:val="E3BodyText"/>
        <w:jc w:val="both"/>
      </w:pPr>
      <w:r>
        <w:t xml:space="preserve">The “deemed to comply” compliance pathway for low volume products will reduce compliance costs for suppliers (especially domestic manufacturers) that build bespoke or import low volume products. Current regulations require laboratory testing and places an unrealistic compliance burden on these suppliers that result in non-compliance.   </w:t>
      </w:r>
    </w:p>
    <w:p w14:paraId="7312DF41" w14:textId="4D4CE170" w:rsidR="006C0C1F" w:rsidRPr="00522FDB" w:rsidRDefault="006C0C1F" w:rsidP="00824F4F">
      <w:pPr>
        <w:pStyle w:val="E3Bullets"/>
        <w:numPr>
          <w:ilvl w:val="0"/>
          <w:numId w:val="0"/>
        </w:numPr>
        <w:spacing w:before="120" w:line="276" w:lineRule="auto"/>
        <w:jc w:val="both"/>
        <w:rPr>
          <w:b/>
          <w:bCs/>
        </w:rPr>
      </w:pPr>
      <w:r w:rsidRPr="00522FDB">
        <w:rPr>
          <w:b/>
          <w:bCs/>
        </w:rPr>
        <w:t xml:space="preserve">Negative effects: </w:t>
      </w:r>
    </w:p>
    <w:p w14:paraId="35E908E1" w14:textId="59A54B01" w:rsidR="00522FDB" w:rsidRDefault="006C0C1F" w:rsidP="00824F4F">
      <w:pPr>
        <w:pStyle w:val="E3BodyText"/>
        <w:jc w:val="both"/>
      </w:pPr>
      <w:r w:rsidRPr="00DA3677">
        <w:t xml:space="preserve">Introducing a </w:t>
      </w:r>
      <w:r>
        <w:t>new regulatory requirement for R</w:t>
      </w:r>
      <w:r w:rsidRPr="00DA3677">
        <w:t>efrigerated</w:t>
      </w:r>
      <w:r>
        <w:t xml:space="preserve"> Storage Cabinets would add compliance costs on suppliers such as:</w:t>
      </w:r>
    </w:p>
    <w:p w14:paraId="3EB95F6D" w14:textId="77777777" w:rsidR="00CA6FCF" w:rsidRDefault="006C0C1F" w:rsidP="00824F4F">
      <w:pPr>
        <w:pStyle w:val="E3BodyText"/>
        <w:numPr>
          <w:ilvl w:val="0"/>
          <w:numId w:val="70"/>
        </w:numPr>
        <w:jc w:val="both"/>
      </w:pPr>
      <w:r>
        <w:t>Administration cost to source complying products and register products</w:t>
      </w:r>
    </w:p>
    <w:p w14:paraId="523D4C92" w14:textId="77777777" w:rsidR="00CA6FCF" w:rsidRDefault="006C0C1F" w:rsidP="00824F4F">
      <w:pPr>
        <w:pStyle w:val="E3BodyText"/>
        <w:numPr>
          <w:ilvl w:val="0"/>
          <w:numId w:val="70"/>
        </w:numPr>
        <w:jc w:val="both"/>
      </w:pPr>
      <w:r>
        <w:t xml:space="preserve">Testing costs if only supplying to the Australasian market (if they are already producing refrigerated storage cabinets for the European market these test costs have already been paid. </w:t>
      </w:r>
    </w:p>
    <w:p w14:paraId="5E473830" w14:textId="349EFC2E" w:rsidR="006C0C1F" w:rsidRDefault="006C0C1F" w:rsidP="00824F4F">
      <w:pPr>
        <w:pStyle w:val="E3BodyText"/>
        <w:numPr>
          <w:ilvl w:val="0"/>
          <w:numId w:val="70"/>
        </w:numPr>
        <w:jc w:val="both"/>
      </w:pPr>
      <w:r>
        <w:t xml:space="preserve">Increase in product cost if existing products being supplied do not  meet the proposed MEPS levels </w:t>
      </w:r>
    </w:p>
    <w:p w14:paraId="39A6C4DA" w14:textId="77777777" w:rsidR="00824F4F" w:rsidRDefault="00824F4F" w:rsidP="00824F4F">
      <w:pPr>
        <w:pStyle w:val="E3Bullets"/>
        <w:numPr>
          <w:ilvl w:val="0"/>
          <w:numId w:val="0"/>
        </w:numPr>
        <w:spacing w:before="120" w:line="360" w:lineRule="auto"/>
        <w:jc w:val="both"/>
        <w:rPr>
          <w:b/>
          <w:bCs/>
        </w:rPr>
      </w:pPr>
    </w:p>
    <w:p w14:paraId="5101A166" w14:textId="13B59F23" w:rsidR="006C0C1F" w:rsidRPr="00522FDB" w:rsidRDefault="006C0C1F" w:rsidP="00824F4F">
      <w:pPr>
        <w:pStyle w:val="E3Bullets"/>
        <w:numPr>
          <w:ilvl w:val="0"/>
          <w:numId w:val="0"/>
        </w:numPr>
        <w:spacing w:before="120" w:line="360" w:lineRule="auto"/>
        <w:jc w:val="both"/>
        <w:rPr>
          <w:b/>
          <w:bCs/>
        </w:rPr>
      </w:pPr>
      <w:r w:rsidRPr="00522FDB">
        <w:rPr>
          <w:b/>
          <w:bCs/>
        </w:rPr>
        <w:t xml:space="preserve">Test Laboratories </w:t>
      </w:r>
    </w:p>
    <w:p w14:paraId="4699A849" w14:textId="77777777" w:rsidR="006C0C1F" w:rsidRDefault="006C0C1F" w:rsidP="00824F4F">
      <w:pPr>
        <w:pStyle w:val="E3BodyText"/>
        <w:jc w:val="both"/>
      </w:pPr>
      <w:r>
        <w:t xml:space="preserve">At present there are no Australian or New Zealand independent test laboratories that test to the Australian Standard although one in Australia has indicated they have the capability.  Therefore harmonising with international test standards will have no effect on Australasian test laboratories. </w:t>
      </w:r>
    </w:p>
    <w:p w14:paraId="0FD9D762" w14:textId="77777777" w:rsidR="006C0C1F" w:rsidRDefault="006C0C1F" w:rsidP="00824F4F">
      <w:pPr>
        <w:pStyle w:val="E3Bullets"/>
        <w:numPr>
          <w:ilvl w:val="0"/>
          <w:numId w:val="0"/>
        </w:numPr>
        <w:spacing w:before="120" w:line="276" w:lineRule="auto"/>
        <w:jc w:val="both"/>
      </w:pPr>
    </w:p>
    <w:p w14:paraId="33287C6E" w14:textId="77777777" w:rsidR="006C0C1F" w:rsidRPr="00522FDB" w:rsidRDefault="006C0C1F" w:rsidP="00824F4F">
      <w:pPr>
        <w:pStyle w:val="E3Bullets"/>
        <w:numPr>
          <w:ilvl w:val="0"/>
          <w:numId w:val="0"/>
        </w:numPr>
        <w:spacing w:before="120" w:line="360" w:lineRule="auto"/>
        <w:jc w:val="both"/>
        <w:rPr>
          <w:b/>
          <w:bCs/>
        </w:rPr>
      </w:pPr>
      <w:r w:rsidRPr="00522FDB">
        <w:rPr>
          <w:b/>
          <w:bCs/>
        </w:rPr>
        <w:t>Consumers</w:t>
      </w:r>
    </w:p>
    <w:p w14:paraId="333A59C9" w14:textId="77777777" w:rsidR="006C0C1F" w:rsidRDefault="006C0C1F" w:rsidP="00824F4F">
      <w:pPr>
        <w:pStyle w:val="E3Bullets"/>
        <w:numPr>
          <w:ilvl w:val="0"/>
          <w:numId w:val="0"/>
        </w:numPr>
        <w:spacing w:before="120" w:line="276" w:lineRule="auto"/>
        <w:jc w:val="both"/>
      </w:pPr>
      <w:r>
        <w:t xml:space="preserve">For consumers interested in energy efficiency online labelling on the </w:t>
      </w:r>
      <w:hyperlink r:id="rId50" w:history="1">
        <w:r w:rsidRPr="00E0605C">
          <w:rPr>
            <w:rStyle w:val="Hyperlink"/>
          </w:rPr>
          <w:t>www.energyrating.gov.au</w:t>
        </w:r>
      </w:hyperlink>
      <w:r>
        <w:t xml:space="preserve"> website will provide much improved information on product energy efficiency and running costs that they can use as </w:t>
      </w:r>
      <w:r w:rsidR="00522FDB">
        <w:t xml:space="preserve">part of their buying decision. </w:t>
      </w:r>
    </w:p>
    <w:p w14:paraId="3FD3565B" w14:textId="77777777" w:rsidR="00824F4F" w:rsidRDefault="00824F4F" w:rsidP="00824F4F">
      <w:pPr>
        <w:pStyle w:val="E3Bullets"/>
        <w:numPr>
          <w:ilvl w:val="0"/>
          <w:numId w:val="0"/>
        </w:numPr>
        <w:spacing w:before="120" w:line="276" w:lineRule="auto"/>
        <w:jc w:val="both"/>
      </w:pPr>
    </w:p>
    <w:p w14:paraId="0A646D89" w14:textId="6AB86A4F" w:rsidR="006C0C1F" w:rsidRDefault="006C0C1F" w:rsidP="00824F4F">
      <w:pPr>
        <w:pStyle w:val="E3Bullets"/>
        <w:numPr>
          <w:ilvl w:val="0"/>
          <w:numId w:val="0"/>
        </w:numPr>
        <w:spacing w:before="120" w:line="276" w:lineRule="auto"/>
        <w:jc w:val="both"/>
      </w:pPr>
      <w:r>
        <w:t xml:space="preserve">For consumers already purchasing products that meet the proposed MEPS levels in Option 2 there would be no impact of the proposed changes.  </w:t>
      </w:r>
    </w:p>
    <w:p w14:paraId="49CAC6E8" w14:textId="77777777" w:rsidR="00522FDB" w:rsidRDefault="00522FDB" w:rsidP="00824F4F">
      <w:pPr>
        <w:pStyle w:val="E3Bullets"/>
        <w:numPr>
          <w:ilvl w:val="0"/>
          <w:numId w:val="0"/>
        </w:numPr>
        <w:spacing w:before="120" w:line="276" w:lineRule="auto"/>
        <w:jc w:val="both"/>
      </w:pPr>
    </w:p>
    <w:p w14:paraId="033D9D95" w14:textId="108C2398" w:rsidR="006C0C1F" w:rsidRPr="006D1900" w:rsidRDefault="006C0C1F" w:rsidP="00824F4F">
      <w:pPr>
        <w:pStyle w:val="E3Bullets"/>
        <w:numPr>
          <w:ilvl w:val="0"/>
          <w:numId w:val="0"/>
        </w:numPr>
        <w:spacing w:before="120" w:line="276" w:lineRule="auto"/>
        <w:jc w:val="both"/>
      </w:pPr>
      <w:r>
        <w:lastRenderedPageBreak/>
        <w:t xml:space="preserve">Consumers purchasing products that do not meet the proposed MEPS levels in Option 2 there would be on average an overall reduction in the cost of their refrigeration needs as any incremental increase in product cost due to upgrades required to meet the MEPS are more than offset by savings in running costs.  For more details on costs of improvements see </w:t>
      </w:r>
      <w:r w:rsidR="00803448">
        <w:rPr>
          <w:b/>
        </w:rPr>
        <w:t>Attachment C</w:t>
      </w:r>
      <w:r w:rsidRPr="007A5346">
        <w:t>.</w:t>
      </w:r>
      <w:r>
        <w:t xml:space="preserve"> </w:t>
      </w:r>
    </w:p>
    <w:p w14:paraId="6DD314CC" w14:textId="77777777" w:rsidR="006C0C1F" w:rsidRDefault="006C0C1F" w:rsidP="00824F4F">
      <w:pPr>
        <w:pStyle w:val="E3Bullets"/>
        <w:numPr>
          <w:ilvl w:val="0"/>
          <w:numId w:val="0"/>
        </w:numPr>
        <w:spacing w:before="120" w:line="276" w:lineRule="auto"/>
        <w:jc w:val="both"/>
      </w:pPr>
    </w:p>
    <w:p w14:paraId="55D1D4BD" w14:textId="77777777" w:rsidR="006C0C1F" w:rsidRPr="00F87383" w:rsidRDefault="006C0C1F" w:rsidP="00824F4F">
      <w:pPr>
        <w:pStyle w:val="E3Bullets"/>
        <w:numPr>
          <w:ilvl w:val="0"/>
          <w:numId w:val="0"/>
        </w:numPr>
        <w:spacing w:before="120" w:line="276" w:lineRule="auto"/>
        <w:jc w:val="both"/>
      </w:pPr>
      <w:r w:rsidRPr="00F87383">
        <w:t xml:space="preserve">Consumers </w:t>
      </w:r>
      <w:r>
        <w:t xml:space="preserve">may also gain access to a wider range of appliances over time because importers will potentially get access to a wider range of international products because international manufacturers no longer need to design and test products to the Australian standard.    </w:t>
      </w:r>
    </w:p>
    <w:p w14:paraId="6DDB4687" w14:textId="77777777" w:rsidR="006C0C1F" w:rsidRPr="00522FDB" w:rsidRDefault="006C0C1F" w:rsidP="00522FDB">
      <w:pPr>
        <w:pStyle w:val="E3Heading4"/>
      </w:pPr>
    </w:p>
    <w:p w14:paraId="102D8A27" w14:textId="77777777" w:rsidR="006C0C1F" w:rsidRPr="00522FDB" w:rsidRDefault="006C0C1F" w:rsidP="00522FDB">
      <w:pPr>
        <w:pStyle w:val="E3Heading4"/>
      </w:pPr>
      <w:r w:rsidRPr="00522FDB">
        <w:t>Impacts on current market supply</w:t>
      </w:r>
    </w:p>
    <w:p w14:paraId="3AC1AB0C" w14:textId="77777777" w:rsidR="002759B7" w:rsidRDefault="002759B7" w:rsidP="00522FDB">
      <w:pPr>
        <w:pStyle w:val="E3Bullets"/>
        <w:numPr>
          <w:ilvl w:val="0"/>
          <w:numId w:val="0"/>
        </w:numPr>
        <w:spacing w:before="120" w:line="276" w:lineRule="auto"/>
        <w:jc w:val="both"/>
      </w:pPr>
    </w:p>
    <w:p w14:paraId="7C7D49B6" w14:textId="5AB7082E" w:rsidR="006C0C1F" w:rsidRDefault="006C0C1F" w:rsidP="00522FDB">
      <w:pPr>
        <w:pStyle w:val="E3Bullets"/>
        <w:numPr>
          <w:ilvl w:val="0"/>
          <w:numId w:val="0"/>
        </w:numPr>
        <w:spacing w:before="120" w:line="276" w:lineRule="auto"/>
        <w:jc w:val="both"/>
      </w:pPr>
      <w:r>
        <w:t>Under Option 2 the least efficient 10% of cabinets in every cabinet group will be removed from the market.  These sales will be mostly from the integral freezer category (as you would expect to see in smaller retail outlets) and remote vertical cabinets (i.e. for chilled foodstuffs in supermarkets</w:t>
      </w:r>
      <w:r w:rsidRPr="00D27690">
        <w:t>). Table 11 pr</w:t>
      </w:r>
      <w:r>
        <w:t>ovides</w:t>
      </w:r>
      <w:r w:rsidRPr="00D27690">
        <w:t xml:space="preserve"> details of this impact.</w:t>
      </w:r>
    </w:p>
    <w:p w14:paraId="47F1C9D1" w14:textId="77777777" w:rsidR="00AD76AA" w:rsidRDefault="00AD76AA" w:rsidP="004C3E41">
      <w:pPr>
        <w:pStyle w:val="E3TableTitles"/>
      </w:pPr>
    </w:p>
    <w:p w14:paraId="056974DC" w14:textId="77777777" w:rsidR="00AD76AA" w:rsidRDefault="00AD76AA" w:rsidP="004C3E41">
      <w:pPr>
        <w:pStyle w:val="E3TableTitles"/>
      </w:pPr>
    </w:p>
    <w:p w14:paraId="01FCA457" w14:textId="77777777" w:rsidR="00AD76AA" w:rsidRDefault="00AD76AA" w:rsidP="004C3E41">
      <w:pPr>
        <w:pStyle w:val="E3TableTitles"/>
      </w:pPr>
    </w:p>
    <w:p w14:paraId="12A242F5" w14:textId="77777777" w:rsidR="00AD76AA" w:rsidRDefault="00AD76AA" w:rsidP="004C3E41">
      <w:pPr>
        <w:pStyle w:val="E3TableTitles"/>
      </w:pPr>
    </w:p>
    <w:p w14:paraId="5136DCFD" w14:textId="77777777" w:rsidR="00AD76AA" w:rsidRDefault="00AD76AA" w:rsidP="004C3E41">
      <w:pPr>
        <w:pStyle w:val="E3TableTitles"/>
      </w:pPr>
    </w:p>
    <w:p w14:paraId="715C7E60" w14:textId="77777777" w:rsidR="00AD76AA" w:rsidRDefault="00AD76AA" w:rsidP="004C3E41">
      <w:pPr>
        <w:pStyle w:val="E3TableTitles"/>
      </w:pPr>
    </w:p>
    <w:p w14:paraId="0C147D65" w14:textId="77777777" w:rsidR="00AD76AA" w:rsidRDefault="00AD76AA" w:rsidP="004C3E41">
      <w:pPr>
        <w:pStyle w:val="E3TableTitles"/>
      </w:pPr>
    </w:p>
    <w:p w14:paraId="53C2B87A" w14:textId="77777777" w:rsidR="00AD76AA" w:rsidRDefault="00AD76AA" w:rsidP="004C3E41">
      <w:pPr>
        <w:pStyle w:val="E3TableTitles"/>
      </w:pPr>
    </w:p>
    <w:p w14:paraId="4CD79A2D" w14:textId="77777777" w:rsidR="00AD76AA" w:rsidRDefault="00AD76AA" w:rsidP="004C3E41">
      <w:pPr>
        <w:pStyle w:val="E3TableTitles"/>
      </w:pPr>
    </w:p>
    <w:p w14:paraId="4DCF540E" w14:textId="77777777" w:rsidR="00AD76AA" w:rsidRDefault="00AD76AA" w:rsidP="004C3E41">
      <w:pPr>
        <w:pStyle w:val="E3TableTitles"/>
      </w:pPr>
    </w:p>
    <w:p w14:paraId="6B44E641" w14:textId="77777777" w:rsidR="00AD76AA" w:rsidRDefault="00AD76AA" w:rsidP="004C3E41">
      <w:pPr>
        <w:pStyle w:val="E3TableTitles"/>
      </w:pPr>
    </w:p>
    <w:p w14:paraId="1118998C" w14:textId="77777777" w:rsidR="00AD76AA" w:rsidRDefault="00AD76AA" w:rsidP="004C3E41">
      <w:pPr>
        <w:pStyle w:val="E3TableTitles"/>
      </w:pPr>
    </w:p>
    <w:p w14:paraId="61D606FB" w14:textId="77777777" w:rsidR="00AD76AA" w:rsidRDefault="00AD76AA" w:rsidP="004C3E41">
      <w:pPr>
        <w:pStyle w:val="E3TableTitles"/>
      </w:pPr>
    </w:p>
    <w:p w14:paraId="6D81BDAE" w14:textId="6D2C917B" w:rsidR="006C0C1F" w:rsidRPr="004C3E41" w:rsidRDefault="006C0C1F" w:rsidP="004C3E41">
      <w:pPr>
        <w:pStyle w:val="E3TableTitles"/>
      </w:pPr>
      <w:bookmarkStart w:id="230" w:name="_Toc500159662"/>
      <w:r w:rsidRPr="004C3E41">
        <w:lastRenderedPageBreak/>
        <w:t>Table 11: Summary of 15 groups of display and storage cabinets and impacts on models from Option 2.</w:t>
      </w:r>
      <w:bookmarkEnd w:id="230"/>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11"/>
        <w:gridCol w:w="1133"/>
        <w:gridCol w:w="1133"/>
        <w:gridCol w:w="991"/>
        <w:gridCol w:w="279"/>
        <w:gridCol w:w="714"/>
        <w:gridCol w:w="278"/>
        <w:gridCol w:w="850"/>
        <w:gridCol w:w="6"/>
        <w:gridCol w:w="991"/>
        <w:gridCol w:w="1127"/>
      </w:tblGrid>
      <w:tr w:rsidR="006C0C1F" w14:paraId="292D01F1" w14:textId="77777777" w:rsidTr="006C0C1F">
        <w:trPr>
          <w:trHeight w:val="607"/>
          <w:jc w:val="center"/>
        </w:trPr>
        <w:tc>
          <w:tcPr>
            <w:tcW w:w="421" w:type="dxa"/>
            <w:tcBorders>
              <w:top w:val="single" w:sz="4" w:space="0" w:color="auto"/>
              <w:left w:val="single" w:sz="4" w:space="0" w:color="auto"/>
              <w:bottom w:val="single" w:sz="4" w:space="0" w:color="auto"/>
              <w:right w:val="single" w:sz="4" w:space="0" w:color="auto"/>
            </w:tcBorders>
            <w:shd w:val="clear" w:color="auto" w:fill="0C0C0C"/>
          </w:tcPr>
          <w:p w14:paraId="2556B213" w14:textId="77777777" w:rsidR="006C0C1F" w:rsidRPr="0041262C" w:rsidRDefault="006C0C1F" w:rsidP="006C0C1F">
            <w:pPr>
              <w:pStyle w:val="E3TableHeading"/>
              <w:rPr>
                <w:sz w:val="14"/>
              </w:rPr>
            </w:pPr>
          </w:p>
        </w:tc>
        <w:tc>
          <w:tcPr>
            <w:tcW w:w="1711" w:type="dxa"/>
            <w:tcBorders>
              <w:top w:val="single" w:sz="4" w:space="0" w:color="auto"/>
              <w:left w:val="single" w:sz="4" w:space="0" w:color="auto"/>
              <w:bottom w:val="single" w:sz="4" w:space="0" w:color="auto"/>
              <w:right w:val="single" w:sz="4" w:space="0" w:color="auto"/>
            </w:tcBorders>
            <w:shd w:val="clear" w:color="auto" w:fill="0C0C0C"/>
            <w:vAlign w:val="center"/>
          </w:tcPr>
          <w:p w14:paraId="09FA521B" w14:textId="77777777" w:rsidR="006C0C1F" w:rsidRPr="0041262C" w:rsidRDefault="006C0C1F" w:rsidP="006C0C1F">
            <w:pPr>
              <w:pStyle w:val="E3TableHeading"/>
              <w:rPr>
                <w:sz w:val="14"/>
              </w:rPr>
            </w:pPr>
            <w:r w:rsidRPr="0041262C">
              <w:rPr>
                <w:sz w:val="14"/>
              </w:rPr>
              <w:t>Group Abbrev.</w:t>
            </w:r>
          </w:p>
        </w:tc>
        <w:tc>
          <w:tcPr>
            <w:tcW w:w="1133" w:type="dxa"/>
            <w:tcBorders>
              <w:top w:val="single" w:sz="4" w:space="0" w:color="auto"/>
              <w:left w:val="single" w:sz="4" w:space="0" w:color="auto"/>
              <w:bottom w:val="single" w:sz="4" w:space="0" w:color="auto"/>
              <w:right w:val="single" w:sz="4" w:space="0" w:color="auto"/>
            </w:tcBorders>
            <w:shd w:val="clear" w:color="auto" w:fill="0C0C0C"/>
            <w:vAlign w:val="center"/>
          </w:tcPr>
          <w:p w14:paraId="632C890F" w14:textId="77777777" w:rsidR="006C0C1F" w:rsidRPr="0041262C" w:rsidRDefault="006C0C1F" w:rsidP="006C0C1F">
            <w:pPr>
              <w:pStyle w:val="E3TableHeading"/>
              <w:rPr>
                <w:sz w:val="14"/>
              </w:rPr>
            </w:pPr>
            <w:r w:rsidRPr="0041262C">
              <w:rPr>
                <w:sz w:val="14"/>
              </w:rPr>
              <w:t>Application</w:t>
            </w:r>
          </w:p>
        </w:tc>
        <w:tc>
          <w:tcPr>
            <w:tcW w:w="1133" w:type="dxa"/>
            <w:tcBorders>
              <w:top w:val="single" w:sz="4" w:space="0" w:color="auto"/>
              <w:left w:val="single" w:sz="4" w:space="0" w:color="auto"/>
              <w:bottom w:val="single" w:sz="4" w:space="0" w:color="auto"/>
              <w:right w:val="single" w:sz="4" w:space="0" w:color="auto"/>
            </w:tcBorders>
            <w:shd w:val="clear" w:color="auto" w:fill="0C0C0C"/>
            <w:vAlign w:val="center"/>
          </w:tcPr>
          <w:p w14:paraId="3E92E794" w14:textId="77777777" w:rsidR="006C0C1F" w:rsidRPr="0041262C" w:rsidRDefault="006C0C1F" w:rsidP="006C0C1F">
            <w:pPr>
              <w:pStyle w:val="E3TableHeading"/>
              <w:rPr>
                <w:sz w:val="14"/>
              </w:rPr>
            </w:pPr>
            <w:r w:rsidRPr="0041262C">
              <w:rPr>
                <w:sz w:val="14"/>
              </w:rPr>
              <w:t>Temperature</w:t>
            </w:r>
          </w:p>
        </w:tc>
        <w:tc>
          <w:tcPr>
            <w:tcW w:w="1270"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14:paraId="24CAFE85" w14:textId="77777777" w:rsidR="006C0C1F" w:rsidRPr="0041262C" w:rsidRDefault="006C0C1F" w:rsidP="006C0C1F">
            <w:pPr>
              <w:pStyle w:val="E3TableHeading"/>
              <w:rPr>
                <w:sz w:val="14"/>
              </w:rPr>
            </w:pPr>
            <w:r w:rsidRPr="0041262C">
              <w:rPr>
                <w:sz w:val="14"/>
              </w:rPr>
              <w:t>Configuration</w:t>
            </w:r>
          </w:p>
        </w:tc>
        <w:tc>
          <w:tcPr>
            <w:tcW w:w="992"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14:paraId="1A93016C" w14:textId="77777777" w:rsidR="006C0C1F" w:rsidRPr="0041262C" w:rsidRDefault="006C0C1F" w:rsidP="006C0C1F">
            <w:pPr>
              <w:pStyle w:val="E3TableHeading"/>
              <w:rPr>
                <w:sz w:val="14"/>
              </w:rPr>
            </w:pPr>
            <w:r w:rsidRPr="0041262C">
              <w:rPr>
                <w:sz w:val="14"/>
              </w:rPr>
              <w:t>AS 1731.14 Types</w:t>
            </w:r>
          </w:p>
        </w:tc>
        <w:tc>
          <w:tcPr>
            <w:tcW w:w="850" w:type="dxa"/>
            <w:tcBorders>
              <w:top w:val="single" w:sz="4" w:space="0" w:color="auto"/>
              <w:left w:val="single" w:sz="4" w:space="0" w:color="auto"/>
              <w:bottom w:val="single" w:sz="4" w:space="0" w:color="auto"/>
              <w:right w:val="single" w:sz="4" w:space="0" w:color="auto"/>
            </w:tcBorders>
            <w:shd w:val="clear" w:color="auto" w:fill="0C0C0C"/>
            <w:vAlign w:val="center"/>
          </w:tcPr>
          <w:p w14:paraId="14AA3C31" w14:textId="77777777" w:rsidR="006C0C1F" w:rsidRPr="0041262C" w:rsidRDefault="006C0C1F" w:rsidP="006C0C1F">
            <w:pPr>
              <w:pStyle w:val="E3TableHeading"/>
              <w:rPr>
                <w:sz w:val="14"/>
              </w:rPr>
            </w:pPr>
            <w:r w:rsidRPr="0041262C">
              <w:rPr>
                <w:sz w:val="14"/>
              </w:rPr>
              <w:t>ISO 23953 Types</w:t>
            </w:r>
          </w:p>
        </w:tc>
        <w:tc>
          <w:tcPr>
            <w:tcW w:w="997" w:type="dxa"/>
            <w:gridSpan w:val="2"/>
            <w:tcBorders>
              <w:top w:val="single" w:sz="4" w:space="0" w:color="auto"/>
              <w:left w:val="single" w:sz="4" w:space="0" w:color="auto"/>
              <w:bottom w:val="single" w:sz="4" w:space="0" w:color="auto"/>
              <w:right w:val="single" w:sz="4" w:space="0" w:color="auto"/>
            </w:tcBorders>
            <w:shd w:val="clear" w:color="auto" w:fill="0C0C0C"/>
            <w:hideMark/>
          </w:tcPr>
          <w:p w14:paraId="61D3E0DE" w14:textId="77777777" w:rsidR="006C0C1F" w:rsidRPr="0041262C" w:rsidRDefault="006C0C1F" w:rsidP="006C0C1F">
            <w:pPr>
              <w:pStyle w:val="E3TableHeading"/>
              <w:rPr>
                <w:sz w:val="14"/>
              </w:rPr>
            </w:pPr>
            <w:r w:rsidRPr="0041262C">
              <w:rPr>
                <w:sz w:val="14"/>
              </w:rPr>
              <w:t>Models affected</w:t>
            </w:r>
          </w:p>
        </w:tc>
        <w:tc>
          <w:tcPr>
            <w:tcW w:w="1127" w:type="dxa"/>
            <w:tcBorders>
              <w:top w:val="single" w:sz="4" w:space="0" w:color="auto"/>
              <w:left w:val="single" w:sz="4" w:space="0" w:color="auto"/>
              <w:bottom w:val="single" w:sz="4" w:space="0" w:color="auto"/>
              <w:right w:val="single" w:sz="4" w:space="0" w:color="auto"/>
            </w:tcBorders>
            <w:shd w:val="clear" w:color="auto" w:fill="0C0C0C"/>
            <w:hideMark/>
          </w:tcPr>
          <w:p w14:paraId="18667FEA" w14:textId="77777777" w:rsidR="006C0C1F" w:rsidRPr="0041262C" w:rsidRDefault="006C0C1F" w:rsidP="006C0C1F">
            <w:pPr>
              <w:pStyle w:val="E3TableHeading"/>
              <w:rPr>
                <w:sz w:val="14"/>
              </w:rPr>
            </w:pPr>
            <w:r w:rsidRPr="0041262C">
              <w:rPr>
                <w:sz w:val="14"/>
              </w:rPr>
              <w:t>Sales</w:t>
            </w:r>
          </w:p>
          <w:p w14:paraId="2F45F0A0" w14:textId="77777777" w:rsidR="006C0C1F" w:rsidRPr="0041262C" w:rsidRDefault="006C0C1F" w:rsidP="006C0C1F">
            <w:pPr>
              <w:pStyle w:val="E3TableHeading"/>
              <w:rPr>
                <w:sz w:val="14"/>
              </w:rPr>
            </w:pPr>
            <w:r w:rsidRPr="0041262C">
              <w:rPr>
                <w:sz w:val="14"/>
              </w:rPr>
              <w:t>affected</w:t>
            </w:r>
          </w:p>
        </w:tc>
      </w:tr>
      <w:tr w:rsidR="006C0C1F" w14:paraId="5A67F77B"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hideMark/>
          </w:tcPr>
          <w:p w14:paraId="3EB04FE5" w14:textId="77777777" w:rsidR="006C0C1F" w:rsidRPr="0041262C" w:rsidRDefault="006C0C1F" w:rsidP="006C0C1F">
            <w:pPr>
              <w:pStyle w:val="E3tabletext1"/>
              <w:rPr>
                <w:rFonts w:ascii="Helvetica" w:hAnsi="Helvetica" w:cs="Helvetica"/>
              </w:rPr>
            </w:pPr>
            <w:r w:rsidRPr="0041262C">
              <w:rPr>
                <w:rFonts w:ascii="Helvetica" w:hAnsi="Helvetica" w:cs="Helvetica"/>
              </w:rPr>
              <w:t>1</w:t>
            </w:r>
          </w:p>
        </w:tc>
        <w:tc>
          <w:tcPr>
            <w:tcW w:w="1711" w:type="dxa"/>
            <w:tcBorders>
              <w:top w:val="single" w:sz="4" w:space="0" w:color="auto"/>
              <w:left w:val="single" w:sz="4" w:space="0" w:color="auto"/>
              <w:bottom w:val="single" w:sz="4" w:space="0" w:color="auto"/>
              <w:right w:val="single" w:sz="4" w:space="0" w:color="auto"/>
            </w:tcBorders>
            <w:vAlign w:val="center"/>
            <w:hideMark/>
          </w:tcPr>
          <w:p w14:paraId="0CF5D9C3" w14:textId="77777777" w:rsidR="006C0C1F" w:rsidRPr="0041262C" w:rsidRDefault="006C0C1F" w:rsidP="006C0C1F">
            <w:pPr>
              <w:pStyle w:val="E3tabletext1"/>
              <w:rPr>
                <w:rFonts w:ascii="Helvetica" w:hAnsi="Helvetica" w:cs="Helvetica"/>
              </w:rPr>
            </w:pPr>
            <w:r w:rsidRPr="0041262C">
              <w:rPr>
                <w:rFonts w:ascii="Helvetica" w:hAnsi="Helvetica" w:cs="Helvetica"/>
              </w:rPr>
              <w:t>IRH</w:t>
            </w:r>
          </w:p>
          <w:p w14:paraId="4EAFD1F3" w14:textId="77777777" w:rsidR="006C0C1F" w:rsidRPr="0041262C" w:rsidRDefault="006C0C1F" w:rsidP="006C0C1F">
            <w:pPr>
              <w:pStyle w:val="E3tabletext1"/>
              <w:rPr>
                <w:rFonts w:ascii="Helvetica" w:hAnsi="Helvetica" w:cs="Helvetica"/>
              </w:rPr>
            </w:pPr>
            <w:r w:rsidRPr="0041262C">
              <w:rPr>
                <w:rFonts w:ascii="Helvetica" w:hAnsi="Helvetica" w:cs="Helvetica"/>
              </w:rPr>
              <w:t>Integral Refrigerated Horizontal Cabinets</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4A163563" w14:textId="77777777" w:rsidR="006C0C1F" w:rsidRPr="0041262C" w:rsidRDefault="006C0C1F" w:rsidP="006C0C1F">
            <w:pPr>
              <w:pStyle w:val="E3tabletext1"/>
              <w:rPr>
                <w:rFonts w:ascii="Helvetica" w:hAnsi="Helvetica" w:cs="Helvetica"/>
              </w:rPr>
            </w:pPr>
            <w:r w:rsidRPr="0041262C">
              <w:rPr>
                <w:rFonts w:ascii="Helvetica" w:hAnsi="Helvetica" w:cs="Helvetica"/>
              </w:rPr>
              <w:t xml:space="preserve">Integral Refrigerated Display Cabinets </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510AF633" w14:textId="77777777" w:rsidR="006C0C1F" w:rsidRPr="0041262C" w:rsidRDefault="006C0C1F" w:rsidP="006C0C1F">
            <w:pPr>
              <w:pStyle w:val="E3tabletext1"/>
              <w:rPr>
                <w:rFonts w:ascii="Helvetica" w:hAnsi="Helvetica" w:cs="Helvetica"/>
              </w:rPr>
            </w:pPr>
            <w:r w:rsidRPr="0041262C">
              <w:rPr>
                <w:rFonts w:ascii="Helvetica" w:hAnsi="Helvetica" w:cs="Helvetica"/>
              </w:rPr>
              <w:t>Refrigerator</w:t>
            </w:r>
          </w:p>
        </w:tc>
        <w:tc>
          <w:tcPr>
            <w:tcW w:w="991" w:type="dxa"/>
            <w:tcBorders>
              <w:top w:val="single" w:sz="4" w:space="0" w:color="auto"/>
              <w:left w:val="single" w:sz="4" w:space="0" w:color="auto"/>
              <w:bottom w:val="single" w:sz="4" w:space="0" w:color="auto"/>
              <w:right w:val="single" w:sz="4" w:space="0" w:color="auto"/>
            </w:tcBorders>
            <w:vAlign w:val="center"/>
            <w:hideMark/>
          </w:tcPr>
          <w:p w14:paraId="2C93D733" w14:textId="77777777" w:rsidR="006C0C1F" w:rsidRPr="0041262C" w:rsidRDefault="006C0C1F" w:rsidP="006C0C1F">
            <w:pPr>
              <w:pStyle w:val="E3tabletext1"/>
              <w:rPr>
                <w:rFonts w:ascii="Helvetica" w:hAnsi="Helvetica" w:cs="Helvetica"/>
              </w:rPr>
            </w:pPr>
            <w:r w:rsidRPr="0041262C">
              <w:rPr>
                <w:rFonts w:ascii="Helvetica" w:hAnsi="Helvetica" w:cs="Helvetica"/>
              </w:rPr>
              <w:t>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3EB37CBF" w14:textId="77777777" w:rsidR="006C0C1F" w:rsidRPr="0041262C" w:rsidRDefault="006C0C1F" w:rsidP="006C0C1F">
            <w:pPr>
              <w:pStyle w:val="E3tabletext1"/>
              <w:rPr>
                <w:rFonts w:ascii="Helvetica" w:hAnsi="Helvetica" w:cs="Helvetica"/>
              </w:rPr>
            </w:pPr>
            <w:r w:rsidRPr="0041262C">
              <w:rPr>
                <w:rFonts w:ascii="Helvetica" w:hAnsi="Helvetica" w:cs="Helvetica"/>
              </w:rPr>
              <w:t>HC1, HC2, HC3, HC4, HC5, HC6</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06C56E3A" w14:textId="77777777" w:rsidR="006C0C1F" w:rsidRPr="0041262C" w:rsidRDefault="006C0C1F" w:rsidP="006C0C1F">
            <w:pPr>
              <w:pStyle w:val="E3tabletext1"/>
              <w:rPr>
                <w:rFonts w:ascii="Helvetica" w:hAnsi="Helvetica" w:cs="Helvetica"/>
              </w:rPr>
            </w:pPr>
            <w:r w:rsidRPr="0041262C">
              <w:rPr>
                <w:rFonts w:ascii="Helvetica" w:hAnsi="Helvetica" w:cs="Helvetica"/>
              </w:rPr>
              <w:t>IHC1, IHC2, IHC3, IHC4, IHC5, IHC6, IHC7, IHC8</w:t>
            </w:r>
          </w:p>
        </w:tc>
        <w:tc>
          <w:tcPr>
            <w:tcW w:w="991" w:type="dxa"/>
            <w:tcBorders>
              <w:top w:val="single" w:sz="4" w:space="0" w:color="auto"/>
              <w:left w:val="single" w:sz="4" w:space="0" w:color="auto"/>
              <w:bottom w:val="single" w:sz="4" w:space="0" w:color="auto"/>
              <w:right w:val="single" w:sz="4" w:space="0" w:color="auto"/>
            </w:tcBorders>
            <w:vAlign w:val="center"/>
          </w:tcPr>
          <w:p w14:paraId="5F225B72" w14:textId="77777777" w:rsidR="006C0C1F" w:rsidRPr="0041262C" w:rsidRDefault="006C0C1F" w:rsidP="006C0C1F">
            <w:pPr>
              <w:pStyle w:val="E3tabletext1"/>
              <w:rPr>
                <w:rFonts w:ascii="Helvetica" w:hAnsi="Helvetica" w:cs="Helvetica"/>
              </w:rPr>
            </w:pPr>
            <w:r w:rsidRPr="0041262C">
              <w:rPr>
                <w:rFonts w:ascii="Helvetica" w:hAnsi="Helvetica" w:cs="Helvetica"/>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441AFCFB" w14:textId="77777777" w:rsidR="006C0C1F" w:rsidRPr="0041262C" w:rsidRDefault="006C0C1F" w:rsidP="006C0C1F">
            <w:pPr>
              <w:pStyle w:val="E3tabletext1"/>
              <w:rPr>
                <w:rFonts w:ascii="Helvetica" w:hAnsi="Helvetica" w:cs="Helvetica"/>
              </w:rPr>
            </w:pPr>
            <w:r w:rsidRPr="0041262C">
              <w:rPr>
                <w:rFonts w:ascii="Helvetica" w:hAnsi="Helvetica" w:cs="Helvetica"/>
              </w:rPr>
              <w:t>1%</w:t>
            </w:r>
          </w:p>
        </w:tc>
      </w:tr>
      <w:tr w:rsidR="006C0C1F" w14:paraId="700FC1BA"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618E22C4" w14:textId="77777777" w:rsidR="006C0C1F" w:rsidRPr="0041262C" w:rsidRDefault="006C0C1F" w:rsidP="006C0C1F">
            <w:pPr>
              <w:pStyle w:val="E3tabletext1"/>
              <w:rPr>
                <w:rFonts w:ascii="Helvetica" w:hAnsi="Helvetica" w:cs="Helvetica"/>
              </w:rPr>
            </w:pPr>
            <w:r w:rsidRPr="0041262C">
              <w:rPr>
                <w:rFonts w:ascii="Helvetica" w:hAnsi="Helvetica" w:cs="Helvetica"/>
              </w:rPr>
              <w:t>2</w:t>
            </w:r>
          </w:p>
        </w:tc>
        <w:tc>
          <w:tcPr>
            <w:tcW w:w="1711" w:type="dxa"/>
            <w:tcBorders>
              <w:top w:val="single" w:sz="4" w:space="0" w:color="auto"/>
              <w:left w:val="single" w:sz="4" w:space="0" w:color="auto"/>
              <w:bottom w:val="single" w:sz="4" w:space="0" w:color="auto"/>
              <w:right w:val="single" w:sz="4" w:space="0" w:color="auto"/>
            </w:tcBorders>
            <w:vAlign w:val="center"/>
            <w:hideMark/>
          </w:tcPr>
          <w:p w14:paraId="24D8A76D" w14:textId="77777777" w:rsidR="006C0C1F" w:rsidRPr="0041262C" w:rsidRDefault="006C0C1F" w:rsidP="006C0C1F">
            <w:pPr>
              <w:pStyle w:val="E3tabletext1"/>
              <w:rPr>
                <w:rFonts w:ascii="Helvetica" w:hAnsi="Helvetica" w:cs="Helvetica"/>
              </w:rPr>
            </w:pPr>
            <w:r w:rsidRPr="0041262C">
              <w:rPr>
                <w:rFonts w:ascii="Helvetica" w:hAnsi="Helvetica" w:cs="Helvetica"/>
              </w:rPr>
              <w:t>IRV</w:t>
            </w:r>
          </w:p>
          <w:p w14:paraId="269BBB7E" w14:textId="77777777" w:rsidR="006C0C1F" w:rsidRPr="0041262C" w:rsidRDefault="006C0C1F" w:rsidP="006C0C1F">
            <w:pPr>
              <w:pStyle w:val="E3tabletext1"/>
              <w:rPr>
                <w:rFonts w:ascii="Helvetica" w:hAnsi="Helvetica" w:cs="Helvetica"/>
              </w:rPr>
            </w:pPr>
            <w:r w:rsidRPr="0041262C">
              <w:rPr>
                <w:rFonts w:ascii="Helvetica" w:hAnsi="Helvetica" w:cs="Helvetica"/>
              </w:rPr>
              <w:t>Integral Refrigerated Vertical Cabinets</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3F74A1C5"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786EE9F7"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52129C0B" w14:textId="77777777" w:rsidR="006C0C1F" w:rsidRPr="0041262C" w:rsidRDefault="006C0C1F" w:rsidP="006C0C1F">
            <w:pPr>
              <w:pStyle w:val="E3tabletext1"/>
              <w:rPr>
                <w:rFonts w:ascii="Helvetica" w:hAnsi="Helvetica" w:cs="Helvetica"/>
              </w:rPr>
            </w:pPr>
            <w:r w:rsidRPr="0041262C">
              <w:rPr>
                <w:rFonts w:ascii="Helvetica" w:hAnsi="Helvetica" w:cs="Helvetica"/>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EF940D1" w14:textId="77777777" w:rsidR="006C0C1F" w:rsidRPr="0041262C" w:rsidRDefault="006C0C1F" w:rsidP="006C0C1F">
            <w:pPr>
              <w:pStyle w:val="E3tabletext1"/>
              <w:rPr>
                <w:rFonts w:ascii="Helvetica" w:hAnsi="Helvetica" w:cs="Helvetica"/>
              </w:rPr>
            </w:pPr>
            <w:r w:rsidRPr="0041262C">
              <w:rPr>
                <w:rFonts w:ascii="Helvetica" w:hAnsi="Helvetica" w:cs="Helvetica"/>
              </w:rPr>
              <w:t>IVC1, IVC2, IVC3</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2B385E34" w14:textId="77777777" w:rsidR="006C0C1F" w:rsidRPr="0041262C" w:rsidRDefault="006C0C1F" w:rsidP="006C0C1F">
            <w:pPr>
              <w:pStyle w:val="E3tabletext1"/>
              <w:rPr>
                <w:rFonts w:ascii="Helvetica" w:hAnsi="Helvetica" w:cs="Helvetica"/>
              </w:rPr>
            </w:pPr>
            <w:r w:rsidRPr="0041262C">
              <w:rPr>
                <w:rFonts w:ascii="Helvetica" w:hAnsi="Helvetica" w:cs="Helvetica"/>
              </w:rPr>
              <w:t>IVC1, IVC2, IVC3, IYC1, IYC2, IYC3</w:t>
            </w:r>
          </w:p>
        </w:tc>
        <w:tc>
          <w:tcPr>
            <w:tcW w:w="991" w:type="dxa"/>
            <w:tcBorders>
              <w:top w:val="single" w:sz="4" w:space="0" w:color="auto"/>
              <w:left w:val="single" w:sz="4" w:space="0" w:color="auto"/>
              <w:bottom w:val="single" w:sz="4" w:space="0" w:color="auto"/>
              <w:right w:val="single" w:sz="4" w:space="0" w:color="auto"/>
            </w:tcBorders>
            <w:vAlign w:val="center"/>
          </w:tcPr>
          <w:p w14:paraId="2C82C749" w14:textId="77777777" w:rsidR="006C0C1F" w:rsidRPr="0041262C" w:rsidRDefault="006C0C1F" w:rsidP="006C0C1F">
            <w:pPr>
              <w:pStyle w:val="E3tabletext1"/>
              <w:rPr>
                <w:rFonts w:ascii="Helvetica" w:hAnsi="Helvetica" w:cs="Helvetica"/>
              </w:rPr>
            </w:pPr>
            <w:r w:rsidRPr="0041262C">
              <w:rPr>
                <w:rFonts w:ascii="Helvetica" w:hAnsi="Helvetica" w:cs="Helvetica"/>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3023FF8E" w14:textId="77777777" w:rsidR="006C0C1F" w:rsidRPr="0041262C" w:rsidRDefault="006C0C1F" w:rsidP="006C0C1F">
            <w:pPr>
              <w:pStyle w:val="E3tabletext1"/>
              <w:rPr>
                <w:rFonts w:ascii="Helvetica" w:hAnsi="Helvetica" w:cs="Helvetica"/>
              </w:rPr>
            </w:pPr>
            <w:r w:rsidRPr="0041262C">
              <w:rPr>
                <w:rFonts w:ascii="Helvetica" w:hAnsi="Helvetica" w:cs="Helvetica"/>
              </w:rPr>
              <w:t>1%</w:t>
            </w:r>
          </w:p>
        </w:tc>
      </w:tr>
      <w:tr w:rsidR="006C0C1F" w14:paraId="1B68A7A3"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2787DFED" w14:textId="77777777" w:rsidR="006C0C1F" w:rsidRPr="0041262C" w:rsidRDefault="006C0C1F" w:rsidP="006C0C1F">
            <w:pPr>
              <w:pStyle w:val="E3tabletext1"/>
              <w:rPr>
                <w:rFonts w:ascii="Helvetica" w:hAnsi="Helvetica" w:cs="Helvetica"/>
              </w:rPr>
            </w:pPr>
            <w:r w:rsidRPr="0041262C">
              <w:rPr>
                <w:rFonts w:ascii="Helvetica" w:hAnsi="Helvetica" w:cs="Helvetica"/>
              </w:rPr>
              <w:t>3</w:t>
            </w:r>
          </w:p>
        </w:tc>
        <w:tc>
          <w:tcPr>
            <w:tcW w:w="1711" w:type="dxa"/>
            <w:tcBorders>
              <w:top w:val="single" w:sz="4" w:space="0" w:color="auto"/>
              <w:left w:val="single" w:sz="4" w:space="0" w:color="auto"/>
              <w:bottom w:val="single" w:sz="4" w:space="0" w:color="auto"/>
              <w:right w:val="single" w:sz="4" w:space="0" w:color="auto"/>
            </w:tcBorders>
            <w:vAlign w:val="center"/>
            <w:hideMark/>
          </w:tcPr>
          <w:p w14:paraId="22A65B8B" w14:textId="77777777" w:rsidR="006C0C1F" w:rsidRPr="0041262C" w:rsidRDefault="006C0C1F" w:rsidP="006C0C1F">
            <w:pPr>
              <w:pStyle w:val="E3tabletext1"/>
              <w:rPr>
                <w:rFonts w:ascii="Helvetica" w:hAnsi="Helvetica" w:cs="Helvetica"/>
              </w:rPr>
            </w:pPr>
            <w:r w:rsidRPr="0041262C">
              <w:rPr>
                <w:rFonts w:ascii="Helvetica" w:hAnsi="Helvetica" w:cs="Helvetica"/>
              </w:rPr>
              <w:t>IRV-4</w:t>
            </w:r>
          </w:p>
          <w:p w14:paraId="6312B22B" w14:textId="77777777" w:rsidR="006C0C1F" w:rsidRPr="0041262C" w:rsidRDefault="006C0C1F" w:rsidP="006C0C1F">
            <w:pPr>
              <w:pStyle w:val="E3tabletext1"/>
              <w:rPr>
                <w:rFonts w:ascii="Helvetica" w:hAnsi="Helvetica" w:cs="Helvetica"/>
              </w:rPr>
            </w:pPr>
            <w:r w:rsidRPr="0041262C">
              <w:rPr>
                <w:rFonts w:ascii="Helvetica" w:hAnsi="Helvetica" w:cs="Helvetica"/>
              </w:rPr>
              <w:t>Integral Refrigerated Vertical Cabinets with Glass Door</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F4A112F"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378211B0"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13ED7012"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16F121EE" w14:textId="77777777" w:rsidR="006C0C1F" w:rsidRPr="0041262C" w:rsidRDefault="006C0C1F" w:rsidP="006C0C1F">
            <w:pPr>
              <w:pStyle w:val="E3tabletext1"/>
              <w:rPr>
                <w:rFonts w:ascii="Helvetica" w:hAnsi="Helvetica" w:cs="Helvetica"/>
              </w:rPr>
            </w:pPr>
            <w:r w:rsidRPr="0041262C">
              <w:rPr>
                <w:rFonts w:ascii="Helvetica" w:hAnsi="Helvetica" w:cs="Helvetica"/>
              </w:rPr>
              <w:t>IVC4 Glass door</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3BAF7490" w14:textId="77777777" w:rsidR="006C0C1F" w:rsidRPr="0041262C" w:rsidRDefault="006C0C1F" w:rsidP="006C0C1F">
            <w:pPr>
              <w:pStyle w:val="E3tabletext1"/>
              <w:rPr>
                <w:rFonts w:ascii="Helvetica" w:hAnsi="Helvetica" w:cs="Helvetica"/>
              </w:rPr>
            </w:pPr>
            <w:r w:rsidRPr="0041262C">
              <w:rPr>
                <w:rFonts w:ascii="Helvetica" w:hAnsi="Helvetica" w:cs="Helvetica"/>
              </w:rPr>
              <w:t>IVC4, IYC4</w:t>
            </w:r>
          </w:p>
        </w:tc>
        <w:tc>
          <w:tcPr>
            <w:tcW w:w="991" w:type="dxa"/>
            <w:tcBorders>
              <w:top w:val="single" w:sz="4" w:space="0" w:color="auto"/>
              <w:left w:val="single" w:sz="4" w:space="0" w:color="auto"/>
              <w:bottom w:val="single" w:sz="4" w:space="0" w:color="auto"/>
              <w:right w:val="single" w:sz="4" w:space="0" w:color="auto"/>
            </w:tcBorders>
            <w:vAlign w:val="center"/>
          </w:tcPr>
          <w:p w14:paraId="55178EA1" w14:textId="77777777" w:rsidR="006C0C1F" w:rsidRPr="0041262C" w:rsidRDefault="006C0C1F" w:rsidP="006C0C1F">
            <w:pPr>
              <w:pStyle w:val="E3tabletext1"/>
              <w:rPr>
                <w:rFonts w:ascii="Helvetica" w:hAnsi="Helvetica" w:cs="Helvetica"/>
              </w:rPr>
            </w:pPr>
            <w:r w:rsidRPr="0041262C">
              <w:rPr>
                <w:rFonts w:ascii="Helvetica" w:hAnsi="Helvetica" w:cs="Helvetica"/>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3C799EC" w14:textId="77777777" w:rsidR="006C0C1F" w:rsidRPr="0041262C" w:rsidRDefault="006C0C1F" w:rsidP="006C0C1F">
            <w:pPr>
              <w:pStyle w:val="E3tabletext1"/>
              <w:rPr>
                <w:rFonts w:ascii="Helvetica" w:hAnsi="Helvetica" w:cs="Helvetica"/>
              </w:rPr>
            </w:pPr>
            <w:r w:rsidRPr="0041262C">
              <w:rPr>
                <w:rFonts w:ascii="Helvetica" w:hAnsi="Helvetica" w:cs="Helvetica"/>
              </w:rPr>
              <w:t>6%</w:t>
            </w:r>
          </w:p>
        </w:tc>
      </w:tr>
      <w:tr w:rsidR="006C0C1F" w14:paraId="298B442F"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18F3D4D6" w14:textId="77777777" w:rsidR="006C0C1F" w:rsidRPr="0041262C" w:rsidRDefault="006C0C1F" w:rsidP="006C0C1F">
            <w:pPr>
              <w:pStyle w:val="E3tabletext1"/>
              <w:rPr>
                <w:rFonts w:ascii="Helvetica" w:hAnsi="Helvetica" w:cs="Helvetica"/>
              </w:rPr>
            </w:pPr>
            <w:r w:rsidRPr="0041262C">
              <w:rPr>
                <w:rFonts w:ascii="Helvetica" w:hAnsi="Helvetica" w:cs="Helvetica"/>
              </w:rPr>
              <w:t>4</w:t>
            </w:r>
          </w:p>
        </w:tc>
        <w:tc>
          <w:tcPr>
            <w:tcW w:w="1711" w:type="dxa"/>
            <w:tcBorders>
              <w:top w:val="single" w:sz="4" w:space="0" w:color="auto"/>
              <w:left w:val="single" w:sz="4" w:space="0" w:color="auto"/>
              <w:bottom w:val="single" w:sz="4" w:space="0" w:color="auto"/>
              <w:right w:val="single" w:sz="4" w:space="0" w:color="auto"/>
            </w:tcBorders>
            <w:vAlign w:val="center"/>
            <w:hideMark/>
          </w:tcPr>
          <w:p w14:paraId="5D38C732" w14:textId="77777777" w:rsidR="006C0C1F" w:rsidRPr="0041262C" w:rsidRDefault="006C0C1F" w:rsidP="006C0C1F">
            <w:pPr>
              <w:pStyle w:val="E3tabletext1"/>
              <w:rPr>
                <w:rFonts w:ascii="Helvetica" w:hAnsi="Helvetica" w:cs="Helvetica"/>
              </w:rPr>
            </w:pPr>
            <w:r w:rsidRPr="0041262C">
              <w:rPr>
                <w:rFonts w:ascii="Helvetica" w:hAnsi="Helvetica" w:cs="Helvetica"/>
              </w:rPr>
              <w:t>IFH</w:t>
            </w:r>
          </w:p>
          <w:p w14:paraId="663E9E81" w14:textId="77777777" w:rsidR="006C0C1F" w:rsidRPr="0041262C" w:rsidRDefault="006C0C1F" w:rsidP="006C0C1F">
            <w:pPr>
              <w:pStyle w:val="E3tabletext1"/>
              <w:rPr>
                <w:rFonts w:ascii="Helvetica" w:hAnsi="Helvetica" w:cs="Helvetica"/>
              </w:rPr>
            </w:pPr>
            <w:r w:rsidRPr="0041262C">
              <w:rPr>
                <w:rFonts w:ascii="Helvetica" w:hAnsi="Helvetica" w:cs="Helvetica"/>
              </w:rPr>
              <w:t>Integral Freezer Horizontal</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0B53B6CC"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25987439" w14:textId="77777777" w:rsidR="006C0C1F" w:rsidRPr="0041262C" w:rsidRDefault="006C0C1F" w:rsidP="006C0C1F">
            <w:pPr>
              <w:pStyle w:val="E3tabletext1"/>
              <w:rPr>
                <w:rFonts w:ascii="Helvetica" w:hAnsi="Helvetica" w:cs="Helvetica"/>
              </w:rPr>
            </w:pPr>
            <w:r w:rsidRPr="0041262C">
              <w:rPr>
                <w:rFonts w:ascii="Helvetica" w:hAnsi="Helvetica" w:cs="Helvetica"/>
              </w:rPr>
              <w:t>Freezer</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64AF6674" w14:textId="77777777" w:rsidR="006C0C1F" w:rsidRPr="0041262C" w:rsidRDefault="006C0C1F" w:rsidP="006C0C1F">
            <w:pPr>
              <w:pStyle w:val="E3tabletext1"/>
              <w:rPr>
                <w:rFonts w:ascii="Helvetica" w:hAnsi="Helvetica" w:cs="Helvetica"/>
              </w:rPr>
            </w:pPr>
            <w:r w:rsidRPr="0041262C">
              <w:rPr>
                <w:rFonts w:ascii="Helvetica" w:hAnsi="Helvetica" w:cs="Helvetica"/>
              </w:rPr>
              <w:t>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37FA4F60" w14:textId="77777777" w:rsidR="006C0C1F" w:rsidRPr="0041262C" w:rsidRDefault="006C0C1F" w:rsidP="006C0C1F">
            <w:pPr>
              <w:pStyle w:val="E3tabletext1"/>
              <w:rPr>
                <w:rFonts w:ascii="Helvetica" w:hAnsi="Helvetica" w:cs="Helvetica"/>
              </w:rPr>
            </w:pPr>
            <w:r w:rsidRPr="0041262C">
              <w:rPr>
                <w:rFonts w:ascii="Helvetica" w:hAnsi="Helvetica" w:cs="Helvetica"/>
              </w:rPr>
              <w:t>IHF1, IHF3, IHF4</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18C3EA8C" w14:textId="77777777" w:rsidR="006C0C1F" w:rsidRPr="0041262C" w:rsidRDefault="006C0C1F" w:rsidP="006C0C1F">
            <w:pPr>
              <w:pStyle w:val="E3tabletext1"/>
              <w:rPr>
                <w:rFonts w:ascii="Helvetica" w:hAnsi="Helvetica" w:cs="Helvetica"/>
              </w:rPr>
            </w:pPr>
            <w:r w:rsidRPr="0041262C">
              <w:rPr>
                <w:rFonts w:ascii="Helvetica" w:hAnsi="Helvetica" w:cs="Helvetica"/>
              </w:rPr>
              <w:t>IHF1, IHF3, IHF4</w:t>
            </w:r>
          </w:p>
        </w:tc>
        <w:tc>
          <w:tcPr>
            <w:tcW w:w="991" w:type="dxa"/>
            <w:tcBorders>
              <w:top w:val="single" w:sz="4" w:space="0" w:color="auto"/>
              <w:left w:val="single" w:sz="4" w:space="0" w:color="auto"/>
              <w:bottom w:val="single" w:sz="4" w:space="0" w:color="auto"/>
              <w:right w:val="single" w:sz="4" w:space="0" w:color="auto"/>
            </w:tcBorders>
            <w:vAlign w:val="center"/>
          </w:tcPr>
          <w:p w14:paraId="2F09BA14" w14:textId="77777777" w:rsidR="006C0C1F" w:rsidRPr="0041262C" w:rsidRDefault="006C0C1F" w:rsidP="006C0C1F">
            <w:pPr>
              <w:pStyle w:val="E3tabletext1"/>
              <w:rPr>
                <w:rFonts w:ascii="Helvetica" w:hAnsi="Helvetica" w:cs="Helvetica"/>
              </w:rPr>
            </w:pPr>
            <w:r w:rsidRPr="0041262C">
              <w:rPr>
                <w:rFonts w:ascii="Helvetica" w:hAnsi="Helvetica" w:cs="Helvetica"/>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2334541B" w14:textId="77777777" w:rsidR="006C0C1F" w:rsidRPr="0041262C" w:rsidRDefault="006C0C1F" w:rsidP="006C0C1F">
            <w:pPr>
              <w:pStyle w:val="E3tabletext1"/>
              <w:rPr>
                <w:rFonts w:ascii="Helvetica" w:hAnsi="Helvetica" w:cs="Helvetica"/>
              </w:rPr>
            </w:pPr>
            <w:r w:rsidRPr="0041262C">
              <w:rPr>
                <w:rFonts w:ascii="Helvetica" w:hAnsi="Helvetica" w:cs="Helvetica"/>
              </w:rPr>
              <w:t>0%</w:t>
            </w:r>
          </w:p>
        </w:tc>
      </w:tr>
      <w:tr w:rsidR="006C0C1F" w14:paraId="56A1D7CF"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EC397A3" w14:textId="77777777" w:rsidR="006C0C1F" w:rsidRPr="0041262C" w:rsidRDefault="006C0C1F" w:rsidP="006C0C1F">
            <w:pPr>
              <w:pStyle w:val="E3tabletext1"/>
              <w:rPr>
                <w:rFonts w:ascii="Helvetica" w:hAnsi="Helvetica" w:cs="Helvetica"/>
              </w:rPr>
            </w:pPr>
            <w:r w:rsidRPr="0041262C">
              <w:rPr>
                <w:rFonts w:ascii="Helvetica" w:hAnsi="Helvetica" w:cs="Helvetica"/>
              </w:rPr>
              <w:t>5</w:t>
            </w:r>
          </w:p>
        </w:tc>
        <w:tc>
          <w:tcPr>
            <w:tcW w:w="1711" w:type="dxa"/>
            <w:tcBorders>
              <w:top w:val="single" w:sz="4" w:space="0" w:color="auto"/>
              <w:left w:val="single" w:sz="4" w:space="0" w:color="auto"/>
              <w:bottom w:val="single" w:sz="4" w:space="0" w:color="auto"/>
              <w:right w:val="single" w:sz="4" w:space="0" w:color="auto"/>
            </w:tcBorders>
            <w:vAlign w:val="center"/>
            <w:hideMark/>
          </w:tcPr>
          <w:p w14:paraId="109D3CE2" w14:textId="77777777" w:rsidR="006C0C1F" w:rsidRPr="0041262C" w:rsidRDefault="006C0C1F" w:rsidP="006C0C1F">
            <w:pPr>
              <w:pStyle w:val="E3tabletext1"/>
              <w:rPr>
                <w:rFonts w:ascii="Helvetica" w:hAnsi="Helvetica" w:cs="Helvetica"/>
              </w:rPr>
            </w:pPr>
            <w:r w:rsidRPr="0041262C">
              <w:rPr>
                <w:rFonts w:ascii="Helvetica" w:hAnsi="Helvetica" w:cs="Helvetica"/>
              </w:rPr>
              <w:t>IFH-5</w:t>
            </w:r>
          </w:p>
          <w:p w14:paraId="7B355675" w14:textId="77777777" w:rsidR="006C0C1F" w:rsidRPr="0041262C" w:rsidRDefault="006C0C1F" w:rsidP="006C0C1F">
            <w:pPr>
              <w:pStyle w:val="E3tabletext1"/>
              <w:rPr>
                <w:rFonts w:ascii="Helvetica" w:hAnsi="Helvetica" w:cs="Helvetica"/>
              </w:rPr>
            </w:pPr>
            <w:r w:rsidRPr="0041262C">
              <w:rPr>
                <w:rFonts w:ascii="Helvetica" w:hAnsi="Helvetica" w:cs="Helvetica"/>
              </w:rPr>
              <w:t>Integral Freezer Horizontal with Lid</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4842B4B9"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421BFE8A"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4700CC19"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04A2BE5E" w14:textId="77777777" w:rsidR="006C0C1F" w:rsidRPr="0041262C" w:rsidRDefault="006C0C1F" w:rsidP="006C0C1F">
            <w:pPr>
              <w:pStyle w:val="E3tabletext1"/>
              <w:rPr>
                <w:rFonts w:ascii="Helvetica" w:hAnsi="Helvetica" w:cs="Helvetica"/>
              </w:rPr>
            </w:pPr>
            <w:r w:rsidRPr="0041262C">
              <w:rPr>
                <w:rFonts w:ascii="Helvetica" w:hAnsi="Helvetica" w:cs="Helvetica"/>
              </w:rPr>
              <w:t>IHF5, IHF6</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726DC31C" w14:textId="77777777" w:rsidR="006C0C1F" w:rsidRPr="0041262C" w:rsidRDefault="006C0C1F" w:rsidP="006C0C1F">
            <w:pPr>
              <w:pStyle w:val="E3tabletext1"/>
              <w:rPr>
                <w:rFonts w:ascii="Helvetica" w:hAnsi="Helvetica" w:cs="Helvetica"/>
              </w:rPr>
            </w:pPr>
            <w:r w:rsidRPr="0041262C">
              <w:rPr>
                <w:rFonts w:ascii="Helvetica" w:hAnsi="Helvetica" w:cs="Helvetica"/>
              </w:rPr>
              <w:t>IHF5, IHF6</w:t>
            </w:r>
          </w:p>
        </w:tc>
        <w:tc>
          <w:tcPr>
            <w:tcW w:w="991" w:type="dxa"/>
            <w:tcBorders>
              <w:top w:val="single" w:sz="4" w:space="0" w:color="auto"/>
              <w:left w:val="single" w:sz="4" w:space="0" w:color="auto"/>
              <w:bottom w:val="single" w:sz="4" w:space="0" w:color="auto"/>
              <w:right w:val="single" w:sz="4" w:space="0" w:color="auto"/>
            </w:tcBorders>
            <w:vAlign w:val="center"/>
          </w:tcPr>
          <w:p w14:paraId="77E2F464" w14:textId="77777777" w:rsidR="006C0C1F" w:rsidRPr="0041262C" w:rsidRDefault="006C0C1F" w:rsidP="006C0C1F">
            <w:pPr>
              <w:pStyle w:val="E3tabletext1"/>
              <w:rPr>
                <w:rFonts w:ascii="Helvetica" w:hAnsi="Helvetica" w:cs="Helvetica"/>
              </w:rPr>
            </w:pPr>
            <w:r w:rsidRPr="0041262C">
              <w:rPr>
                <w:rFonts w:ascii="Helvetica" w:hAnsi="Helvetica" w:cs="Helvetica"/>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58C69DD5" w14:textId="77777777" w:rsidR="006C0C1F" w:rsidRPr="0041262C" w:rsidRDefault="006C0C1F" w:rsidP="006C0C1F">
            <w:pPr>
              <w:pStyle w:val="E3tabletext1"/>
              <w:rPr>
                <w:rFonts w:ascii="Helvetica" w:hAnsi="Helvetica" w:cs="Helvetica"/>
              </w:rPr>
            </w:pPr>
            <w:r w:rsidRPr="0041262C">
              <w:rPr>
                <w:rFonts w:ascii="Helvetica" w:hAnsi="Helvetica" w:cs="Helvetica"/>
              </w:rPr>
              <w:t>55%</w:t>
            </w:r>
          </w:p>
        </w:tc>
      </w:tr>
      <w:tr w:rsidR="006C0C1F" w14:paraId="12A1C96D"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19E0FB77" w14:textId="77777777" w:rsidR="006C0C1F" w:rsidRPr="0041262C" w:rsidRDefault="006C0C1F" w:rsidP="006C0C1F">
            <w:pPr>
              <w:pStyle w:val="E3tabletext1"/>
              <w:rPr>
                <w:rFonts w:ascii="Helvetica" w:hAnsi="Helvetica" w:cs="Helvetica"/>
              </w:rPr>
            </w:pPr>
            <w:r w:rsidRPr="0041262C">
              <w:rPr>
                <w:rFonts w:ascii="Helvetica" w:hAnsi="Helvetica" w:cs="Helvetica"/>
              </w:rPr>
              <w:t>6</w:t>
            </w:r>
          </w:p>
        </w:tc>
        <w:tc>
          <w:tcPr>
            <w:tcW w:w="1711" w:type="dxa"/>
            <w:tcBorders>
              <w:top w:val="single" w:sz="4" w:space="0" w:color="auto"/>
              <w:left w:val="single" w:sz="4" w:space="0" w:color="auto"/>
              <w:bottom w:val="single" w:sz="4" w:space="0" w:color="auto"/>
              <w:right w:val="single" w:sz="4" w:space="0" w:color="auto"/>
            </w:tcBorders>
            <w:vAlign w:val="center"/>
            <w:hideMark/>
          </w:tcPr>
          <w:p w14:paraId="671BC0D8" w14:textId="77777777" w:rsidR="006C0C1F" w:rsidRPr="0041262C" w:rsidRDefault="006C0C1F" w:rsidP="006C0C1F">
            <w:pPr>
              <w:pStyle w:val="E3tabletext1"/>
              <w:rPr>
                <w:rFonts w:ascii="Helvetica" w:hAnsi="Helvetica" w:cs="Helvetica"/>
              </w:rPr>
            </w:pPr>
            <w:r w:rsidRPr="0041262C">
              <w:rPr>
                <w:rFonts w:ascii="Helvetica" w:hAnsi="Helvetica" w:cs="Helvetica"/>
              </w:rPr>
              <w:t>IFV</w:t>
            </w:r>
          </w:p>
          <w:p w14:paraId="2EC21CA6" w14:textId="77777777" w:rsidR="006C0C1F" w:rsidRPr="0041262C" w:rsidRDefault="006C0C1F" w:rsidP="006C0C1F">
            <w:pPr>
              <w:pStyle w:val="E3tabletext1"/>
              <w:rPr>
                <w:rFonts w:ascii="Helvetica" w:hAnsi="Helvetica" w:cs="Helvetica"/>
              </w:rPr>
            </w:pPr>
            <w:r w:rsidRPr="0041262C">
              <w:rPr>
                <w:rFonts w:ascii="Helvetica" w:hAnsi="Helvetica" w:cs="Helvetica"/>
              </w:rPr>
              <w:t>Integral Freezer Vertical</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67D1E1A5"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79CA72DF"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66A5BF7C" w14:textId="77777777" w:rsidR="006C0C1F" w:rsidRPr="0041262C" w:rsidRDefault="006C0C1F" w:rsidP="006C0C1F">
            <w:pPr>
              <w:pStyle w:val="E3tabletext1"/>
              <w:rPr>
                <w:rFonts w:ascii="Helvetica" w:hAnsi="Helvetica" w:cs="Helvetica"/>
              </w:rPr>
            </w:pPr>
            <w:r w:rsidRPr="0041262C">
              <w:rPr>
                <w:rFonts w:ascii="Helvetica" w:hAnsi="Helvetica" w:cs="Helvetica"/>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7FAFD63A" w14:textId="77777777" w:rsidR="006C0C1F" w:rsidRPr="0041262C" w:rsidRDefault="006C0C1F" w:rsidP="006C0C1F">
            <w:pPr>
              <w:pStyle w:val="E3tabletext1"/>
              <w:rPr>
                <w:rFonts w:ascii="Helvetica" w:hAnsi="Helvetica" w:cs="Helvetica"/>
              </w:rPr>
            </w:pPr>
            <w:r w:rsidRPr="0041262C">
              <w:rPr>
                <w:rFonts w:ascii="Helvetica" w:hAnsi="Helvetica" w:cs="Helvetica"/>
              </w:rPr>
              <w:t>IVF1, IVF2, IVF4 Glass door</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17BA7BA3" w14:textId="77777777" w:rsidR="006C0C1F" w:rsidRPr="0041262C" w:rsidRDefault="006C0C1F" w:rsidP="006C0C1F">
            <w:pPr>
              <w:pStyle w:val="E3tabletext1"/>
              <w:rPr>
                <w:rFonts w:ascii="Helvetica" w:hAnsi="Helvetica" w:cs="Helvetica"/>
              </w:rPr>
            </w:pPr>
            <w:r w:rsidRPr="0041262C">
              <w:rPr>
                <w:rFonts w:ascii="Helvetica" w:hAnsi="Helvetica" w:cs="Helvetica"/>
              </w:rPr>
              <w:t>IVF1, IVF2, IVF4, IYF1, IYF2, IYF3, IYF4</w:t>
            </w:r>
          </w:p>
        </w:tc>
        <w:tc>
          <w:tcPr>
            <w:tcW w:w="991" w:type="dxa"/>
            <w:tcBorders>
              <w:top w:val="single" w:sz="4" w:space="0" w:color="auto"/>
              <w:left w:val="single" w:sz="4" w:space="0" w:color="auto"/>
              <w:bottom w:val="single" w:sz="4" w:space="0" w:color="auto"/>
              <w:right w:val="single" w:sz="4" w:space="0" w:color="auto"/>
            </w:tcBorders>
            <w:vAlign w:val="center"/>
          </w:tcPr>
          <w:p w14:paraId="6825ECC3" w14:textId="77777777" w:rsidR="006C0C1F" w:rsidRPr="0041262C" w:rsidRDefault="006C0C1F" w:rsidP="006C0C1F">
            <w:pPr>
              <w:pStyle w:val="E3tabletext1"/>
              <w:rPr>
                <w:rFonts w:ascii="Helvetica" w:hAnsi="Helvetica" w:cs="Helvetica"/>
              </w:rPr>
            </w:pPr>
            <w:r w:rsidRPr="0041262C">
              <w:rPr>
                <w:rFonts w:ascii="Helvetica" w:hAnsi="Helvetica" w:cs="Helvetica"/>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11F8D8CC" w14:textId="77777777" w:rsidR="006C0C1F" w:rsidRPr="0041262C" w:rsidRDefault="006C0C1F" w:rsidP="006C0C1F">
            <w:pPr>
              <w:pStyle w:val="E3tabletext1"/>
              <w:rPr>
                <w:rFonts w:ascii="Helvetica" w:hAnsi="Helvetica" w:cs="Helvetica"/>
              </w:rPr>
            </w:pPr>
            <w:r w:rsidRPr="0041262C">
              <w:rPr>
                <w:rFonts w:ascii="Helvetica" w:hAnsi="Helvetica" w:cs="Helvetica"/>
              </w:rPr>
              <w:t>12%</w:t>
            </w:r>
          </w:p>
        </w:tc>
      </w:tr>
      <w:tr w:rsidR="006C0C1F" w14:paraId="6B66160C"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63B920BB" w14:textId="77777777" w:rsidR="006C0C1F" w:rsidRPr="0041262C" w:rsidRDefault="006C0C1F" w:rsidP="006C0C1F">
            <w:pPr>
              <w:pStyle w:val="E3tabletext1"/>
              <w:rPr>
                <w:rFonts w:ascii="Helvetica" w:hAnsi="Helvetica" w:cs="Helvetica"/>
              </w:rPr>
            </w:pPr>
            <w:r w:rsidRPr="0041262C">
              <w:rPr>
                <w:rFonts w:ascii="Helvetica" w:hAnsi="Helvetica" w:cs="Helvetica"/>
              </w:rPr>
              <w:t>7</w:t>
            </w:r>
          </w:p>
        </w:tc>
        <w:tc>
          <w:tcPr>
            <w:tcW w:w="1711" w:type="dxa"/>
            <w:tcBorders>
              <w:top w:val="single" w:sz="4" w:space="0" w:color="auto"/>
              <w:left w:val="single" w:sz="4" w:space="0" w:color="auto"/>
              <w:bottom w:val="single" w:sz="4" w:space="0" w:color="auto"/>
              <w:right w:val="single" w:sz="4" w:space="0" w:color="auto"/>
            </w:tcBorders>
            <w:vAlign w:val="center"/>
            <w:hideMark/>
          </w:tcPr>
          <w:p w14:paraId="5029805F" w14:textId="77777777" w:rsidR="006C0C1F" w:rsidRPr="0041262C" w:rsidRDefault="006C0C1F" w:rsidP="006C0C1F">
            <w:pPr>
              <w:pStyle w:val="E3tabletext1"/>
              <w:rPr>
                <w:rFonts w:ascii="Helvetica" w:hAnsi="Helvetica" w:cs="Helvetica"/>
              </w:rPr>
            </w:pPr>
            <w:r w:rsidRPr="0041262C">
              <w:rPr>
                <w:rFonts w:ascii="Helvetica" w:hAnsi="Helvetica" w:cs="Helvetica"/>
              </w:rPr>
              <w:t>RRH</w:t>
            </w:r>
          </w:p>
          <w:p w14:paraId="632E9F91" w14:textId="77777777" w:rsidR="006C0C1F" w:rsidRPr="0041262C" w:rsidRDefault="006C0C1F" w:rsidP="006C0C1F">
            <w:pPr>
              <w:pStyle w:val="E3tabletext1"/>
              <w:rPr>
                <w:rFonts w:ascii="Helvetica" w:hAnsi="Helvetica" w:cs="Helvetica"/>
              </w:rPr>
            </w:pPr>
            <w:r w:rsidRPr="0041262C">
              <w:rPr>
                <w:rFonts w:ascii="Helvetica" w:hAnsi="Helvetica" w:cs="Helvetica"/>
              </w:rPr>
              <w:t>Remote Refrigerated Horizontal Cabinets</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0EAC5C77" w14:textId="77777777" w:rsidR="006C0C1F" w:rsidRPr="0041262C" w:rsidRDefault="006C0C1F" w:rsidP="006C0C1F">
            <w:pPr>
              <w:pStyle w:val="E3tabletext1"/>
              <w:rPr>
                <w:rFonts w:ascii="Helvetica" w:hAnsi="Helvetica" w:cs="Helvetica"/>
              </w:rPr>
            </w:pPr>
            <w:r w:rsidRPr="0041262C">
              <w:rPr>
                <w:rFonts w:ascii="Helvetica" w:hAnsi="Helvetica" w:cs="Helvetica"/>
              </w:rPr>
              <w:t xml:space="preserve">Remote Refrigerated Display Cabinets </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0563EC18" w14:textId="77777777" w:rsidR="006C0C1F" w:rsidRPr="0041262C" w:rsidRDefault="006C0C1F" w:rsidP="006C0C1F">
            <w:pPr>
              <w:pStyle w:val="E3tabletext1"/>
              <w:rPr>
                <w:rFonts w:ascii="Helvetica" w:hAnsi="Helvetica" w:cs="Helvetica"/>
              </w:rPr>
            </w:pPr>
            <w:r w:rsidRPr="0041262C">
              <w:rPr>
                <w:rFonts w:ascii="Helvetica" w:hAnsi="Helvetica" w:cs="Helvetica"/>
              </w:rPr>
              <w:t>Refrigerator</w:t>
            </w:r>
          </w:p>
        </w:tc>
        <w:tc>
          <w:tcPr>
            <w:tcW w:w="991" w:type="dxa"/>
            <w:tcBorders>
              <w:top w:val="single" w:sz="4" w:space="0" w:color="auto"/>
              <w:left w:val="single" w:sz="4" w:space="0" w:color="auto"/>
              <w:bottom w:val="single" w:sz="4" w:space="0" w:color="auto"/>
              <w:right w:val="single" w:sz="4" w:space="0" w:color="auto"/>
            </w:tcBorders>
            <w:vAlign w:val="center"/>
            <w:hideMark/>
          </w:tcPr>
          <w:p w14:paraId="6565044C" w14:textId="77777777" w:rsidR="006C0C1F" w:rsidRPr="0041262C" w:rsidRDefault="006C0C1F" w:rsidP="006C0C1F">
            <w:pPr>
              <w:pStyle w:val="E3tabletext1"/>
              <w:rPr>
                <w:rFonts w:ascii="Helvetica" w:hAnsi="Helvetica" w:cs="Helvetica"/>
              </w:rPr>
            </w:pPr>
            <w:r w:rsidRPr="0041262C">
              <w:rPr>
                <w:rFonts w:ascii="Helvetica" w:hAnsi="Helvetica" w:cs="Helvetica"/>
              </w:rPr>
              <w:t>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6F62BE8F" w14:textId="77777777" w:rsidR="006C0C1F" w:rsidRPr="0041262C" w:rsidRDefault="006C0C1F" w:rsidP="006C0C1F">
            <w:pPr>
              <w:pStyle w:val="E3tabletext1"/>
              <w:rPr>
                <w:rFonts w:ascii="Helvetica" w:hAnsi="Helvetica" w:cs="Helvetica"/>
              </w:rPr>
            </w:pPr>
            <w:r w:rsidRPr="0041262C">
              <w:rPr>
                <w:rFonts w:ascii="Helvetica" w:hAnsi="Helvetica" w:cs="Helvetica"/>
              </w:rPr>
              <w:t>RS6, RS7, RS8, RS9</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3A3563D1" w14:textId="77777777" w:rsidR="006C0C1F" w:rsidRPr="0041262C" w:rsidRDefault="006C0C1F" w:rsidP="006C0C1F">
            <w:pPr>
              <w:pStyle w:val="E3tabletext1"/>
              <w:rPr>
                <w:rFonts w:ascii="Helvetica" w:hAnsi="Helvetica" w:cs="Helvetica"/>
              </w:rPr>
            </w:pPr>
            <w:r w:rsidRPr="0041262C">
              <w:rPr>
                <w:rFonts w:ascii="Helvetica" w:hAnsi="Helvetica" w:cs="Helvetica"/>
              </w:rPr>
              <w:t>RHC1, RHC2, RHC3, RHC4, RHC5, RHC6, RHC7</w:t>
            </w:r>
          </w:p>
        </w:tc>
        <w:tc>
          <w:tcPr>
            <w:tcW w:w="991" w:type="dxa"/>
            <w:tcBorders>
              <w:top w:val="single" w:sz="4" w:space="0" w:color="auto"/>
              <w:left w:val="single" w:sz="4" w:space="0" w:color="auto"/>
              <w:bottom w:val="single" w:sz="4" w:space="0" w:color="auto"/>
              <w:right w:val="single" w:sz="4" w:space="0" w:color="auto"/>
            </w:tcBorders>
            <w:vAlign w:val="center"/>
          </w:tcPr>
          <w:p w14:paraId="2D432A1C" w14:textId="77777777" w:rsidR="006C0C1F" w:rsidRPr="0041262C" w:rsidRDefault="006C0C1F" w:rsidP="006C0C1F">
            <w:pPr>
              <w:pStyle w:val="E3tabletext1"/>
              <w:rPr>
                <w:rFonts w:ascii="Helvetica" w:hAnsi="Helvetica" w:cs="Helvetica"/>
              </w:rPr>
            </w:pPr>
            <w:r w:rsidRPr="0041262C">
              <w:rPr>
                <w:rFonts w:ascii="Helvetica" w:hAnsi="Helvetica" w:cs="Helvetica"/>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4B33E34" w14:textId="77777777" w:rsidR="006C0C1F" w:rsidRPr="0041262C" w:rsidRDefault="006C0C1F" w:rsidP="006C0C1F">
            <w:pPr>
              <w:pStyle w:val="E3tabletext1"/>
              <w:rPr>
                <w:rFonts w:ascii="Helvetica" w:hAnsi="Helvetica" w:cs="Helvetica"/>
              </w:rPr>
            </w:pPr>
            <w:r w:rsidRPr="0041262C">
              <w:rPr>
                <w:rFonts w:ascii="Helvetica" w:hAnsi="Helvetica" w:cs="Helvetica"/>
              </w:rPr>
              <w:t>0%</w:t>
            </w:r>
          </w:p>
        </w:tc>
      </w:tr>
      <w:tr w:rsidR="006C0C1F" w14:paraId="189C1EC4"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4668BD4D" w14:textId="77777777" w:rsidR="006C0C1F" w:rsidRPr="0041262C" w:rsidRDefault="006C0C1F" w:rsidP="006C0C1F">
            <w:pPr>
              <w:pStyle w:val="E3tabletext1"/>
              <w:rPr>
                <w:rFonts w:ascii="Helvetica" w:hAnsi="Helvetica" w:cs="Helvetica"/>
              </w:rPr>
            </w:pPr>
            <w:r w:rsidRPr="0041262C">
              <w:rPr>
                <w:rFonts w:ascii="Helvetica" w:hAnsi="Helvetica" w:cs="Helvetica"/>
              </w:rPr>
              <w:t>8</w:t>
            </w:r>
          </w:p>
        </w:tc>
        <w:tc>
          <w:tcPr>
            <w:tcW w:w="1711" w:type="dxa"/>
            <w:tcBorders>
              <w:top w:val="single" w:sz="4" w:space="0" w:color="auto"/>
              <w:left w:val="single" w:sz="4" w:space="0" w:color="auto"/>
              <w:bottom w:val="single" w:sz="4" w:space="0" w:color="auto"/>
              <w:right w:val="single" w:sz="4" w:space="0" w:color="auto"/>
            </w:tcBorders>
            <w:vAlign w:val="center"/>
            <w:hideMark/>
          </w:tcPr>
          <w:p w14:paraId="3B32FF07" w14:textId="77777777" w:rsidR="006C0C1F" w:rsidRPr="0041262C" w:rsidRDefault="006C0C1F" w:rsidP="006C0C1F">
            <w:pPr>
              <w:pStyle w:val="E3tabletext1"/>
              <w:rPr>
                <w:rFonts w:ascii="Helvetica" w:hAnsi="Helvetica" w:cs="Helvetica"/>
              </w:rPr>
            </w:pPr>
            <w:r w:rsidRPr="0041262C">
              <w:rPr>
                <w:rFonts w:ascii="Helvetica" w:hAnsi="Helvetica" w:cs="Helvetica"/>
              </w:rPr>
              <w:t xml:space="preserve">RRV </w:t>
            </w:r>
          </w:p>
          <w:p w14:paraId="2E6E7108" w14:textId="77777777" w:rsidR="006C0C1F" w:rsidRPr="0041262C" w:rsidRDefault="006C0C1F" w:rsidP="006C0C1F">
            <w:pPr>
              <w:pStyle w:val="E3tabletext1"/>
              <w:rPr>
                <w:rFonts w:ascii="Helvetica" w:hAnsi="Helvetica" w:cs="Helvetica"/>
              </w:rPr>
            </w:pPr>
            <w:r w:rsidRPr="0041262C">
              <w:rPr>
                <w:rFonts w:ascii="Helvetica" w:hAnsi="Helvetica" w:cs="Helvetica"/>
              </w:rPr>
              <w:t>Remote Refrigerated Vertical Cabinets</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DF3104E"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0C5565A"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3D8EA89E" w14:textId="77777777" w:rsidR="006C0C1F" w:rsidRPr="0041262C" w:rsidRDefault="006C0C1F" w:rsidP="006C0C1F">
            <w:pPr>
              <w:pStyle w:val="E3tabletext1"/>
              <w:rPr>
                <w:rFonts w:ascii="Helvetica" w:hAnsi="Helvetica" w:cs="Helvetica"/>
              </w:rPr>
            </w:pPr>
            <w:r w:rsidRPr="0041262C">
              <w:rPr>
                <w:rFonts w:ascii="Helvetica" w:hAnsi="Helvetica" w:cs="Helvetica"/>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4E77AC9" w14:textId="77777777" w:rsidR="006C0C1F" w:rsidRPr="0041262C" w:rsidRDefault="006C0C1F" w:rsidP="006C0C1F">
            <w:pPr>
              <w:pStyle w:val="E3tabletext1"/>
              <w:rPr>
                <w:rFonts w:ascii="Helvetica" w:hAnsi="Helvetica" w:cs="Helvetica"/>
              </w:rPr>
            </w:pPr>
            <w:r w:rsidRPr="0041262C">
              <w:rPr>
                <w:rFonts w:ascii="Helvetica" w:hAnsi="Helvetica" w:cs="Helvetica"/>
              </w:rPr>
              <w:t>RS1, RS3, RS4, RS5, RS10</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5F5E2C23" w14:textId="77777777" w:rsidR="006C0C1F" w:rsidRPr="0041262C" w:rsidRDefault="006C0C1F" w:rsidP="006C0C1F">
            <w:pPr>
              <w:pStyle w:val="E3tabletext1"/>
              <w:rPr>
                <w:rFonts w:ascii="Helvetica" w:hAnsi="Helvetica" w:cs="Helvetica"/>
              </w:rPr>
            </w:pPr>
            <w:r w:rsidRPr="0041262C">
              <w:rPr>
                <w:rFonts w:ascii="Helvetica" w:hAnsi="Helvetica" w:cs="Helvetica"/>
              </w:rPr>
              <w:t>RVC1, RVC3, RVC4, RYC1, RYC2, RYC3, RYC4</w:t>
            </w:r>
          </w:p>
        </w:tc>
        <w:tc>
          <w:tcPr>
            <w:tcW w:w="991" w:type="dxa"/>
            <w:tcBorders>
              <w:top w:val="single" w:sz="4" w:space="0" w:color="auto"/>
              <w:left w:val="single" w:sz="4" w:space="0" w:color="auto"/>
              <w:bottom w:val="single" w:sz="4" w:space="0" w:color="auto"/>
              <w:right w:val="single" w:sz="4" w:space="0" w:color="auto"/>
            </w:tcBorders>
            <w:vAlign w:val="center"/>
          </w:tcPr>
          <w:p w14:paraId="3AD0209E" w14:textId="77777777" w:rsidR="006C0C1F" w:rsidRPr="0041262C" w:rsidRDefault="006C0C1F" w:rsidP="006C0C1F">
            <w:pPr>
              <w:pStyle w:val="E3tabletext1"/>
              <w:rPr>
                <w:rFonts w:ascii="Helvetica" w:hAnsi="Helvetica" w:cs="Helvetica"/>
              </w:rPr>
            </w:pPr>
            <w:r w:rsidRPr="0041262C">
              <w:rPr>
                <w:rFonts w:ascii="Helvetica" w:hAnsi="Helvetica" w:cs="Helvetica"/>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5D80286F" w14:textId="77777777" w:rsidR="006C0C1F" w:rsidRPr="0041262C" w:rsidRDefault="006C0C1F" w:rsidP="006C0C1F">
            <w:pPr>
              <w:pStyle w:val="E3tabletext1"/>
              <w:rPr>
                <w:rFonts w:ascii="Helvetica" w:hAnsi="Helvetica" w:cs="Helvetica"/>
              </w:rPr>
            </w:pPr>
            <w:r w:rsidRPr="0041262C">
              <w:rPr>
                <w:rFonts w:ascii="Helvetica" w:hAnsi="Helvetica" w:cs="Helvetica"/>
              </w:rPr>
              <w:t>54%</w:t>
            </w:r>
          </w:p>
        </w:tc>
      </w:tr>
      <w:tr w:rsidR="006C0C1F" w14:paraId="4A886F0D"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38550305" w14:textId="77777777" w:rsidR="006C0C1F" w:rsidRPr="0041262C" w:rsidRDefault="006C0C1F" w:rsidP="006C0C1F">
            <w:pPr>
              <w:pStyle w:val="E3tabletext1"/>
              <w:rPr>
                <w:rFonts w:ascii="Helvetica" w:hAnsi="Helvetica" w:cs="Helvetica"/>
              </w:rPr>
            </w:pPr>
            <w:r w:rsidRPr="0041262C">
              <w:rPr>
                <w:rFonts w:ascii="Helvetica" w:hAnsi="Helvetica" w:cs="Helvetica"/>
              </w:rPr>
              <w:t>9</w:t>
            </w:r>
          </w:p>
        </w:tc>
        <w:tc>
          <w:tcPr>
            <w:tcW w:w="1711" w:type="dxa"/>
            <w:tcBorders>
              <w:top w:val="single" w:sz="4" w:space="0" w:color="auto"/>
              <w:left w:val="single" w:sz="4" w:space="0" w:color="auto"/>
              <w:bottom w:val="single" w:sz="4" w:space="0" w:color="auto"/>
              <w:right w:val="single" w:sz="4" w:space="0" w:color="auto"/>
            </w:tcBorders>
            <w:vAlign w:val="center"/>
            <w:hideMark/>
          </w:tcPr>
          <w:p w14:paraId="3061AB09" w14:textId="77777777" w:rsidR="006C0C1F" w:rsidRPr="0041262C" w:rsidRDefault="006C0C1F" w:rsidP="006C0C1F">
            <w:pPr>
              <w:pStyle w:val="E3tabletext1"/>
              <w:rPr>
                <w:rFonts w:ascii="Helvetica" w:hAnsi="Helvetica" w:cs="Helvetica"/>
              </w:rPr>
            </w:pPr>
            <w:r w:rsidRPr="0041262C">
              <w:rPr>
                <w:rFonts w:ascii="Helvetica" w:hAnsi="Helvetica" w:cs="Helvetica"/>
              </w:rPr>
              <w:t>RRV-2</w:t>
            </w:r>
          </w:p>
          <w:p w14:paraId="2DEB5867" w14:textId="77777777" w:rsidR="006C0C1F" w:rsidRPr="0041262C" w:rsidRDefault="006C0C1F" w:rsidP="006C0C1F">
            <w:pPr>
              <w:pStyle w:val="E3tabletext1"/>
              <w:rPr>
                <w:rFonts w:ascii="Helvetica" w:hAnsi="Helvetica" w:cs="Helvetica"/>
              </w:rPr>
            </w:pPr>
            <w:r w:rsidRPr="0041262C">
              <w:rPr>
                <w:rFonts w:ascii="Helvetica" w:hAnsi="Helvetica" w:cs="Helvetica"/>
              </w:rPr>
              <w:t>Remote Refrigerated Vertical Cabinet, open, medium  temp</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38AB42FB"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1D356FAD"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260A072E"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69C2468D" w14:textId="77777777" w:rsidR="006C0C1F" w:rsidRPr="0041262C" w:rsidRDefault="006C0C1F" w:rsidP="006C0C1F">
            <w:pPr>
              <w:pStyle w:val="E3tabletext1"/>
              <w:rPr>
                <w:rFonts w:ascii="Helvetica" w:hAnsi="Helvetica" w:cs="Helvetica"/>
              </w:rPr>
            </w:pPr>
            <w:r w:rsidRPr="0041262C">
              <w:rPr>
                <w:rFonts w:ascii="Helvetica" w:hAnsi="Helvetica" w:cs="Helvetica"/>
              </w:rPr>
              <w:t>RS2</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5D197D11" w14:textId="77777777" w:rsidR="006C0C1F" w:rsidRPr="0041262C" w:rsidRDefault="006C0C1F" w:rsidP="006C0C1F">
            <w:pPr>
              <w:pStyle w:val="E3tabletext1"/>
              <w:rPr>
                <w:rFonts w:ascii="Helvetica" w:hAnsi="Helvetica" w:cs="Helvetica"/>
              </w:rPr>
            </w:pPr>
            <w:r w:rsidRPr="0041262C">
              <w:rPr>
                <w:rFonts w:ascii="Helvetica" w:hAnsi="Helvetica" w:cs="Helvetica"/>
              </w:rPr>
              <w:t>RVC2</w:t>
            </w:r>
          </w:p>
        </w:tc>
        <w:tc>
          <w:tcPr>
            <w:tcW w:w="991" w:type="dxa"/>
            <w:tcBorders>
              <w:top w:val="single" w:sz="4" w:space="0" w:color="auto"/>
              <w:left w:val="single" w:sz="4" w:space="0" w:color="auto"/>
              <w:bottom w:val="single" w:sz="4" w:space="0" w:color="auto"/>
              <w:right w:val="single" w:sz="4" w:space="0" w:color="auto"/>
            </w:tcBorders>
            <w:vAlign w:val="center"/>
          </w:tcPr>
          <w:p w14:paraId="35DFD9F5" w14:textId="77777777" w:rsidR="006C0C1F" w:rsidRPr="0041262C" w:rsidRDefault="006C0C1F" w:rsidP="006C0C1F">
            <w:pPr>
              <w:pStyle w:val="E3tabletext1"/>
              <w:rPr>
                <w:rFonts w:ascii="Helvetica" w:hAnsi="Helvetica" w:cs="Helvetica"/>
              </w:rPr>
            </w:pPr>
            <w:r w:rsidRPr="0041262C">
              <w:rPr>
                <w:rFonts w:ascii="Helvetica" w:hAnsi="Helvetica" w:cs="Helvetica"/>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67B94B3E" w14:textId="77777777" w:rsidR="006C0C1F" w:rsidRPr="0041262C" w:rsidRDefault="006C0C1F" w:rsidP="006C0C1F">
            <w:pPr>
              <w:pStyle w:val="E3tabletext1"/>
              <w:rPr>
                <w:rFonts w:ascii="Helvetica" w:hAnsi="Helvetica" w:cs="Helvetica"/>
              </w:rPr>
            </w:pPr>
            <w:r w:rsidRPr="0041262C">
              <w:rPr>
                <w:rFonts w:ascii="Helvetica" w:hAnsi="Helvetica" w:cs="Helvetica"/>
              </w:rPr>
              <w:t>0%</w:t>
            </w:r>
          </w:p>
        </w:tc>
      </w:tr>
      <w:tr w:rsidR="006C0C1F" w14:paraId="70D7B684"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6F192448" w14:textId="77777777" w:rsidR="006C0C1F" w:rsidRPr="0041262C" w:rsidRDefault="006C0C1F" w:rsidP="006C0C1F">
            <w:pPr>
              <w:pStyle w:val="E3tabletext1"/>
              <w:rPr>
                <w:rFonts w:ascii="Helvetica" w:hAnsi="Helvetica" w:cs="Helvetica"/>
              </w:rPr>
            </w:pPr>
            <w:r w:rsidRPr="0041262C">
              <w:rPr>
                <w:rFonts w:ascii="Helvetica" w:hAnsi="Helvetica" w:cs="Helvetica"/>
              </w:rPr>
              <w:t>10</w:t>
            </w:r>
          </w:p>
        </w:tc>
        <w:tc>
          <w:tcPr>
            <w:tcW w:w="1711" w:type="dxa"/>
            <w:tcBorders>
              <w:top w:val="single" w:sz="4" w:space="0" w:color="auto"/>
              <w:left w:val="single" w:sz="4" w:space="0" w:color="auto"/>
              <w:bottom w:val="single" w:sz="4" w:space="0" w:color="auto"/>
              <w:right w:val="single" w:sz="4" w:space="0" w:color="auto"/>
            </w:tcBorders>
            <w:vAlign w:val="center"/>
            <w:hideMark/>
          </w:tcPr>
          <w:p w14:paraId="3291C0D7" w14:textId="77777777" w:rsidR="006C0C1F" w:rsidRPr="0041262C" w:rsidRDefault="006C0C1F" w:rsidP="006C0C1F">
            <w:pPr>
              <w:pStyle w:val="E3tabletext1"/>
              <w:rPr>
                <w:rFonts w:ascii="Helvetica" w:hAnsi="Helvetica" w:cs="Helvetica"/>
              </w:rPr>
            </w:pPr>
            <w:r w:rsidRPr="0041262C">
              <w:rPr>
                <w:rFonts w:ascii="Helvetica" w:hAnsi="Helvetica" w:cs="Helvetica"/>
              </w:rPr>
              <w:t>RFH</w:t>
            </w:r>
          </w:p>
          <w:p w14:paraId="1C9FB420" w14:textId="77777777" w:rsidR="006C0C1F" w:rsidRPr="0041262C" w:rsidRDefault="006C0C1F" w:rsidP="006C0C1F">
            <w:pPr>
              <w:pStyle w:val="E3tabletext1"/>
              <w:rPr>
                <w:rFonts w:ascii="Helvetica" w:hAnsi="Helvetica" w:cs="Helvetica"/>
              </w:rPr>
            </w:pPr>
            <w:r w:rsidRPr="0041262C">
              <w:rPr>
                <w:rFonts w:ascii="Helvetica" w:hAnsi="Helvetica" w:cs="Helvetica"/>
              </w:rPr>
              <w:t>Remote Freezer Horizontal</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35CDF60F"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39656D66" w14:textId="77777777" w:rsidR="006C0C1F" w:rsidRPr="0041262C" w:rsidRDefault="006C0C1F" w:rsidP="006C0C1F">
            <w:pPr>
              <w:pStyle w:val="E3tabletext1"/>
              <w:rPr>
                <w:rFonts w:ascii="Helvetica" w:hAnsi="Helvetica" w:cs="Helvetica"/>
              </w:rPr>
            </w:pPr>
            <w:r w:rsidRPr="0041262C">
              <w:rPr>
                <w:rFonts w:ascii="Helvetica" w:hAnsi="Helvetica" w:cs="Helvetica"/>
              </w:rPr>
              <w:t>Freezer</w:t>
            </w:r>
          </w:p>
        </w:tc>
        <w:tc>
          <w:tcPr>
            <w:tcW w:w="991" w:type="dxa"/>
            <w:tcBorders>
              <w:top w:val="single" w:sz="4" w:space="0" w:color="auto"/>
              <w:left w:val="single" w:sz="4" w:space="0" w:color="auto"/>
              <w:bottom w:val="single" w:sz="4" w:space="0" w:color="auto"/>
              <w:right w:val="single" w:sz="4" w:space="0" w:color="auto"/>
            </w:tcBorders>
            <w:vAlign w:val="center"/>
            <w:hideMark/>
          </w:tcPr>
          <w:p w14:paraId="0322B4A1" w14:textId="77777777" w:rsidR="006C0C1F" w:rsidRPr="0041262C" w:rsidRDefault="006C0C1F" w:rsidP="006C0C1F">
            <w:pPr>
              <w:pStyle w:val="E3tabletext1"/>
              <w:rPr>
                <w:rFonts w:ascii="Helvetica" w:hAnsi="Helvetica" w:cs="Helvetica"/>
              </w:rPr>
            </w:pPr>
            <w:r w:rsidRPr="0041262C">
              <w:rPr>
                <w:rFonts w:ascii="Helvetica" w:hAnsi="Helvetica" w:cs="Helvetica"/>
              </w:rPr>
              <w:t>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65783E68" w14:textId="77777777" w:rsidR="006C0C1F" w:rsidRPr="0041262C" w:rsidRDefault="006C0C1F" w:rsidP="006C0C1F">
            <w:pPr>
              <w:pStyle w:val="E3tabletext1"/>
              <w:rPr>
                <w:rFonts w:ascii="Helvetica" w:hAnsi="Helvetica" w:cs="Helvetica"/>
              </w:rPr>
            </w:pPr>
            <w:r w:rsidRPr="0041262C">
              <w:rPr>
                <w:rFonts w:ascii="Helvetica" w:hAnsi="Helvetica" w:cs="Helvetica"/>
              </w:rPr>
              <w:t>RS13, RS14,</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50FF0548" w14:textId="77777777" w:rsidR="006C0C1F" w:rsidRPr="0041262C" w:rsidRDefault="006C0C1F" w:rsidP="006C0C1F">
            <w:pPr>
              <w:pStyle w:val="E3tabletext1"/>
              <w:rPr>
                <w:rFonts w:ascii="Helvetica" w:hAnsi="Helvetica" w:cs="Helvetica"/>
              </w:rPr>
            </w:pPr>
            <w:r w:rsidRPr="0041262C">
              <w:rPr>
                <w:rFonts w:ascii="Helvetica" w:hAnsi="Helvetica" w:cs="Helvetica"/>
              </w:rPr>
              <w:t>RHF1, RHF3, RHF4, RHF5, RHF6, RHF7</w:t>
            </w:r>
          </w:p>
        </w:tc>
        <w:tc>
          <w:tcPr>
            <w:tcW w:w="991" w:type="dxa"/>
            <w:tcBorders>
              <w:top w:val="single" w:sz="4" w:space="0" w:color="auto"/>
              <w:left w:val="single" w:sz="4" w:space="0" w:color="auto"/>
              <w:bottom w:val="single" w:sz="4" w:space="0" w:color="auto"/>
              <w:right w:val="single" w:sz="4" w:space="0" w:color="auto"/>
            </w:tcBorders>
            <w:vAlign w:val="center"/>
          </w:tcPr>
          <w:p w14:paraId="627A8268" w14:textId="77777777" w:rsidR="006C0C1F" w:rsidRPr="0041262C" w:rsidRDefault="006C0C1F" w:rsidP="006C0C1F">
            <w:pPr>
              <w:pStyle w:val="E3tabletext1"/>
              <w:rPr>
                <w:rFonts w:ascii="Helvetica" w:hAnsi="Helvetica" w:cs="Helvetica"/>
              </w:rPr>
            </w:pPr>
            <w:r w:rsidRPr="0041262C">
              <w:rPr>
                <w:rFonts w:ascii="Helvetica" w:hAnsi="Helvetica" w:cs="Helvetica"/>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10E9B52A" w14:textId="77777777" w:rsidR="006C0C1F" w:rsidRPr="0041262C" w:rsidRDefault="006C0C1F" w:rsidP="006C0C1F">
            <w:pPr>
              <w:pStyle w:val="E3tabletext1"/>
              <w:rPr>
                <w:rFonts w:ascii="Helvetica" w:hAnsi="Helvetica" w:cs="Helvetica"/>
              </w:rPr>
            </w:pPr>
            <w:r w:rsidRPr="0041262C">
              <w:rPr>
                <w:rFonts w:ascii="Helvetica" w:hAnsi="Helvetica" w:cs="Helvetica"/>
              </w:rPr>
              <w:t>9%</w:t>
            </w:r>
          </w:p>
        </w:tc>
      </w:tr>
      <w:tr w:rsidR="006C0C1F" w14:paraId="2A2711D2"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1E81D0E1" w14:textId="77777777" w:rsidR="006C0C1F" w:rsidRPr="0041262C" w:rsidRDefault="006C0C1F" w:rsidP="006C0C1F">
            <w:pPr>
              <w:pStyle w:val="E3tabletext1"/>
              <w:rPr>
                <w:rFonts w:ascii="Helvetica" w:hAnsi="Helvetica" w:cs="Helvetica"/>
              </w:rPr>
            </w:pPr>
            <w:r w:rsidRPr="0041262C">
              <w:rPr>
                <w:rFonts w:ascii="Helvetica" w:hAnsi="Helvetica" w:cs="Helvetica"/>
              </w:rPr>
              <w:t>11</w:t>
            </w:r>
          </w:p>
        </w:tc>
        <w:tc>
          <w:tcPr>
            <w:tcW w:w="1711" w:type="dxa"/>
            <w:tcBorders>
              <w:top w:val="single" w:sz="4" w:space="0" w:color="auto"/>
              <w:left w:val="single" w:sz="4" w:space="0" w:color="auto"/>
              <w:bottom w:val="single" w:sz="4" w:space="0" w:color="auto"/>
              <w:right w:val="single" w:sz="4" w:space="0" w:color="auto"/>
            </w:tcBorders>
            <w:vAlign w:val="center"/>
            <w:hideMark/>
          </w:tcPr>
          <w:p w14:paraId="75370301" w14:textId="77777777" w:rsidR="006C0C1F" w:rsidRPr="0041262C" w:rsidRDefault="006C0C1F" w:rsidP="006C0C1F">
            <w:pPr>
              <w:pStyle w:val="E3tabletext1"/>
              <w:rPr>
                <w:rFonts w:ascii="Helvetica" w:hAnsi="Helvetica" w:cs="Helvetica"/>
              </w:rPr>
            </w:pPr>
            <w:r w:rsidRPr="0041262C">
              <w:rPr>
                <w:rFonts w:ascii="Helvetica" w:hAnsi="Helvetica" w:cs="Helvetica"/>
              </w:rPr>
              <w:t>RFV</w:t>
            </w:r>
          </w:p>
          <w:p w14:paraId="5A7B3133" w14:textId="77777777" w:rsidR="006C0C1F" w:rsidRPr="0041262C" w:rsidRDefault="006C0C1F" w:rsidP="006C0C1F">
            <w:pPr>
              <w:pStyle w:val="E3tabletext1"/>
              <w:rPr>
                <w:rFonts w:ascii="Helvetica" w:hAnsi="Helvetica" w:cs="Helvetica"/>
              </w:rPr>
            </w:pPr>
            <w:r w:rsidRPr="0041262C">
              <w:rPr>
                <w:rFonts w:ascii="Helvetica" w:hAnsi="Helvetica" w:cs="Helvetica"/>
              </w:rPr>
              <w:t>Remote Freezer Vertical</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431B6AD6"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0DDE7082"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298ED9C2" w14:textId="77777777" w:rsidR="006C0C1F" w:rsidRPr="0041262C" w:rsidRDefault="006C0C1F" w:rsidP="006C0C1F">
            <w:pPr>
              <w:pStyle w:val="E3tabletext1"/>
              <w:rPr>
                <w:rFonts w:ascii="Helvetica" w:hAnsi="Helvetica" w:cs="Helvetica"/>
              </w:rPr>
            </w:pPr>
            <w:r w:rsidRPr="0041262C">
              <w:rPr>
                <w:rFonts w:ascii="Helvetica" w:hAnsi="Helvetica" w:cs="Helvetica"/>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6844B999" w14:textId="77777777" w:rsidR="006C0C1F" w:rsidRPr="0041262C" w:rsidRDefault="006C0C1F" w:rsidP="006C0C1F">
            <w:pPr>
              <w:pStyle w:val="E3tabletext1"/>
              <w:rPr>
                <w:rFonts w:ascii="Helvetica" w:hAnsi="Helvetica" w:cs="Helvetica"/>
              </w:rPr>
            </w:pPr>
            <w:r w:rsidRPr="0041262C">
              <w:rPr>
                <w:rFonts w:ascii="Helvetica" w:hAnsi="Helvetica" w:cs="Helvetica"/>
              </w:rPr>
              <w:t>RS11, RS12, RS15, RS16, RS17, RS18, RS19, RS20</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2F90FF6B" w14:textId="77777777" w:rsidR="006C0C1F" w:rsidRPr="0041262C" w:rsidRDefault="006C0C1F" w:rsidP="006C0C1F">
            <w:pPr>
              <w:pStyle w:val="E3tabletext1"/>
              <w:rPr>
                <w:rFonts w:ascii="Helvetica" w:hAnsi="Helvetica" w:cs="Helvetica"/>
              </w:rPr>
            </w:pPr>
            <w:r w:rsidRPr="0041262C">
              <w:rPr>
                <w:rFonts w:ascii="Helvetica" w:hAnsi="Helvetica" w:cs="Helvetica"/>
              </w:rPr>
              <w:t>RVF1, RVF2, RVF4, RYF1, RYF2, RYF3, RYF4</w:t>
            </w:r>
          </w:p>
        </w:tc>
        <w:tc>
          <w:tcPr>
            <w:tcW w:w="991" w:type="dxa"/>
            <w:tcBorders>
              <w:top w:val="single" w:sz="4" w:space="0" w:color="auto"/>
              <w:left w:val="single" w:sz="4" w:space="0" w:color="auto"/>
              <w:bottom w:val="single" w:sz="4" w:space="0" w:color="auto"/>
              <w:right w:val="single" w:sz="4" w:space="0" w:color="auto"/>
            </w:tcBorders>
            <w:vAlign w:val="center"/>
          </w:tcPr>
          <w:p w14:paraId="68A387BB" w14:textId="77777777" w:rsidR="006C0C1F" w:rsidRPr="0041262C" w:rsidRDefault="006C0C1F" w:rsidP="006C0C1F">
            <w:pPr>
              <w:pStyle w:val="E3tabletext1"/>
              <w:rPr>
                <w:rFonts w:ascii="Helvetica" w:hAnsi="Helvetica" w:cs="Helvetica"/>
              </w:rPr>
            </w:pPr>
            <w:r w:rsidRPr="0041262C">
              <w:rPr>
                <w:rFonts w:ascii="Helvetica" w:hAnsi="Helvetica" w:cs="Helvetica"/>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649B054C" w14:textId="77777777" w:rsidR="006C0C1F" w:rsidRPr="0041262C" w:rsidRDefault="006C0C1F" w:rsidP="006C0C1F">
            <w:pPr>
              <w:pStyle w:val="E3tabletext1"/>
              <w:rPr>
                <w:rFonts w:ascii="Helvetica" w:hAnsi="Helvetica" w:cs="Helvetica"/>
              </w:rPr>
            </w:pPr>
            <w:r w:rsidRPr="0041262C">
              <w:rPr>
                <w:rFonts w:ascii="Helvetica" w:hAnsi="Helvetica" w:cs="Helvetica"/>
              </w:rPr>
              <w:t>1%</w:t>
            </w:r>
          </w:p>
        </w:tc>
      </w:tr>
      <w:tr w:rsidR="006C0C1F" w14:paraId="3D33CE40"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37E37DA1" w14:textId="77777777" w:rsidR="006C0C1F" w:rsidRPr="0041262C" w:rsidRDefault="006C0C1F" w:rsidP="006C0C1F">
            <w:pPr>
              <w:pStyle w:val="E3tabletext1"/>
              <w:rPr>
                <w:rFonts w:ascii="Helvetica" w:hAnsi="Helvetica" w:cs="Helvetica"/>
              </w:rPr>
            </w:pPr>
            <w:r w:rsidRPr="0041262C">
              <w:rPr>
                <w:rFonts w:ascii="Helvetica" w:hAnsi="Helvetica" w:cs="Helvetica"/>
              </w:rPr>
              <w:t>12</w:t>
            </w:r>
          </w:p>
        </w:tc>
        <w:tc>
          <w:tcPr>
            <w:tcW w:w="1711" w:type="dxa"/>
            <w:tcBorders>
              <w:top w:val="single" w:sz="4" w:space="0" w:color="auto"/>
              <w:left w:val="single" w:sz="4" w:space="0" w:color="auto"/>
              <w:bottom w:val="single" w:sz="4" w:space="0" w:color="auto"/>
              <w:right w:val="single" w:sz="4" w:space="0" w:color="auto"/>
            </w:tcBorders>
            <w:vAlign w:val="center"/>
            <w:hideMark/>
          </w:tcPr>
          <w:p w14:paraId="2D576940" w14:textId="77777777" w:rsidR="006C0C1F" w:rsidRPr="0041262C" w:rsidRDefault="006C0C1F" w:rsidP="006C0C1F">
            <w:pPr>
              <w:pStyle w:val="E3tabletext1"/>
              <w:rPr>
                <w:rFonts w:ascii="Helvetica" w:hAnsi="Helvetica" w:cs="Helvetica"/>
              </w:rPr>
            </w:pPr>
            <w:r w:rsidRPr="0041262C">
              <w:rPr>
                <w:rFonts w:ascii="Helvetica" w:hAnsi="Helvetica" w:cs="Helvetica"/>
              </w:rPr>
              <w:t>SRH</w:t>
            </w:r>
          </w:p>
          <w:p w14:paraId="0D6D74F9" w14:textId="77777777" w:rsidR="006C0C1F" w:rsidRPr="0041262C" w:rsidRDefault="006C0C1F" w:rsidP="006C0C1F">
            <w:pPr>
              <w:pStyle w:val="E3tabletext1"/>
              <w:rPr>
                <w:rFonts w:ascii="Helvetica" w:hAnsi="Helvetica" w:cs="Helvetica"/>
              </w:rPr>
            </w:pPr>
            <w:r w:rsidRPr="0041262C">
              <w:rPr>
                <w:rFonts w:ascii="Helvetica" w:hAnsi="Helvetica" w:cs="Helvetica"/>
              </w:rPr>
              <w:t>Service Cabinet, refrigerated Horizontal with solid door</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3B2D3B31" w14:textId="77777777" w:rsidR="006C0C1F" w:rsidRPr="0041262C" w:rsidRDefault="006C0C1F" w:rsidP="006C0C1F">
            <w:pPr>
              <w:pStyle w:val="E3tabletext1"/>
              <w:rPr>
                <w:rFonts w:ascii="Helvetica" w:hAnsi="Helvetica" w:cs="Helvetica"/>
              </w:rPr>
            </w:pPr>
            <w:r w:rsidRPr="0041262C">
              <w:rPr>
                <w:rFonts w:ascii="Helvetica" w:hAnsi="Helvetica" w:cs="Helvetica"/>
              </w:rPr>
              <w:t xml:space="preserve">Integral Refrigerated Storage cabinet  </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51448C42" w14:textId="77777777" w:rsidR="006C0C1F" w:rsidRPr="0041262C" w:rsidRDefault="006C0C1F" w:rsidP="006C0C1F">
            <w:pPr>
              <w:pStyle w:val="E3tabletext1"/>
              <w:rPr>
                <w:rFonts w:ascii="Helvetica" w:hAnsi="Helvetica" w:cs="Helvetica"/>
              </w:rPr>
            </w:pPr>
            <w:r w:rsidRPr="0041262C">
              <w:rPr>
                <w:rFonts w:ascii="Helvetica" w:hAnsi="Helvetica" w:cs="Helvetica"/>
              </w:rPr>
              <w:t>Refrigerator</w:t>
            </w:r>
          </w:p>
        </w:tc>
        <w:tc>
          <w:tcPr>
            <w:tcW w:w="991" w:type="dxa"/>
            <w:tcBorders>
              <w:top w:val="single" w:sz="4" w:space="0" w:color="auto"/>
              <w:left w:val="single" w:sz="4" w:space="0" w:color="auto"/>
              <w:bottom w:val="single" w:sz="4" w:space="0" w:color="auto"/>
              <w:right w:val="single" w:sz="4" w:space="0" w:color="auto"/>
            </w:tcBorders>
            <w:vAlign w:val="center"/>
            <w:hideMark/>
          </w:tcPr>
          <w:p w14:paraId="4DC5A86D" w14:textId="77777777" w:rsidR="006C0C1F" w:rsidRPr="0041262C" w:rsidRDefault="006C0C1F" w:rsidP="006C0C1F">
            <w:pPr>
              <w:pStyle w:val="E3tabletext1"/>
              <w:rPr>
                <w:rFonts w:ascii="Helvetica" w:hAnsi="Helvetica" w:cs="Helvetica"/>
              </w:rPr>
            </w:pPr>
            <w:r w:rsidRPr="0041262C">
              <w:rPr>
                <w:rFonts w:ascii="Helvetica" w:hAnsi="Helvetica" w:cs="Helvetica"/>
              </w:rPr>
              <w:t>Counter (Horizontal)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32DB3F61" w14:textId="77777777" w:rsidR="006C0C1F" w:rsidRPr="0041262C" w:rsidRDefault="006C0C1F" w:rsidP="006C0C1F">
            <w:pPr>
              <w:pStyle w:val="E3tabletext1"/>
              <w:rPr>
                <w:rFonts w:ascii="Helvetica" w:hAnsi="Helvetica" w:cs="Helvetica"/>
              </w:rPr>
            </w:pPr>
            <w:r w:rsidRPr="0041262C">
              <w:rPr>
                <w:rFonts w:ascii="Helvetica" w:hAnsi="Helvetica" w:cs="Helvetica"/>
              </w:rPr>
              <w:t>No equivalent registered</w:t>
            </w:r>
          </w:p>
        </w:tc>
        <w:tc>
          <w:tcPr>
            <w:tcW w:w="113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201B47A7" w14:textId="77777777" w:rsidR="006C0C1F" w:rsidRPr="0041262C" w:rsidRDefault="006C0C1F" w:rsidP="006C0C1F">
            <w:pPr>
              <w:pStyle w:val="E3tabletext1"/>
              <w:rPr>
                <w:rFonts w:ascii="Helvetica" w:hAnsi="Helvetica" w:cs="Helvetica"/>
              </w:rPr>
            </w:pPr>
            <w:r w:rsidRPr="0041262C">
              <w:rPr>
                <w:rFonts w:ascii="Helvetica" w:hAnsi="Helvetica" w:cs="Helvetica"/>
              </w:rPr>
              <w:t>Storage cabinet types are defined into four categories (but not classified by the technical standards yet)</w:t>
            </w:r>
          </w:p>
        </w:tc>
        <w:tc>
          <w:tcPr>
            <w:tcW w:w="991" w:type="dxa"/>
            <w:tcBorders>
              <w:top w:val="single" w:sz="4" w:space="0" w:color="auto"/>
              <w:left w:val="single" w:sz="4" w:space="0" w:color="auto"/>
              <w:bottom w:val="single" w:sz="4" w:space="0" w:color="auto"/>
              <w:right w:val="single" w:sz="4" w:space="0" w:color="auto"/>
            </w:tcBorders>
            <w:vAlign w:val="center"/>
          </w:tcPr>
          <w:p w14:paraId="51989C39" w14:textId="77777777" w:rsidR="006C0C1F" w:rsidRPr="0041262C" w:rsidRDefault="006C0C1F" w:rsidP="006C0C1F">
            <w:pPr>
              <w:pStyle w:val="E3tabletext1"/>
              <w:rPr>
                <w:rFonts w:ascii="Helvetica" w:hAnsi="Helvetica" w:cs="Helvetica"/>
              </w:rPr>
            </w:pPr>
            <w:r w:rsidRPr="0041262C">
              <w:rPr>
                <w:rFonts w:ascii="Helvetica" w:hAnsi="Helvetica" w:cs="Helvetica"/>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66AE0647" w14:textId="77777777" w:rsidR="006C0C1F" w:rsidRPr="0041262C" w:rsidRDefault="006C0C1F" w:rsidP="006C0C1F">
            <w:pPr>
              <w:pStyle w:val="E3tabletext1"/>
              <w:rPr>
                <w:rFonts w:ascii="Helvetica" w:hAnsi="Helvetica" w:cs="Helvetica"/>
              </w:rPr>
            </w:pPr>
            <w:r w:rsidRPr="0041262C">
              <w:rPr>
                <w:rFonts w:ascii="Helvetica" w:hAnsi="Helvetica" w:cs="Helvetica"/>
              </w:rPr>
              <w:t>NA</w:t>
            </w:r>
          </w:p>
        </w:tc>
      </w:tr>
      <w:tr w:rsidR="006C0C1F" w14:paraId="74169FB5"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077C3BC7" w14:textId="77777777" w:rsidR="006C0C1F" w:rsidRPr="0041262C" w:rsidRDefault="006C0C1F" w:rsidP="006C0C1F">
            <w:pPr>
              <w:pStyle w:val="E3tabletext1"/>
              <w:rPr>
                <w:rFonts w:ascii="Helvetica" w:hAnsi="Helvetica" w:cs="Helvetica"/>
              </w:rPr>
            </w:pPr>
            <w:r w:rsidRPr="0041262C">
              <w:rPr>
                <w:rFonts w:ascii="Helvetica" w:hAnsi="Helvetica" w:cs="Helvetica"/>
              </w:rPr>
              <w:t>13</w:t>
            </w:r>
          </w:p>
        </w:tc>
        <w:tc>
          <w:tcPr>
            <w:tcW w:w="1711" w:type="dxa"/>
            <w:tcBorders>
              <w:top w:val="single" w:sz="4" w:space="0" w:color="auto"/>
              <w:left w:val="single" w:sz="4" w:space="0" w:color="auto"/>
              <w:bottom w:val="single" w:sz="4" w:space="0" w:color="auto"/>
              <w:right w:val="single" w:sz="4" w:space="0" w:color="auto"/>
            </w:tcBorders>
            <w:vAlign w:val="center"/>
            <w:hideMark/>
          </w:tcPr>
          <w:p w14:paraId="440E028E" w14:textId="77777777" w:rsidR="006C0C1F" w:rsidRPr="0041262C" w:rsidRDefault="006C0C1F" w:rsidP="006C0C1F">
            <w:pPr>
              <w:pStyle w:val="E3tabletext1"/>
              <w:rPr>
                <w:rFonts w:ascii="Helvetica" w:hAnsi="Helvetica" w:cs="Helvetica"/>
              </w:rPr>
            </w:pPr>
            <w:r w:rsidRPr="0041262C">
              <w:rPr>
                <w:rFonts w:ascii="Helvetica" w:hAnsi="Helvetica" w:cs="Helvetica"/>
              </w:rPr>
              <w:t>SRV</w:t>
            </w:r>
          </w:p>
          <w:p w14:paraId="6884E371" w14:textId="77777777" w:rsidR="006C0C1F" w:rsidRPr="0041262C" w:rsidRDefault="006C0C1F" w:rsidP="006C0C1F">
            <w:pPr>
              <w:pStyle w:val="E3tabletext1"/>
              <w:rPr>
                <w:rFonts w:ascii="Helvetica" w:hAnsi="Helvetica" w:cs="Helvetica"/>
              </w:rPr>
            </w:pPr>
            <w:r w:rsidRPr="0041262C">
              <w:rPr>
                <w:rFonts w:ascii="Helvetica" w:hAnsi="Helvetica" w:cs="Helvetica"/>
              </w:rPr>
              <w:t>Service Cabinet, Refrigerated, Vertical with solid door</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4D16486E"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6AE590C1"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03EF326E" w14:textId="77777777" w:rsidR="006C0C1F" w:rsidRPr="0041262C" w:rsidRDefault="006C0C1F" w:rsidP="006C0C1F">
            <w:pPr>
              <w:pStyle w:val="E3tabletext1"/>
              <w:rPr>
                <w:rFonts w:ascii="Helvetica" w:hAnsi="Helvetica" w:cs="Helvetica"/>
              </w:rPr>
            </w:pPr>
            <w:r w:rsidRPr="0041262C">
              <w:rPr>
                <w:rFonts w:ascii="Helvetica" w:hAnsi="Helvetica" w:cs="Helvetica"/>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0A6E523F" w14:textId="77777777" w:rsidR="006C0C1F" w:rsidRPr="0041262C" w:rsidRDefault="006C0C1F" w:rsidP="006C0C1F">
            <w:pPr>
              <w:pStyle w:val="E3tabletext1"/>
              <w:rPr>
                <w:rFonts w:ascii="Helvetica" w:hAnsi="Helvetica" w:cs="Helvetica"/>
              </w:rPr>
            </w:pPr>
            <w:r w:rsidRPr="0041262C">
              <w:rPr>
                <w:rFonts w:ascii="Helvetica" w:hAnsi="Helvetica" w:cs="Helvetica"/>
              </w:rPr>
              <w:t xml:space="preserve">IVC4 Solid door </w:t>
            </w:r>
            <w:r w:rsidRPr="0041262C">
              <w:rPr>
                <w:rFonts w:ascii="Helvetica" w:hAnsi="Helvetica" w:cs="Helvetica"/>
              </w:rPr>
              <w:br/>
              <w:t xml:space="preserve">M1 &amp; M2 </w:t>
            </w:r>
            <w:r w:rsidRPr="0041262C">
              <w:rPr>
                <w:rFonts w:ascii="Helvetica" w:hAnsi="Helvetica" w:cs="Helvetica"/>
              </w:rPr>
              <w:br/>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14:paraId="4555FBC6"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991" w:type="dxa"/>
            <w:tcBorders>
              <w:top w:val="single" w:sz="4" w:space="0" w:color="auto"/>
              <w:left w:val="single" w:sz="4" w:space="0" w:color="auto"/>
              <w:bottom w:val="single" w:sz="4" w:space="0" w:color="auto"/>
              <w:right w:val="single" w:sz="4" w:space="0" w:color="auto"/>
            </w:tcBorders>
            <w:vAlign w:val="center"/>
          </w:tcPr>
          <w:p w14:paraId="0EA8C050" w14:textId="77777777" w:rsidR="006C0C1F" w:rsidRPr="0041262C" w:rsidRDefault="006C0C1F" w:rsidP="006C0C1F">
            <w:pPr>
              <w:pStyle w:val="E3tabletext1"/>
              <w:rPr>
                <w:rFonts w:ascii="Helvetica" w:hAnsi="Helvetica" w:cs="Helvetica"/>
              </w:rPr>
            </w:pPr>
            <w:r w:rsidRPr="0041262C">
              <w:rPr>
                <w:rFonts w:ascii="Helvetica" w:hAnsi="Helvetica" w:cs="Helvetica"/>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7AE66752" w14:textId="77777777" w:rsidR="006C0C1F" w:rsidRPr="0041262C" w:rsidRDefault="006C0C1F" w:rsidP="006C0C1F">
            <w:pPr>
              <w:pStyle w:val="E3tabletext1"/>
              <w:rPr>
                <w:rFonts w:ascii="Helvetica" w:hAnsi="Helvetica" w:cs="Helvetica"/>
              </w:rPr>
            </w:pPr>
            <w:r w:rsidRPr="0041262C">
              <w:rPr>
                <w:rFonts w:ascii="Helvetica" w:hAnsi="Helvetica" w:cs="Helvetica"/>
              </w:rPr>
              <w:t>NA</w:t>
            </w:r>
          </w:p>
        </w:tc>
      </w:tr>
      <w:tr w:rsidR="006C0C1F" w14:paraId="5CBFE570"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22F9EAC0" w14:textId="77777777" w:rsidR="006C0C1F" w:rsidRPr="0041262C" w:rsidRDefault="006C0C1F" w:rsidP="006C0C1F">
            <w:pPr>
              <w:pStyle w:val="E3tabletext1"/>
              <w:rPr>
                <w:rFonts w:ascii="Helvetica" w:hAnsi="Helvetica" w:cs="Helvetica"/>
              </w:rPr>
            </w:pPr>
            <w:r w:rsidRPr="0041262C">
              <w:rPr>
                <w:rFonts w:ascii="Helvetica" w:hAnsi="Helvetica" w:cs="Helvetica"/>
              </w:rPr>
              <w:t>14</w:t>
            </w:r>
          </w:p>
        </w:tc>
        <w:tc>
          <w:tcPr>
            <w:tcW w:w="1711" w:type="dxa"/>
            <w:tcBorders>
              <w:top w:val="single" w:sz="4" w:space="0" w:color="auto"/>
              <w:left w:val="single" w:sz="4" w:space="0" w:color="auto"/>
              <w:bottom w:val="single" w:sz="4" w:space="0" w:color="auto"/>
              <w:right w:val="single" w:sz="4" w:space="0" w:color="auto"/>
            </w:tcBorders>
            <w:vAlign w:val="center"/>
            <w:hideMark/>
          </w:tcPr>
          <w:p w14:paraId="68AF954C" w14:textId="77777777" w:rsidR="006C0C1F" w:rsidRPr="0041262C" w:rsidRDefault="006C0C1F" w:rsidP="006C0C1F">
            <w:pPr>
              <w:pStyle w:val="E3tabletext1"/>
              <w:rPr>
                <w:rFonts w:ascii="Helvetica" w:hAnsi="Helvetica" w:cs="Helvetica"/>
              </w:rPr>
            </w:pPr>
            <w:r w:rsidRPr="0041262C">
              <w:rPr>
                <w:rFonts w:ascii="Helvetica" w:hAnsi="Helvetica" w:cs="Helvetica"/>
              </w:rPr>
              <w:t>SFH</w:t>
            </w:r>
          </w:p>
          <w:p w14:paraId="32FF84BD" w14:textId="77777777" w:rsidR="006C0C1F" w:rsidRPr="0041262C" w:rsidRDefault="006C0C1F" w:rsidP="006C0C1F">
            <w:pPr>
              <w:pStyle w:val="E3tabletext1"/>
              <w:rPr>
                <w:rFonts w:ascii="Helvetica" w:hAnsi="Helvetica" w:cs="Helvetica"/>
              </w:rPr>
            </w:pPr>
            <w:r w:rsidRPr="0041262C">
              <w:rPr>
                <w:rFonts w:ascii="Helvetica" w:hAnsi="Helvetica" w:cs="Helvetica"/>
              </w:rPr>
              <w:t>Service Cabinet, Freezer, Horizontal with solid door</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0F94115E"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3E6AFA4C" w14:textId="77777777" w:rsidR="006C0C1F" w:rsidRPr="0041262C" w:rsidRDefault="006C0C1F" w:rsidP="006C0C1F">
            <w:pPr>
              <w:pStyle w:val="E3tabletext1"/>
              <w:rPr>
                <w:rFonts w:ascii="Helvetica" w:hAnsi="Helvetica" w:cs="Helvetica"/>
              </w:rPr>
            </w:pPr>
            <w:r w:rsidRPr="0041262C">
              <w:rPr>
                <w:rFonts w:ascii="Helvetica" w:hAnsi="Helvetica" w:cs="Helvetica"/>
              </w:rPr>
              <w:t>Freezer</w:t>
            </w:r>
          </w:p>
        </w:tc>
        <w:tc>
          <w:tcPr>
            <w:tcW w:w="991" w:type="dxa"/>
            <w:tcBorders>
              <w:top w:val="single" w:sz="4" w:space="0" w:color="auto"/>
              <w:left w:val="single" w:sz="4" w:space="0" w:color="auto"/>
              <w:bottom w:val="single" w:sz="4" w:space="0" w:color="auto"/>
              <w:right w:val="single" w:sz="4" w:space="0" w:color="auto"/>
            </w:tcBorders>
            <w:vAlign w:val="center"/>
            <w:hideMark/>
          </w:tcPr>
          <w:p w14:paraId="29110376" w14:textId="77777777" w:rsidR="006C0C1F" w:rsidRPr="0041262C" w:rsidRDefault="006C0C1F" w:rsidP="006C0C1F">
            <w:pPr>
              <w:pStyle w:val="E3tabletext1"/>
              <w:rPr>
                <w:rFonts w:ascii="Helvetica" w:hAnsi="Helvetica" w:cs="Helvetica"/>
              </w:rPr>
            </w:pPr>
            <w:r w:rsidRPr="0041262C">
              <w:rPr>
                <w:rFonts w:ascii="Helvetica" w:hAnsi="Helvetica" w:cs="Helvetica"/>
              </w:rPr>
              <w:t>Counter (Horizontal)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0CBE9525" w14:textId="77777777" w:rsidR="006C0C1F" w:rsidRPr="0041262C" w:rsidRDefault="006C0C1F" w:rsidP="006C0C1F">
            <w:pPr>
              <w:pStyle w:val="E3tabletext1"/>
              <w:rPr>
                <w:rFonts w:ascii="Helvetica" w:hAnsi="Helvetica" w:cs="Helvetica"/>
              </w:rPr>
            </w:pPr>
            <w:r w:rsidRPr="0041262C">
              <w:rPr>
                <w:rFonts w:ascii="Helvetica" w:hAnsi="Helvetica" w:cs="Helvetica"/>
              </w:rPr>
              <w:t>No equivalent registered</w:t>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14:paraId="066C66AA"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991" w:type="dxa"/>
            <w:tcBorders>
              <w:top w:val="single" w:sz="4" w:space="0" w:color="auto"/>
              <w:left w:val="single" w:sz="4" w:space="0" w:color="auto"/>
              <w:bottom w:val="single" w:sz="4" w:space="0" w:color="auto"/>
              <w:right w:val="single" w:sz="4" w:space="0" w:color="auto"/>
            </w:tcBorders>
            <w:vAlign w:val="center"/>
          </w:tcPr>
          <w:p w14:paraId="07AB4068" w14:textId="77777777" w:rsidR="006C0C1F" w:rsidRPr="0041262C" w:rsidRDefault="006C0C1F" w:rsidP="006C0C1F">
            <w:pPr>
              <w:pStyle w:val="E3tabletext1"/>
              <w:rPr>
                <w:rFonts w:ascii="Helvetica" w:hAnsi="Helvetica" w:cs="Helvetica"/>
              </w:rPr>
            </w:pPr>
            <w:r w:rsidRPr="0041262C">
              <w:rPr>
                <w:rFonts w:ascii="Helvetica" w:hAnsi="Helvetica" w:cs="Helvetica"/>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4FD2958B" w14:textId="77777777" w:rsidR="006C0C1F" w:rsidRPr="0041262C" w:rsidRDefault="006C0C1F" w:rsidP="006C0C1F">
            <w:pPr>
              <w:pStyle w:val="E3tabletext1"/>
              <w:rPr>
                <w:rFonts w:ascii="Helvetica" w:hAnsi="Helvetica" w:cs="Helvetica"/>
              </w:rPr>
            </w:pPr>
            <w:r w:rsidRPr="0041262C">
              <w:rPr>
                <w:rFonts w:ascii="Helvetica" w:hAnsi="Helvetica" w:cs="Helvetica"/>
              </w:rPr>
              <w:t>NA</w:t>
            </w:r>
          </w:p>
        </w:tc>
      </w:tr>
      <w:tr w:rsidR="006C0C1F" w14:paraId="17C04161"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48D1E1C3" w14:textId="77777777" w:rsidR="006C0C1F" w:rsidRPr="0041262C" w:rsidRDefault="006C0C1F" w:rsidP="006C0C1F">
            <w:pPr>
              <w:pStyle w:val="E3tabletext1"/>
              <w:rPr>
                <w:rFonts w:ascii="Helvetica" w:hAnsi="Helvetica" w:cs="Helvetica"/>
              </w:rPr>
            </w:pPr>
            <w:r w:rsidRPr="0041262C">
              <w:rPr>
                <w:rFonts w:ascii="Helvetica" w:hAnsi="Helvetica" w:cs="Helvetica"/>
              </w:rPr>
              <w:t>15</w:t>
            </w:r>
          </w:p>
        </w:tc>
        <w:tc>
          <w:tcPr>
            <w:tcW w:w="1711" w:type="dxa"/>
            <w:tcBorders>
              <w:top w:val="single" w:sz="4" w:space="0" w:color="auto"/>
              <w:left w:val="single" w:sz="4" w:space="0" w:color="auto"/>
              <w:bottom w:val="single" w:sz="4" w:space="0" w:color="auto"/>
              <w:right w:val="single" w:sz="4" w:space="0" w:color="auto"/>
            </w:tcBorders>
            <w:vAlign w:val="center"/>
            <w:hideMark/>
          </w:tcPr>
          <w:p w14:paraId="36CEDB25" w14:textId="77777777" w:rsidR="006C0C1F" w:rsidRPr="0041262C" w:rsidRDefault="006C0C1F" w:rsidP="006C0C1F">
            <w:pPr>
              <w:pStyle w:val="E3tabletext1"/>
              <w:rPr>
                <w:rFonts w:ascii="Helvetica" w:hAnsi="Helvetica" w:cs="Helvetica"/>
              </w:rPr>
            </w:pPr>
            <w:r w:rsidRPr="0041262C">
              <w:rPr>
                <w:rFonts w:ascii="Helvetica" w:hAnsi="Helvetica" w:cs="Helvetica"/>
              </w:rPr>
              <w:t>SFV</w:t>
            </w:r>
          </w:p>
          <w:p w14:paraId="38B9E419" w14:textId="77777777" w:rsidR="006C0C1F" w:rsidRPr="0041262C" w:rsidRDefault="006C0C1F" w:rsidP="006C0C1F">
            <w:pPr>
              <w:pStyle w:val="E3tabletext1"/>
              <w:rPr>
                <w:rFonts w:ascii="Helvetica" w:hAnsi="Helvetica" w:cs="Helvetica"/>
              </w:rPr>
            </w:pPr>
            <w:r w:rsidRPr="0041262C">
              <w:rPr>
                <w:rFonts w:ascii="Helvetica" w:hAnsi="Helvetica" w:cs="Helvetica"/>
              </w:rPr>
              <w:t>Service Cabinet Freezer, Vertical with solid door</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4E705BC3"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477D2906"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279B9536" w14:textId="77777777" w:rsidR="006C0C1F" w:rsidRPr="0041262C" w:rsidRDefault="006C0C1F" w:rsidP="006C0C1F">
            <w:pPr>
              <w:pStyle w:val="E3tabletext1"/>
              <w:rPr>
                <w:rFonts w:ascii="Helvetica" w:hAnsi="Helvetica" w:cs="Helvetica"/>
              </w:rPr>
            </w:pPr>
            <w:r w:rsidRPr="0041262C">
              <w:rPr>
                <w:rFonts w:ascii="Helvetica" w:hAnsi="Helvetica" w:cs="Helvetica"/>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16B7FDC7" w14:textId="77777777" w:rsidR="006C0C1F" w:rsidRPr="0041262C" w:rsidRDefault="006C0C1F" w:rsidP="006C0C1F">
            <w:pPr>
              <w:pStyle w:val="E3tabletext1"/>
              <w:rPr>
                <w:rFonts w:ascii="Helvetica" w:hAnsi="Helvetica" w:cs="Helvetica"/>
              </w:rPr>
            </w:pPr>
            <w:r w:rsidRPr="0041262C">
              <w:rPr>
                <w:rFonts w:ascii="Helvetica" w:hAnsi="Helvetica" w:cs="Helvetica"/>
              </w:rPr>
              <w:t xml:space="preserve">IVF4 Solid doors </w:t>
            </w:r>
            <w:r w:rsidRPr="0041262C">
              <w:rPr>
                <w:rFonts w:ascii="Helvetica" w:hAnsi="Helvetica" w:cs="Helvetica"/>
              </w:rPr>
              <w:br/>
              <w:t>L1 &amp; L2</w:t>
            </w:r>
            <w:r w:rsidRPr="0041262C">
              <w:rPr>
                <w:rFonts w:ascii="Helvetica" w:hAnsi="Helvetica" w:cs="Helvetica"/>
              </w:rPr>
              <w:br/>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14:paraId="2B8F87DF"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991" w:type="dxa"/>
            <w:tcBorders>
              <w:top w:val="single" w:sz="4" w:space="0" w:color="auto"/>
              <w:left w:val="single" w:sz="4" w:space="0" w:color="auto"/>
              <w:bottom w:val="single" w:sz="4" w:space="0" w:color="auto"/>
              <w:right w:val="single" w:sz="4" w:space="0" w:color="auto"/>
            </w:tcBorders>
            <w:vAlign w:val="center"/>
          </w:tcPr>
          <w:p w14:paraId="3C5C41EA" w14:textId="77777777" w:rsidR="006C0C1F" w:rsidRPr="0041262C" w:rsidRDefault="006C0C1F" w:rsidP="006C0C1F">
            <w:pPr>
              <w:pStyle w:val="E3tabletext1"/>
              <w:rPr>
                <w:rFonts w:ascii="Helvetica" w:hAnsi="Helvetica" w:cs="Helvetica"/>
              </w:rPr>
            </w:pPr>
            <w:r w:rsidRPr="0041262C">
              <w:rPr>
                <w:rFonts w:ascii="Helvetica" w:hAnsi="Helvetica" w:cs="Helvetica"/>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3A5987EC" w14:textId="77777777" w:rsidR="006C0C1F" w:rsidRPr="0041262C" w:rsidRDefault="006C0C1F" w:rsidP="006C0C1F">
            <w:pPr>
              <w:pStyle w:val="E3tabletext1"/>
              <w:rPr>
                <w:rFonts w:ascii="Helvetica" w:hAnsi="Helvetica" w:cs="Helvetica"/>
              </w:rPr>
            </w:pPr>
            <w:r w:rsidRPr="0041262C">
              <w:rPr>
                <w:rFonts w:ascii="Helvetica" w:hAnsi="Helvetica" w:cs="Helvetica"/>
              </w:rPr>
              <w:t>NA</w:t>
            </w:r>
          </w:p>
        </w:tc>
      </w:tr>
      <w:tr w:rsidR="006C0C1F" w14:paraId="58E657CE" w14:textId="77777777" w:rsidTr="006C0C1F">
        <w:trPr>
          <w:jc w:val="center"/>
        </w:trPr>
        <w:tc>
          <w:tcPr>
            <w:tcW w:w="7510" w:type="dxa"/>
            <w:gridSpan w:val="9"/>
            <w:tcBorders>
              <w:top w:val="single" w:sz="4" w:space="0" w:color="auto"/>
              <w:left w:val="single" w:sz="4" w:space="0" w:color="auto"/>
              <w:bottom w:val="single" w:sz="4" w:space="0" w:color="auto"/>
              <w:right w:val="single" w:sz="4" w:space="0" w:color="auto"/>
            </w:tcBorders>
            <w:vAlign w:val="center"/>
            <w:hideMark/>
          </w:tcPr>
          <w:p w14:paraId="4598D525" w14:textId="77777777" w:rsidR="006C0C1F" w:rsidRPr="0041262C" w:rsidRDefault="006C0C1F" w:rsidP="006C0C1F">
            <w:pPr>
              <w:pStyle w:val="E3tabletext1"/>
              <w:rPr>
                <w:rFonts w:ascii="Helvetica" w:hAnsi="Helvetica" w:cs="Helvetica"/>
              </w:rPr>
            </w:pPr>
            <w:r w:rsidRPr="0041262C">
              <w:rPr>
                <w:rFonts w:ascii="Helvetica" w:hAnsi="Helvetica" w:cs="Helvetica"/>
              </w:rPr>
              <w:t>Overall effect (Groups 1 to 11)</w:t>
            </w:r>
          </w:p>
        </w:tc>
        <w:tc>
          <w:tcPr>
            <w:tcW w:w="997" w:type="dxa"/>
            <w:gridSpan w:val="2"/>
            <w:tcBorders>
              <w:top w:val="single" w:sz="4" w:space="0" w:color="auto"/>
              <w:left w:val="single" w:sz="4" w:space="0" w:color="auto"/>
              <w:bottom w:val="single" w:sz="4" w:space="0" w:color="auto"/>
              <w:right w:val="single" w:sz="4" w:space="0" w:color="auto"/>
            </w:tcBorders>
            <w:vAlign w:val="center"/>
            <w:hideMark/>
          </w:tcPr>
          <w:p w14:paraId="1335BB0B" w14:textId="77777777" w:rsidR="006C0C1F" w:rsidRPr="0041262C" w:rsidRDefault="006C0C1F" w:rsidP="006C0C1F">
            <w:pPr>
              <w:pStyle w:val="E3tabletext1"/>
              <w:rPr>
                <w:rFonts w:ascii="Helvetica" w:hAnsi="Helvetica" w:cs="Helvetica"/>
              </w:rPr>
            </w:pPr>
            <w:r w:rsidRPr="0041262C">
              <w:rPr>
                <w:rFonts w:ascii="Helvetica" w:hAnsi="Helvetica" w:cs="Helvetica"/>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F555D3B" w14:textId="77777777" w:rsidR="006C0C1F" w:rsidRPr="0041262C" w:rsidRDefault="006C0C1F" w:rsidP="006C0C1F">
            <w:pPr>
              <w:pStyle w:val="E3tabletext1"/>
              <w:rPr>
                <w:rFonts w:ascii="Helvetica" w:hAnsi="Helvetica" w:cs="Helvetica"/>
              </w:rPr>
            </w:pPr>
            <w:r w:rsidRPr="0041262C">
              <w:rPr>
                <w:rFonts w:ascii="Helvetica" w:hAnsi="Helvetica" w:cs="Helvetica"/>
              </w:rPr>
              <w:t>6.9%</w:t>
            </w:r>
          </w:p>
        </w:tc>
      </w:tr>
    </w:tbl>
    <w:p w14:paraId="3CC3F621" w14:textId="77777777" w:rsidR="006C0C1F" w:rsidRPr="00F056E3" w:rsidRDefault="006C0C1F" w:rsidP="004E162B">
      <w:pPr>
        <w:pStyle w:val="E3Heading4"/>
        <w:spacing w:before="240"/>
      </w:pPr>
      <w:r w:rsidRPr="00F056E3">
        <w:lastRenderedPageBreak/>
        <w:t xml:space="preserve">Costs and Benefits </w:t>
      </w:r>
    </w:p>
    <w:p w14:paraId="6357AA4C" w14:textId="3E158AB8" w:rsidR="00A929F6" w:rsidRDefault="006C0C1F" w:rsidP="002759B7">
      <w:pPr>
        <w:pStyle w:val="E3Bullets"/>
        <w:numPr>
          <w:ilvl w:val="0"/>
          <w:numId w:val="0"/>
        </w:numPr>
        <w:spacing w:before="120" w:line="276" w:lineRule="auto"/>
        <w:jc w:val="both"/>
      </w:pPr>
      <w:r w:rsidRPr="00F0477C">
        <w:rPr>
          <w:b/>
        </w:rPr>
        <w:t xml:space="preserve">Figure </w:t>
      </w:r>
      <w:r>
        <w:rPr>
          <w:b/>
        </w:rPr>
        <w:t>14</w:t>
      </w:r>
      <w:r w:rsidRPr="00F0477C">
        <w:rPr>
          <w:b/>
        </w:rPr>
        <w:t xml:space="preserve"> </w:t>
      </w:r>
      <w:r>
        <w:t>shows the reduction in energy consumption over time due to Option2, there is also a corresponding reduction in greenhouse gas emissions when compared with BAU, but these are not significant when compared with other scenari</w:t>
      </w:r>
      <w:r w:rsidR="002759B7">
        <w:t>os (see Options 3 and 4 below).</w:t>
      </w:r>
    </w:p>
    <w:p w14:paraId="42C29209" w14:textId="64B1F22E" w:rsidR="006C0C1F" w:rsidRDefault="006C0C1F" w:rsidP="002759B7">
      <w:pPr>
        <w:pStyle w:val="E3Figuretitles"/>
      </w:pPr>
      <w:r w:rsidRPr="0041262C">
        <w:t>Figure 14: Annual energy consumption from Option 2</w:t>
      </w:r>
      <w:r w:rsidR="002759B7">
        <w:t>.</w:t>
      </w:r>
    </w:p>
    <w:p w14:paraId="3D692D86" w14:textId="77777777" w:rsidR="006C0C1F" w:rsidRDefault="006C0C1F" w:rsidP="00522FDB">
      <w:pPr>
        <w:pStyle w:val="E3Bullets"/>
        <w:numPr>
          <w:ilvl w:val="0"/>
          <w:numId w:val="0"/>
        </w:numPr>
        <w:spacing w:before="120" w:line="276" w:lineRule="auto"/>
        <w:jc w:val="both"/>
      </w:pPr>
      <w:r>
        <w:rPr>
          <w:noProof/>
          <w:lang w:val="en-AU" w:eastAsia="en-AU"/>
        </w:rPr>
        <w:drawing>
          <wp:inline distT="0" distB="0" distL="0" distR="0" wp14:anchorId="321C9CD1" wp14:editId="684790DC">
            <wp:extent cx="6099175" cy="4139143"/>
            <wp:effectExtent l="0" t="0" r="15875" b="13970"/>
            <wp:docPr id="37" name="Chart 37" descr="Option 2 describes a scenario where new MEPS levels would affect 10% of cabinets " title="Forecast annual energy consumption fronm opti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t xml:space="preserve"> </w:t>
      </w:r>
    </w:p>
    <w:p w14:paraId="3B709FDA" w14:textId="55761DC6" w:rsidR="006C0C1F" w:rsidRDefault="00522FDB" w:rsidP="004E162B">
      <w:pPr>
        <w:pStyle w:val="E3Bullets"/>
        <w:numPr>
          <w:ilvl w:val="0"/>
          <w:numId w:val="0"/>
        </w:numPr>
        <w:spacing w:before="240" w:line="276" w:lineRule="auto"/>
        <w:contextualSpacing w:val="0"/>
        <w:jc w:val="both"/>
      </w:pPr>
      <w:r>
        <w:rPr>
          <w:b/>
        </w:rPr>
        <w:t>T</w:t>
      </w:r>
      <w:r w:rsidR="006C0C1F" w:rsidRPr="00FF4799">
        <w:rPr>
          <w:b/>
        </w:rPr>
        <w:t xml:space="preserve">able </w:t>
      </w:r>
      <w:r w:rsidR="006C0C1F">
        <w:rPr>
          <w:b/>
        </w:rPr>
        <w:t>12</w:t>
      </w:r>
      <w:r w:rsidR="006C0C1F">
        <w:t xml:space="preserve"> shows the modelled impacts of Option 2 and indicates the net benefits to Australia of $AU309 million and to New Zealand of NZ$20 million and the benefit to cost ratios</w:t>
      </w:r>
      <w:r w:rsidR="004E162B">
        <w:t xml:space="preserve"> are 11:1 and 5:1 respectively.</w:t>
      </w:r>
    </w:p>
    <w:p w14:paraId="300B1D16" w14:textId="14E4AA04" w:rsidR="006C0C1F" w:rsidRPr="0041262C" w:rsidRDefault="006C0C1F" w:rsidP="004E162B">
      <w:pPr>
        <w:pStyle w:val="E3TableTitles"/>
        <w:spacing w:before="120"/>
      </w:pPr>
      <w:bookmarkStart w:id="231" w:name="_Toc500159663"/>
      <w:r w:rsidRPr="0041262C">
        <w:t>Table 12 Evaluation of impacts – Option 2</w:t>
      </w:r>
      <w:r>
        <w:t>.</w:t>
      </w:r>
      <w:bookmarkEnd w:id="231"/>
    </w:p>
    <w:tbl>
      <w:tblPr>
        <w:tblStyle w:val="TableGrid"/>
        <w:tblW w:w="0" w:type="auto"/>
        <w:tblLook w:val="04A0" w:firstRow="1" w:lastRow="0" w:firstColumn="1" w:lastColumn="0" w:noHBand="0" w:noVBand="1"/>
      </w:tblPr>
      <w:tblGrid>
        <w:gridCol w:w="3209"/>
        <w:gridCol w:w="3210"/>
        <w:gridCol w:w="3210"/>
      </w:tblGrid>
      <w:tr w:rsidR="006C0C1F" w14:paraId="4CD9EA68" w14:textId="77777777" w:rsidTr="00CF127B">
        <w:tc>
          <w:tcPr>
            <w:tcW w:w="3209" w:type="dxa"/>
            <w:vAlign w:val="center"/>
          </w:tcPr>
          <w:p w14:paraId="3567A877" w14:textId="77777777" w:rsidR="006C0C1F" w:rsidRPr="0041262C" w:rsidRDefault="006C0C1F" w:rsidP="00CF127B">
            <w:pPr>
              <w:pStyle w:val="E3Bullets"/>
              <w:numPr>
                <w:ilvl w:val="0"/>
                <w:numId w:val="0"/>
              </w:numPr>
              <w:spacing w:before="120" w:line="276" w:lineRule="auto"/>
              <w:jc w:val="center"/>
              <w:rPr>
                <w:rFonts w:ascii="Helvetica" w:hAnsi="Helvetica" w:cs="Helvetica"/>
                <w:b/>
                <w:sz w:val="16"/>
              </w:rPr>
            </w:pPr>
            <w:r w:rsidRPr="0041262C">
              <w:rPr>
                <w:rFonts w:ascii="Helvetica" w:hAnsi="Helvetica" w:cs="Helvetica"/>
                <w:b/>
                <w:sz w:val="16"/>
              </w:rPr>
              <w:t>Indicator</w:t>
            </w:r>
          </w:p>
        </w:tc>
        <w:tc>
          <w:tcPr>
            <w:tcW w:w="6420" w:type="dxa"/>
            <w:gridSpan w:val="2"/>
            <w:vAlign w:val="center"/>
          </w:tcPr>
          <w:p w14:paraId="64B69E0B" w14:textId="77777777" w:rsidR="006C0C1F" w:rsidRPr="0041262C" w:rsidRDefault="006C0C1F" w:rsidP="00CF127B">
            <w:pPr>
              <w:pStyle w:val="E3Bullets"/>
              <w:numPr>
                <w:ilvl w:val="0"/>
                <w:numId w:val="0"/>
              </w:numPr>
              <w:spacing w:before="120" w:line="276" w:lineRule="auto"/>
              <w:jc w:val="center"/>
              <w:rPr>
                <w:rFonts w:ascii="Helvetica" w:hAnsi="Helvetica" w:cs="Helvetica"/>
                <w:b/>
                <w:sz w:val="16"/>
              </w:rPr>
            </w:pPr>
            <w:r w:rsidRPr="0041262C">
              <w:rPr>
                <w:rFonts w:ascii="Helvetica" w:hAnsi="Helvetica" w:cs="Helvetica"/>
                <w:b/>
                <w:sz w:val="16"/>
              </w:rPr>
              <w:t>Appliances installed 2017 - 2035</w:t>
            </w:r>
          </w:p>
        </w:tc>
      </w:tr>
      <w:tr w:rsidR="006C0C1F" w14:paraId="53C55DFE" w14:textId="77777777" w:rsidTr="00CF127B">
        <w:tc>
          <w:tcPr>
            <w:tcW w:w="3209" w:type="dxa"/>
            <w:vAlign w:val="center"/>
          </w:tcPr>
          <w:p w14:paraId="5F026C86" w14:textId="77777777" w:rsidR="006C0C1F" w:rsidRPr="0041262C" w:rsidRDefault="006C0C1F" w:rsidP="00522FDB">
            <w:pPr>
              <w:pStyle w:val="E3Bullets"/>
              <w:numPr>
                <w:ilvl w:val="0"/>
                <w:numId w:val="0"/>
              </w:numPr>
              <w:spacing w:before="120" w:line="276" w:lineRule="auto"/>
              <w:rPr>
                <w:rFonts w:ascii="Helvetica" w:hAnsi="Helvetica" w:cs="Helvetica"/>
                <w:b/>
                <w:sz w:val="16"/>
              </w:rPr>
            </w:pPr>
          </w:p>
        </w:tc>
        <w:tc>
          <w:tcPr>
            <w:tcW w:w="3210" w:type="dxa"/>
            <w:vAlign w:val="center"/>
          </w:tcPr>
          <w:p w14:paraId="7B0A3B39" w14:textId="77777777" w:rsidR="006C0C1F" w:rsidRPr="0041262C" w:rsidRDefault="006C0C1F" w:rsidP="00CF127B">
            <w:pPr>
              <w:pStyle w:val="E3Bullets"/>
              <w:numPr>
                <w:ilvl w:val="0"/>
                <w:numId w:val="0"/>
              </w:numPr>
              <w:spacing w:before="120" w:line="276" w:lineRule="auto"/>
              <w:jc w:val="center"/>
              <w:rPr>
                <w:rFonts w:ascii="Helvetica" w:hAnsi="Helvetica" w:cs="Helvetica"/>
                <w:b/>
                <w:sz w:val="16"/>
              </w:rPr>
            </w:pPr>
            <w:r w:rsidRPr="0041262C">
              <w:rPr>
                <w:rFonts w:ascii="Helvetica" w:hAnsi="Helvetica" w:cs="Helvetica"/>
                <w:b/>
                <w:sz w:val="16"/>
              </w:rPr>
              <w:t>Australia</w:t>
            </w:r>
          </w:p>
        </w:tc>
        <w:tc>
          <w:tcPr>
            <w:tcW w:w="3210" w:type="dxa"/>
            <w:vAlign w:val="center"/>
          </w:tcPr>
          <w:p w14:paraId="528F0526" w14:textId="77777777" w:rsidR="006C0C1F" w:rsidRPr="0041262C" w:rsidRDefault="006C0C1F" w:rsidP="00CF127B">
            <w:pPr>
              <w:pStyle w:val="E3Bullets"/>
              <w:numPr>
                <w:ilvl w:val="0"/>
                <w:numId w:val="0"/>
              </w:numPr>
              <w:spacing w:before="120" w:line="276" w:lineRule="auto"/>
              <w:jc w:val="center"/>
              <w:rPr>
                <w:rFonts w:ascii="Helvetica" w:hAnsi="Helvetica" w:cs="Helvetica"/>
                <w:b/>
                <w:sz w:val="16"/>
              </w:rPr>
            </w:pPr>
            <w:r w:rsidRPr="0041262C">
              <w:rPr>
                <w:rFonts w:ascii="Helvetica" w:hAnsi="Helvetica" w:cs="Helvetica"/>
                <w:b/>
                <w:sz w:val="16"/>
              </w:rPr>
              <w:t>New Zealand</w:t>
            </w:r>
          </w:p>
        </w:tc>
      </w:tr>
      <w:tr w:rsidR="006C0C1F" w14:paraId="432A790C" w14:textId="77777777" w:rsidTr="00CF127B">
        <w:tc>
          <w:tcPr>
            <w:tcW w:w="3209" w:type="dxa"/>
            <w:vAlign w:val="center"/>
          </w:tcPr>
          <w:p w14:paraId="55B3B549" w14:textId="77777777" w:rsidR="006C0C1F" w:rsidRPr="0041262C" w:rsidRDefault="006C0C1F" w:rsidP="00CF127B">
            <w:pPr>
              <w:pStyle w:val="E3Bullets"/>
              <w:numPr>
                <w:ilvl w:val="0"/>
                <w:numId w:val="0"/>
              </w:numPr>
              <w:spacing w:before="120" w:line="276" w:lineRule="auto"/>
              <w:jc w:val="center"/>
              <w:rPr>
                <w:rFonts w:ascii="Helvetica" w:hAnsi="Helvetica" w:cs="Helvetica"/>
                <w:sz w:val="16"/>
              </w:rPr>
            </w:pPr>
            <w:r w:rsidRPr="0041262C">
              <w:rPr>
                <w:rFonts w:ascii="Helvetica" w:hAnsi="Helvetica" w:cs="Helvetica"/>
                <w:sz w:val="16"/>
              </w:rPr>
              <w:t>Energy Savings</w:t>
            </w:r>
          </w:p>
        </w:tc>
        <w:tc>
          <w:tcPr>
            <w:tcW w:w="3210" w:type="dxa"/>
            <w:vAlign w:val="center"/>
          </w:tcPr>
          <w:p w14:paraId="6A3E8D74" w14:textId="77777777" w:rsidR="006C0C1F" w:rsidRPr="0041262C" w:rsidRDefault="006C0C1F" w:rsidP="00CF127B">
            <w:pPr>
              <w:pStyle w:val="E3Bullets"/>
              <w:numPr>
                <w:ilvl w:val="0"/>
                <w:numId w:val="0"/>
              </w:numPr>
              <w:spacing w:before="120" w:line="276" w:lineRule="auto"/>
              <w:jc w:val="center"/>
              <w:rPr>
                <w:rFonts w:ascii="Helvetica" w:hAnsi="Helvetica" w:cs="Helvetica"/>
                <w:sz w:val="16"/>
              </w:rPr>
            </w:pPr>
            <w:r w:rsidRPr="0041262C">
              <w:rPr>
                <w:rFonts w:ascii="Helvetica" w:hAnsi="Helvetica" w:cs="Helvetica"/>
                <w:sz w:val="16"/>
              </w:rPr>
              <w:t>2278GWh</w:t>
            </w:r>
          </w:p>
        </w:tc>
        <w:tc>
          <w:tcPr>
            <w:tcW w:w="3210" w:type="dxa"/>
            <w:vAlign w:val="center"/>
          </w:tcPr>
          <w:p w14:paraId="7CC59678" w14:textId="77777777" w:rsidR="006C0C1F" w:rsidRPr="0041262C" w:rsidRDefault="006C0C1F" w:rsidP="00CF127B">
            <w:pPr>
              <w:pStyle w:val="E3Bullets"/>
              <w:numPr>
                <w:ilvl w:val="0"/>
                <w:numId w:val="0"/>
              </w:numPr>
              <w:spacing w:before="120" w:line="276" w:lineRule="auto"/>
              <w:jc w:val="center"/>
              <w:rPr>
                <w:rFonts w:ascii="Helvetica" w:hAnsi="Helvetica" w:cs="Helvetica"/>
                <w:sz w:val="16"/>
              </w:rPr>
            </w:pPr>
            <w:r w:rsidRPr="0041262C">
              <w:rPr>
                <w:rFonts w:ascii="Helvetica" w:hAnsi="Helvetica" w:cs="Helvetica"/>
                <w:sz w:val="16"/>
              </w:rPr>
              <w:t>404GWh</w:t>
            </w:r>
          </w:p>
        </w:tc>
      </w:tr>
      <w:tr w:rsidR="006C0C1F" w14:paraId="0D86B8D6" w14:textId="77777777" w:rsidTr="00CF127B">
        <w:tc>
          <w:tcPr>
            <w:tcW w:w="3209" w:type="dxa"/>
            <w:vAlign w:val="center"/>
          </w:tcPr>
          <w:p w14:paraId="4F729A26" w14:textId="77777777" w:rsidR="006C0C1F" w:rsidRPr="0041262C" w:rsidRDefault="006C0C1F" w:rsidP="00CF127B">
            <w:pPr>
              <w:pStyle w:val="E3Bullets"/>
              <w:numPr>
                <w:ilvl w:val="0"/>
                <w:numId w:val="0"/>
              </w:numPr>
              <w:spacing w:before="120" w:line="276" w:lineRule="auto"/>
              <w:jc w:val="center"/>
              <w:rPr>
                <w:rFonts w:ascii="Helvetica" w:hAnsi="Helvetica" w:cs="Helvetica"/>
                <w:sz w:val="16"/>
              </w:rPr>
            </w:pPr>
            <w:r w:rsidRPr="0041262C">
              <w:rPr>
                <w:rFonts w:ascii="Helvetica" w:hAnsi="Helvetica" w:cs="Helvetica"/>
                <w:sz w:val="16"/>
              </w:rPr>
              <w:t>Emissions savings (CO2-e cumulative)</w:t>
            </w:r>
          </w:p>
        </w:tc>
        <w:tc>
          <w:tcPr>
            <w:tcW w:w="3210" w:type="dxa"/>
            <w:vAlign w:val="center"/>
          </w:tcPr>
          <w:p w14:paraId="7A908702" w14:textId="77777777" w:rsidR="006C0C1F" w:rsidRPr="0041262C" w:rsidRDefault="006C0C1F" w:rsidP="00CF127B">
            <w:pPr>
              <w:pStyle w:val="E3Bullets"/>
              <w:numPr>
                <w:ilvl w:val="0"/>
                <w:numId w:val="0"/>
              </w:numPr>
              <w:spacing w:before="120" w:line="276" w:lineRule="auto"/>
              <w:jc w:val="center"/>
              <w:rPr>
                <w:rFonts w:ascii="Helvetica" w:hAnsi="Helvetica" w:cs="Helvetica"/>
                <w:sz w:val="16"/>
              </w:rPr>
            </w:pPr>
            <w:r w:rsidRPr="0041262C">
              <w:rPr>
                <w:rFonts w:ascii="Helvetica" w:hAnsi="Helvetica" w:cs="Helvetica"/>
                <w:sz w:val="16"/>
              </w:rPr>
              <w:t>1.69Mt</w:t>
            </w:r>
          </w:p>
        </w:tc>
        <w:tc>
          <w:tcPr>
            <w:tcW w:w="3210" w:type="dxa"/>
            <w:vAlign w:val="center"/>
          </w:tcPr>
          <w:p w14:paraId="15984473" w14:textId="77777777" w:rsidR="006C0C1F" w:rsidRPr="0041262C" w:rsidRDefault="006C0C1F" w:rsidP="00CF127B">
            <w:pPr>
              <w:pStyle w:val="E3Bullets"/>
              <w:numPr>
                <w:ilvl w:val="0"/>
                <w:numId w:val="0"/>
              </w:numPr>
              <w:spacing w:before="120" w:line="276" w:lineRule="auto"/>
              <w:jc w:val="center"/>
              <w:rPr>
                <w:rFonts w:ascii="Helvetica" w:hAnsi="Helvetica" w:cs="Helvetica"/>
                <w:sz w:val="16"/>
              </w:rPr>
            </w:pPr>
            <w:r w:rsidRPr="0041262C">
              <w:rPr>
                <w:rFonts w:ascii="Helvetica" w:hAnsi="Helvetica" w:cs="Helvetica"/>
                <w:sz w:val="16"/>
              </w:rPr>
              <w:t>52kt</w:t>
            </w:r>
          </w:p>
        </w:tc>
      </w:tr>
      <w:tr w:rsidR="006C0C1F" w14:paraId="6C810808" w14:textId="77777777" w:rsidTr="00CF127B">
        <w:tc>
          <w:tcPr>
            <w:tcW w:w="3209" w:type="dxa"/>
            <w:vAlign w:val="center"/>
          </w:tcPr>
          <w:p w14:paraId="046DA10B" w14:textId="77777777" w:rsidR="006C0C1F" w:rsidRPr="0041262C" w:rsidRDefault="006C0C1F" w:rsidP="00CF127B">
            <w:pPr>
              <w:pStyle w:val="E3Bullets"/>
              <w:numPr>
                <w:ilvl w:val="0"/>
                <w:numId w:val="0"/>
              </w:numPr>
              <w:spacing w:before="120" w:line="276" w:lineRule="auto"/>
              <w:jc w:val="center"/>
              <w:rPr>
                <w:rFonts w:ascii="Helvetica" w:hAnsi="Helvetica" w:cs="Helvetica"/>
                <w:sz w:val="16"/>
              </w:rPr>
            </w:pPr>
            <w:r w:rsidRPr="0041262C">
              <w:rPr>
                <w:rFonts w:ascii="Helvetica" w:hAnsi="Helvetica" w:cs="Helvetica"/>
                <w:sz w:val="16"/>
              </w:rPr>
              <w:t>Benefits</w:t>
            </w:r>
          </w:p>
        </w:tc>
        <w:tc>
          <w:tcPr>
            <w:tcW w:w="3210" w:type="dxa"/>
            <w:vAlign w:val="center"/>
          </w:tcPr>
          <w:p w14:paraId="7CC7D86B" w14:textId="77777777" w:rsidR="006C0C1F" w:rsidRPr="0041262C" w:rsidRDefault="006C0C1F" w:rsidP="00CF127B">
            <w:pPr>
              <w:pStyle w:val="E3Bullets"/>
              <w:numPr>
                <w:ilvl w:val="0"/>
                <w:numId w:val="0"/>
              </w:numPr>
              <w:spacing w:before="120" w:line="276" w:lineRule="auto"/>
              <w:jc w:val="center"/>
              <w:rPr>
                <w:rFonts w:ascii="Helvetica" w:hAnsi="Helvetica" w:cs="Helvetica"/>
                <w:sz w:val="16"/>
              </w:rPr>
            </w:pPr>
            <w:r w:rsidRPr="0041262C">
              <w:rPr>
                <w:rFonts w:ascii="Helvetica" w:hAnsi="Helvetica" w:cs="Helvetica"/>
                <w:sz w:val="16"/>
              </w:rPr>
              <w:t>$AU340 million</w:t>
            </w:r>
          </w:p>
        </w:tc>
        <w:tc>
          <w:tcPr>
            <w:tcW w:w="3210" w:type="dxa"/>
            <w:vAlign w:val="center"/>
          </w:tcPr>
          <w:p w14:paraId="19C66E45" w14:textId="77777777" w:rsidR="006C0C1F" w:rsidRPr="0041262C" w:rsidRDefault="006C0C1F" w:rsidP="00CF127B">
            <w:pPr>
              <w:pStyle w:val="E3Bullets"/>
              <w:numPr>
                <w:ilvl w:val="0"/>
                <w:numId w:val="0"/>
              </w:numPr>
              <w:spacing w:before="120" w:line="276" w:lineRule="auto"/>
              <w:jc w:val="center"/>
              <w:rPr>
                <w:rFonts w:ascii="Helvetica" w:hAnsi="Helvetica" w:cs="Helvetica"/>
                <w:sz w:val="16"/>
              </w:rPr>
            </w:pPr>
            <w:r w:rsidRPr="0041262C">
              <w:rPr>
                <w:rFonts w:ascii="Helvetica" w:hAnsi="Helvetica" w:cs="Helvetica"/>
                <w:sz w:val="16"/>
              </w:rPr>
              <w:t>$NZ24 million</w:t>
            </w:r>
          </w:p>
        </w:tc>
      </w:tr>
      <w:tr w:rsidR="006C0C1F" w14:paraId="6F1EA202" w14:textId="77777777" w:rsidTr="00CF127B">
        <w:tc>
          <w:tcPr>
            <w:tcW w:w="3209" w:type="dxa"/>
            <w:vAlign w:val="center"/>
          </w:tcPr>
          <w:p w14:paraId="2D1E193D" w14:textId="77777777" w:rsidR="006C0C1F" w:rsidRPr="0041262C" w:rsidRDefault="006C0C1F" w:rsidP="00CF127B">
            <w:pPr>
              <w:pStyle w:val="E3Bullets"/>
              <w:numPr>
                <w:ilvl w:val="0"/>
                <w:numId w:val="0"/>
              </w:numPr>
              <w:spacing w:before="120" w:line="276" w:lineRule="auto"/>
              <w:jc w:val="center"/>
              <w:rPr>
                <w:rFonts w:ascii="Helvetica" w:hAnsi="Helvetica" w:cs="Helvetica"/>
                <w:sz w:val="16"/>
              </w:rPr>
            </w:pPr>
            <w:r w:rsidRPr="0041262C">
              <w:rPr>
                <w:rFonts w:ascii="Helvetica" w:hAnsi="Helvetica" w:cs="Helvetica"/>
                <w:sz w:val="16"/>
              </w:rPr>
              <w:t>Costs</w:t>
            </w:r>
          </w:p>
        </w:tc>
        <w:tc>
          <w:tcPr>
            <w:tcW w:w="3210" w:type="dxa"/>
            <w:vAlign w:val="center"/>
          </w:tcPr>
          <w:p w14:paraId="76BAF639" w14:textId="77777777" w:rsidR="006C0C1F" w:rsidRPr="0041262C" w:rsidRDefault="006C0C1F" w:rsidP="00CF127B">
            <w:pPr>
              <w:pStyle w:val="E3Bullets"/>
              <w:numPr>
                <w:ilvl w:val="0"/>
                <w:numId w:val="0"/>
              </w:numPr>
              <w:spacing w:before="120" w:line="276" w:lineRule="auto"/>
              <w:jc w:val="center"/>
              <w:rPr>
                <w:rFonts w:ascii="Helvetica" w:hAnsi="Helvetica" w:cs="Helvetica"/>
                <w:sz w:val="16"/>
              </w:rPr>
            </w:pPr>
            <w:r w:rsidRPr="0041262C">
              <w:rPr>
                <w:rFonts w:ascii="Helvetica" w:hAnsi="Helvetica" w:cs="Helvetica"/>
                <w:sz w:val="16"/>
              </w:rPr>
              <w:t>$AU31 million</w:t>
            </w:r>
          </w:p>
        </w:tc>
        <w:tc>
          <w:tcPr>
            <w:tcW w:w="3210" w:type="dxa"/>
            <w:vAlign w:val="center"/>
          </w:tcPr>
          <w:p w14:paraId="7D84EA54" w14:textId="77777777" w:rsidR="006C0C1F" w:rsidRPr="0041262C" w:rsidRDefault="006C0C1F" w:rsidP="00CF127B">
            <w:pPr>
              <w:pStyle w:val="E3Bullets"/>
              <w:numPr>
                <w:ilvl w:val="0"/>
                <w:numId w:val="0"/>
              </w:numPr>
              <w:spacing w:before="120" w:line="276" w:lineRule="auto"/>
              <w:jc w:val="center"/>
              <w:rPr>
                <w:rFonts w:ascii="Helvetica" w:hAnsi="Helvetica" w:cs="Helvetica"/>
                <w:sz w:val="16"/>
              </w:rPr>
            </w:pPr>
            <w:r w:rsidRPr="0041262C">
              <w:rPr>
                <w:rFonts w:ascii="Helvetica" w:hAnsi="Helvetica" w:cs="Helvetica"/>
                <w:sz w:val="16"/>
              </w:rPr>
              <w:t>$NZ5 million</w:t>
            </w:r>
          </w:p>
        </w:tc>
      </w:tr>
      <w:tr w:rsidR="006C0C1F" w14:paraId="555C0765" w14:textId="77777777" w:rsidTr="00CF127B">
        <w:tc>
          <w:tcPr>
            <w:tcW w:w="3209" w:type="dxa"/>
            <w:vAlign w:val="center"/>
          </w:tcPr>
          <w:p w14:paraId="053A0C8F" w14:textId="77777777" w:rsidR="006C0C1F" w:rsidRPr="0041262C" w:rsidRDefault="006C0C1F" w:rsidP="00CF127B">
            <w:pPr>
              <w:pStyle w:val="E3Bullets"/>
              <w:numPr>
                <w:ilvl w:val="0"/>
                <w:numId w:val="0"/>
              </w:numPr>
              <w:spacing w:before="120" w:line="276" w:lineRule="auto"/>
              <w:jc w:val="center"/>
              <w:rPr>
                <w:rFonts w:ascii="Helvetica" w:hAnsi="Helvetica" w:cs="Helvetica"/>
                <w:sz w:val="16"/>
              </w:rPr>
            </w:pPr>
            <w:r w:rsidRPr="0041262C">
              <w:rPr>
                <w:rFonts w:ascii="Helvetica" w:hAnsi="Helvetica" w:cs="Helvetica"/>
                <w:sz w:val="16"/>
              </w:rPr>
              <w:t>Net Present Value</w:t>
            </w:r>
          </w:p>
        </w:tc>
        <w:tc>
          <w:tcPr>
            <w:tcW w:w="3210" w:type="dxa"/>
            <w:vAlign w:val="center"/>
          </w:tcPr>
          <w:p w14:paraId="1F0077BC" w14:textId="77777777" w:rsidR="006C0C1F" w:rsidRPr="0041262C" w:rsidRDefault="006C0C1F" w:rsidP="00CF127B">
            <w:pPr>
              <w:pStyle w:val="E3Bullets"/>
              <w:numPr>
                <w:ilvl w:val="0"/>
                <w:numId w:val="0"/>
              </w:numPr>
              <w:spacing w:before="120" w:line="276" w:lineRule="auto"/>
              <w:jc w:val="center"/>
              <w:rPr>
                <w:rFonts w:ascii="Helvetica" w:hAnsi="Helvetica" w:cs="Helvetica"/>
                <w:sz w:val="16"/>
              </w:rPr>
            </w:pPr>
            <w:r w:rsidRPr="0041262C">
              <w:rPr>
                <w:rFonts w:ascii="Helvetica" w:hAnsi="Helvetica" w:cs="Helvetica"/>
                <w:sz w:val="16"/>
              </w:rPr>
              <w:t>$AU301 million</w:t>
            </w:r>
          </w:p>
        </w:tc>
        <w:tc>
          <w:tcPr>
            <w:tcW w:w="3210" w:type="dxa"/>
            <w:vAlign w:val="center"/>
          </w:tcPr>
          <w:p w14:paraId="6FFE1A18" w14:textId="77777777" w:rsidR="006C0C1F" w:rsidRPr="0041262C" w:rsidRDefault="006C0C1F" w:rsidP="00CF127B">
            <w:pPr>
              <w:pStyle w:val="E3Bullets"/>
              <w:numPr>
                <w:ilvl w:val="0"/>
                <w:numId w:val="0"/>
              </w:numPr>
              <w:spacing w:before="120" w:line="276" w:lineRule="auto"/>
              <w:jc w:val="center"/>
              <w:rPr>
                <w:rFonts w:ascii="Helvetica" w:hAnsi="Helvetica" w:cs="Helvetica"/>
                <w:sz w:val="16"/>
              </w:rPr>
            </w:pPr>
            <w:r w:rsidRPr="0041262C">
              <w:rPr>
                <w:rFonts w:ascii="Helvetica" w:hAnsi="Helvetica" w:cs="Helvetica"/>
                <w:sz w:val="16"/>
              </w:rPr>
              <w:t>$NZ20 million</w:t>
            </w:r>
            <w:r w:rsidRPr="0041262C">
              <w:rPr>
                <w:rStyle w:val="FootnoteReference"/>
                <w:rFonts w:ascii="Helvetica" w:hAnsi="Helvetica" w:cs="Helvetica"/>
                <w:sz w:val="16"/>
              </w:rPr>
              <w:footnoteReference w:id="41"/>
            </w:r>
          </w:p>
        </w:tc>
      </w:tr>
      <w:tr w:rsidR="006C0C1F" w14:paraId="339997FF" w14:textId="77777777" w:rsidTr="00CF127B">
        <w:tc>
          <w:tcPr>
            <w:tcW w:w="3209" w:type="dxa"/>
            <w:vAlign w:val="center"/>
          </w:tcPr>
          <w:p w14:paraId="46947F84" w14:textId="77777777" w:rsidR="006C0C1F" w:rsidRPr="0041262C" w:rsidRDefault="006C0C1F" w:rsidP="00CF127B">
            <w:pPr>
              <w:pStyle w:val="E3Bullets"/>
              <w:numPr>
                <w:ilvl w:val="0"/>
                <w:numId w:val="0"/>
              </w:numPr>
              <w:spacing w:before="120" w:line="276" w:lineRule="auto"/>
              <w:jc w:val="center"/>
              <w:rPr>
                <w:rFonts w:ascii="Helvetica" w:hAnsi="Helvetica" w:cs="Helvetica"/>
                <w:sz w:val="16"/>
              </w:rPr>
            </w:pPr>
            <w:r w:rsidRPr="0041262C">
              <w:rPr>
                <w:rFonts w:ascii="Helvetica" w:hAnsi="Helvetica" w:cs="Helvetica"/>
                <w:sz w:val="16"/>
              </w:rPr>
              <w:t>Benefit cost ratio</w:t>
            </w:r>
          </w:p>
        </w:tc>
        <w:tc>
          <w:tcPr>
            <w:tcW w:w="3210" w:type="dxa"/>
            <w:vAlign w:val="center"/>
          </w:tcPr>
          <w:p w14:paraId="49ECC2EB" w14:textId="77777777" w:rsidR="006C0C1F" w:rsidRPr="0041262C" w:rsidRDefault="006C0C1F" w:rsidP="00CF127B">
            <w:pPr>
              <w:pStyle w:val="E3Bullets"/>
              <w:numPr>
                <w:ilvl w:val="0"/>
                <w:numId w:val="0"/>
              </w:numPr>
              <w:spacing w:before="120" w:line="276" w:lineRule="auto"/>
              <w:jc w:val="center"/>
              <w:rPr>
                <w:rFonts w:ascii="Helvetica" w:hAnsi="Helvetica" w:cs="Helvetica"/>
                <w:sz w:val="16"/>
              </w:rPr>
            </w:pPr>
            <w:r w:rsidRPr="0041262C">
              <w:rPr>
                <w:rFonts w:ascii="Helvetica" w:hAnsi="Helvetica" w:cs="Helvetica"/>
                <w:sz w:val="16"/>
              </w:rPr>
              <w:t>11:1</w:t>
            </w:r>
          </w:p>
        </w:tc>
        <w:tc>
          <w:tcPr>
            <w:tcW w:w="3210" w:type="dxa"/>
            <w:vAlign w:val="center"/>
          </w:tcPr>
          <w:p w14:paraId="1AFE94A7" w14:textId="77777777" w:rsidR="006C0C1F" w:rsidRPr="0041262C" w:rsidRDefault="006C0C1F" w:rsidP="00CF127B">
            <w:pPr>
              <w:pStyle w:val="E3Bullets"/>
              <w:numPr>
                <w:ilvl w:val="0"/>
                <w:numId w:val="0"/>
              </w:numPr>
              <w:spacing w:before="120" w:line="276" w:lineRule="auto"/>
              <w:jc w:val="center"/>
              <w:rPr>
                <w:rFonts w:ascii="Helvetica" w:hAnsi="Helvetica" w:cs="Helvetica"/>
                <w:sz w:val="16"/>
              </w:rPr>
            </w:pPr>
            <w:r w:rsidRPr="0041262C">
              <w:rPr>
                <w:rFonts w:ascii="Helvetica" w:hAnsi="Helvetica" w:cs="Helvetica"/>
                <w:sz w:val="16"/>
              </w:rPr>
              <w:t>5:1</w:t>
            </w:r>
          </w:p>
        </w:tc>
      </w:tr>
    </w:tbl>
    <w:p w14:paraId="2668D67F" w14:textId="77777777" w:rsidR="006C0C1F" w:rsidRDefault="006C0C1F" w:rsidP="0010036B">
      <w:pPr>
        <w:pStyle w:val="E3Bullets"/>
        <w:numPr>
          <w:ilvl w:val="0"/>
          <w:numId w:val="0"/>
        </w:numPr>
        <w:spacing w:before="120" w:line="276" w:lineRule="auto"/>
        <w:jc w:val="both"/>
      </w:pPr>
    </w:p>
    <w:p w14:paraId="1EF99D35" w14:textId="1EFDCECD" w:rsidR="006C0C1F" w:rsidRDefault="006C0C1F" w:rsidP="002759B7">
      <w:pPr>
        <w:pStyle w:val="E3Bullets"/>
        <w:numPr>
          <w:ilvl w:val="0"/>
          <w:numId w:val="0"/>
        </w:numPr>
        <w:spacing w:before="120" w:line="276" w:lineRule="auto"/>
        <w:jc w:val="both"/>
      </w:pPr>
      <w:r>
        <w:t xml:space="preserve">The Benefit Cost Analysis takes the costs (in Table D2, </w:t>
      </w:r>
      <w:r w:rsidR="00803448">
        <w:t>Attachment C</w:t>
      </w:r>
      <w:r>
        <w:t>), adds them to the cost to improve energy efficiency (using the price to efficiency ratio of 0.5) and discounts them over time and sums them. The analysis also takes the benefits from the reduced electricity costs, and these are also discounted and summed. Further details of the modelling and</w:t>
      </w:r>
      <w:r w:rsidR="00803448">
        <w:t xml:space="preserve"> assumptions are at Attachment C</w:t>
      </w:r>
      <w:r w:rsidR="00C22857">
        <w:t>.</w:t>
      </w:r>
    </w:p>
    <w:p w14:paraId="6910B046" w14:textId="77777777" w:rsidR="006C0C1F" w:rsidRDefault="006C0C1F" w:rsidP="002759B7">
      <w:pPr>
        <w:pStyle w:val="E3Bullets"/>
        <w:numPr>
          <w:ilvl w:val="0"/>
          <w:numId w:val="0"/>
        </w:numPr>
        <w:spacing w:before="120" w:line="276" w:lineRule="auto"/>
        <w:jc w:val="both"/>
      </w:pPr>
    </w:p>
    <w:p w14:paraId="40476C35" w14:textId="77777777" w:rsidR="006C0C1F" w:rsidRPr="0010036B" w:rsidRDefault="006C0C1F" w:rsidP="002759B7">
      <w:pPr>
        <w:pStyle w:val="E3Heading2"/>
        <w:jc w:val="both"/>
      </w:pPr>
      <w:bookmarkStart w:id="232" w:name="_Toc500151813"/>
      <w:r w:rsidRPr="0010036B">
        <w:t>Option 3</w:t>
      </w:r>
      <w:bookmarkEnd w:id="232"/>
      <w:r w:rsidRPr="0010036B">
        <w:t xml:space="preserve"> </w:t>
      </w:r>
    </w:p>
    <w:p w14:paraId="0F0F13FC" w14:textId="2910005F" w:rsidR="006C0C1F" w:rsidRPr="0041262C" w:rsidRDefault="006C0C1F" w:rsidP="002759B7">
      <w:pPr>
        <w:pStyle w:val="E3BodyText"/>
        <w:jc w:val="both"/>
      </w:pPr>
      <w:r>
        <w:t xml:space="preserve">Option 3 is the same as option 2 except the proposed MEPS levels will affect the worst 30% of cabinets in each group.  Therefore it has the same advantages and dis-advantages and impacts on market participants as Option 2 above. However the impact on the models currently sold on the market would be higher resulting in additional compliance costs. However because more energy efficient models would need to supplied and used the benefits are higher as shown below. </w:t>
      </w:r>
    </w:p>
    <w:p w14:paraId="507E5F25" w14:textId="77777777" w:rsidR="006C0C1F" w:rsidRPr="00F056E3" w:rsidRDefault="006C0C1F" w:rsidP="002759B7">
      <w:pPr>
        <w:pStyle w:val="E3Heading4"/>
        <w:jc w:val="both"/>
      </w:pPr>
      <w:r w:rsidRPr="00F056E3">
        <w:t>Impacts on current market supply</w:t>
      </w:r>
    </w:p>
    <w:p w14:paraId="3D21AB76" w14:textId="09F35AD4" w:rsidR="002759B7" w:rsidRDefault="006C0C1F" w:rsidP="00243B70">
      <w:pPr>
        <w:pStyle w:val="E3Bullets"/>
        <w:numPr>
          <w:ilvl w:val="0"/>
          <w:numId w:val="0"/>
        </w:numPr>
        <w:spacing w:before="120" w:line="276" w:lineRule="auto"/>
        <w:jc w:val="both"/>
      </w:pPr>
      <w:r w:rsidRPr="00F056E3">
        <w:t>Under Option 3 the least efficient 30% of cabinets in every cabinet group will be removed from the market.  Similar to option 2 these sales will be mostly from the integral freezer category (as you would expect to see in smaller retail outlets) and remote vertical cabinets (i.e. for chilled foodstuffs in supermarkets). Table 13 p</w:t>
      </w:r>
      <w:r w:rsidR="0010036B">
        <w:t>rovides</w:t>
      </w:r>
      <w:r w:rsidR="00243B70">
        <w:t xml:space="preserve"> details of this impact</w:t>
      </w:r>
      <w:r w:rsidR="00C22857">
        <w:t>.</w:t>
      </w:r>
    </w:p>
    <w:p w14:paraId="5B775428" w14:textId="3A7BDEDE" w:rsidR="006C0C1F" w:rsidRPr="004C3E41" w:rsidRDefault="006C0C1F" w:rsidP="004C3E41">
      <w:pPr>
        <w:pStyle w:val="E3TableTitles"/>
      </w:pPr>
      <w:bookmarkStart w:id="233" w:name="_Toc500159664"/>
      <w:r w:rsidRPr="004C3E41">
        <w:t>Table 13: Summary of 15 groups of display and storage cabinets and impacts on models from Option 3.</w:t>
      </w:r>
      <w:bookmarkEnd w:id="233"/>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11"/>
        <w:gridCol w:w="1134"/>
        <w:gridCol w:w="1124"/>
        <w:gridCol w:w="10"/>
        <w:gridCol w:w="992"/>
        <w:gridCol w:w="132"/>
        <w:gridCol w:w="861"/>
        <w:gridCol w:w="131"/>
        <w:gridCol w:w="992"/>
        <w:gridCol w:w="11"/>
        <w:gridCol w:w="981"/>
        <w:gridCol w:w="11"/>
        <w:gridCol w:w="992"/>
      </w:tblGrid>
      <w:tr w:rsidR="006C0C1F" w14:paraId="1FA5ADD2" w14:textId="77777777" w:rsidTr="004E162B">
        <w:trPr>
          <w:trHeight w:val="607"/>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0C0C0C"/>
          </w:tcPr>
          <w:p w14:paraId="0BE45927" w14:textId="77777777" w:rsidR="006C0C1F" w:rsidRPr="0041262C" w:rsidRDefault="006C0C1F" w:rsidP="006C0C1F">
            <w:pPr>
              <w:pStyle w:val="E3TableHeading"/>
              <w:spacing w:line="256" w:lineRule="auto"/>
              <w:rPr>
                <w:sz w:val="14"/>
              </w:rPr>
            </w:pPr>
          </w:p>
        </w:tc>
        <w:tc>
          <w:tcPr>
            <w:tcW w:w="1711" w:type="dxa"/>
            <w:tcBorders>
              <w:top w:val="single" w:sz="4" w:space="0" w:color="auto"/>
              <w:left w:val="single" w:sz="4" w:space="0" w:color="auto"/>
              <w:bottom w:val="single" w:sz="4" w:space="0" w:color="auto"/>
              <w:right w:val="single" w:sz="4" w:space="0" w:color="auto"/>
            </w:tcBorders>
            <w:shd w:val="clear" w:color="auto" w:fill="0C0C0C"/>
            <w:vAlign w:val="center"/>
          </w:tcPr>
          <w:p w14:paraId="523CDFBE" w14:textId="77777777" w:rsidR="006C0C1F" w:rsidRPr="0041262C" w:rsidRDefault="006C0C1F" w:rsidP="006C0C1F">
            <w:pPr>
              <w:pStyle w:val="E3TableHeading"/>
              <w:spacing w:line="256" w:lineRule="auto"/>
              <w:rPr>
                <w:sz w:val="14"/>
              </w:rPr>
            </w:pPr>
            <w:r w:rsidRPr="0041262C">
              <w:rPr>
                <w:sz w:val="14"/>
              </w:rPr>
              <w:t>Group Abbrev.</w:t>
            </w:r>
          </w:p>
        </w:tc>
        <w:tc>
          <w:tcPr>
            <w:tcW w:w="1134" w:type="dxa"/>
            <w:tcBorders>
              <w:top w:val="single" w:sz="4" w:space="0" w:color="auto"/>
              <w:left w:val="single" w:sz="4" w:space="0" w:color="auto"/>
              <w:bottom w:val="single" w:sz="4" w:space="0" w:color="auto"/>
              <w:right w:val="single" w:sz="4" w:space="0" w:color="auto"/>
            </w:tcBorders>
            <w:shd w:val="clear" w:color="auto" w:fill="0C0C0C"/>
            <w:vAlign w:val="center"/>
          </w:tcPr>
          <w:p w14:paraId="04606D2B" w14:textId="77777777" w:rsidR="006C0C1F" w:rsidRPr="0041262C" w:rsidRDefault="006C0C1F" w:rsidP="006C0C1F">
            <w:pPr>
              <w:pStyle w:val="E3TableHeading"/>
              <w:spacing w:line="256" w:lineRule="auto"/>
              <w:rPr>
                <w:sz w:val="14"/>
              </w:rPr>
            </w:pPr>
            <w:r w:rsidRPr="0041262C">
              <w:rPr>
                <w:sz w:val="14"/>
              </w:rPr>
              <w:t>Application</w:t>
            </w:r>
          </w:p>
        </w:tc>
        <w:tc>
          <w:tcPr>
            <w:tcW w:w="1124" w:type="dxa"/>
            <w:tcBorders>
              <w:top w:val="single" w:sz="4" w:space="0" w:color="auto"/>
              <w:left w:val="single" w:sz="4" w:space="0" w:color="auto"/>
              <w:bottom w:val="single" w:sz="4" w:space="0" w:color="auto"/>
              <w:right w:val="single" w:sz="4" w:space="0" w:color="auto"/>
            </w:tcBorders>
            <w:shd w:val="clear" w:color="auto" w:fill="0C0C0C"/>
            <w:vAlign w:val="center"/>
          </w:tcPr>
          <w:p w14:paraId="0248C8BE" w14:textId="77777777" w:rsidR="006C0C1F" w:rsidRPr="0041262C" w:rsidRDefault="006C0C1F" w:rsidP="006C0C1F">
            <w:pPr>
              <w:pStyle w:val="E3TableHeading"/>
              <w:spacing w:line="256" w:lineRule="auto"/>
              <w:rPr>
                <w:sz w:val="14"/>
              </w:rPr>
            </w:pPr>
            <w:r w:rsidRPr="0041262C">
              <w:rPr>
                <w:sz w:val="14"/>
              </w:rPr>
              <w:t>Temperature</w:t>
            </w:r>
          </w:p>
        </w:tc>
        <w:tc>
          <w:tcPr>
            <w:tcW w:w="1134" w:type="dxa"/>
            <w:gridSpan w:val="3"/>
            <w:tcBorders>
              <w:top w:val="single" w:sz="4" w:space="0" w:color="auto"/>
              <w:left w:val="single" w:sz="4" w:space="0" w:color="auto"/>
              <w:bottom w:val="single" w:sz="4" w:space="0" w:color="auto"/>
              <w:right w:val="single" w:sz="4" w:space="0" w:color="auto"/>
            </w:tcBorders>
            <w:shd w:val="clear" w:color="auto" w:fill="0C0C0C"/>
            <w:vAlign w:val="center"/>
          </w:tcPr>
          <w:p w14:paraId="3D49C464" w14:textId="77777777" w:rsidR="006C0C1F" w:rsidRPr="0041262C" w:rsidRDefault="006C0C1F" w:rsidP="006C0C1F">
            <w:pPr>
              <w:pStyle w:val="E3TableHeading"/>
              <w:spacing w:line="256" w:lineRule="auto"/>
              <w:rPr>
                <w:sz w:val="14"/>
              </w:rPr>
            </w:pPr>
            <w:r w:rsidRPr="0041262C">
              <w:rPr>
                <w:sz w:val="14"/>
              </w:rPr>
              <w:t>Configuration</w:t>
            </w:r>
          </w:p>
        </w:tc>
        <w:tc>
          <w:tcPr>
            <w:tcW w:w="992"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14:paraId="51FFFFFA" w14:textId="77777777" w:rsidR="006C0C1F" w:rsidRPr="0041262C" w:rsidRDefault="006C0C1F" w:rsidP="006C0C1F">
            <w:pPr>
              <w:pStyle w:val="E3TableHeading"/>
              <w:spacing w:line="256" w:lineRule="auto"/>
              <w:rPr>
                <w:sz w:val="14"/>
              </w:rPr>
            </w:pPr>
            <w:r w:rsidRPr="0041262C">
              <w:rPr>
                <w:sz w:val="14"/>
              </w:rPr>
              <w:t>AS 1731.14 Types</w:t>
            </w:r>
          </w:p>
        </w:tc>
        <w:tc>
          <w:tcPr>
            <w:tcW w:w="992" w:type="dxa"/>
            <w:tcBorders>
              <w:top w:val="single" w:sz="4" w:space="0" w:color="auto"/>
              <w:left w:val="single" w:sz="4" w:space="0" w:color="auto"/>
              <w:bottom w:val="single" w:sz="4" w:space="0" w:color="auto"/>
              <w:right w:val="single" w:sz="4" w:space="0" w:color="auto"/>
            </w:tcBorders>
            <w:shd w:val="clear" w:color="auto" w:fill="0C0C0C"/>
            <w:vAlign w:val="center"/>
          </w:tcPr>
          <w:p w14:paraId="650C0DE2" w14:textId="77777777" w:rsidR="006C0C1F" w:rsidRPr="0041262C" w:rsidRDefault="006C0C1F" w:rsidP="006C0C1F">
            <w:pPr>
              <w:pStyle w:val="E3TableHeading"/>
              <w:spacing w:line="256" w:lineRule="auto"/>
              <w:rPr>
                <w:sz w:val="14"/>
              </w:rPr>
            </w:pPr>
            <w:r w:rsidRPr="0041262C">
              <w:rPr>
                <w:sz w:val="14"/>
              </w:rPr>
              <w:t>ISO 23953 Types</w:t>
            </w:r>
          </w:p>
        </w:tc>
        <w:tc>
          <w:tcPr>
            <w:tcW w:w="992" w:type="dxa"/>
            <w:gridSpan w:val="2"/>
            <w:tcBorders>
              <w:top w:val="single" w:sz="4" w:space="0" w:color="auto"/>
              <w:left w:val="single" w:sz="4" w:space="0" w:color="auto"/>
              <w:bottom w:val="single" w:sz="4" w:space="0" w:color="auto"/>
              <w:right w:val="single" w:sz="4" w:space="0" w:color="auto"/>
            </w:tcBorders>
            <w:shd w:val="clear" w:color="auto" w:fill="0C0C0C"/>
            <w:hideMark/>
          </w:tcPr>
          <w:p w14:paraId="1A7D7ECE" w14:textId="77777777" w:rsidR="006C0C1F" w:rsidRPr="0041262C" w:rsidRDefault="006C0C1F" w:rsidP="006C0C1F">
            <w:pPr>
              <w:pStyle w:val="E3TableHeading"/>
              <w:spacing w:line="256" w:lineRule="auto"/>
              <w:rPr>
                <w:sz w:val="14"/>
              </w:rPr>
            </w:pPr>
            <w:r w:rsidRPr="0041262C">
              <w:rPr>
                <w:sz w:val="14"/>
              </w:rPr>
              <w:t>Models affected</w:t>
            </w:r>
          </w:p>
        </w:tc>
        <w:tc>
          <w:tcPr>
            <w:tcW w:w="1003" w:type="dxa"/>
            <w:gridSpan w:val="2"/>
            <w:tcBorders>
              <w:top w:val="single" w:sz="4" w:space="0" w:color="auto"/>
              <w:left w:val="single" w:sz="4" w:space="0" w:color="auto"/>
              <w:bottom w:val="single" w:sz="4" w:space="0" w:color="auto"/>
              <w:right w:val="single" w:sz="4" w:space="0" w:color="auto"/>
            </w:tcBorders>
            <w:shd w:val="clear" w:color="auto" w:fill="0C0C0C"/>
            <w:hideMark/>
          </w:tcPr>
          <w:p w14:paraId="5B76674C" w14:textId="77777777" w:rsidR="006C0C1F" w:rsidRPr="0041262C" w:rsidRDefault="006C0C1F" w:rsidP="006C0C1F">
            <w:pPr>
              <w:pStyle w:val="E3TableHeading"/>
              <w:spacing w:line="256" w:lineRule="auto"/>
              <w:rPr>
                <w:sz w:val="14"/>
              </w:rPr>
            </w:pPr>
            <w:r w:rsidRPr="0041262C">
              <w:rPr>
                <w:sz w:val="14"/>
              </w:rPr>
              <w:t>Sales</w:t>
            </w:r>
          </w:p>
          <w:p w14:paraId="6865ACDE" w14:textId="77777777" w:rsidR="006C0C1F" w:rsidRPr="0041262C" w:rsidRDefault="006C0C1F" w:rsidP="006C0C1F">
            <w:pPr>
              <w:pStyle w:val="E3TableHeading"/>
              <w:spacing w:line="256" w:lineRule="auto"/>
              <w:rPr>
                <w:sz w:val="14"/>
              </w:rPr>
            </w:pPr>
            <w:r w:rsidRPr="0041262C">
              <w:rPr>
                <w:sz w:val="14"/>
              </w:rPr>
              <w:t>affected</w:t>
            </w:r>
          </w:p>
        </w:tc>
      </w:tr>
      <w:tr w:rsidR="006C0C1F" w14:paraId="36A09D4B"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hideMark/>
          </w:tcPr>
          <w:p w14:paraId="320A1DB8"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1</w:t>
            </w:r>
          </w:p>
        </w:tc>
        <w:tc>
          <w:tcPr>
            <w:tcW w:w="1711" w:type="dxa"/>
            <w:tcBorders>
              <w:top w:val="single" w:sz="4" w:space="0" w:color="auto"/>
              <w:left w:val="single" w:sz="4" w:space="0" w:color="auto"/>
              <w:bottom w:val="single" w:sz="4" w:space="0" w:color="auto"/>
              <w:right w:val="single" w:sz="4" w:space="0" w:color="auto"/>
            </w:tcBorders>
            <w:vAlign w:val="center"/>
            <w:hideMark/>
          </w:tcPr>
          <w:p w14:paraId="4922D9CF"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IRH</w:t>
            </w:r>
          </w:p>
          <w:p w14:paraId="590ABC5B"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Integral Refrigerated Horizontal Cabinets</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BE8C6F4"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 xml:space="preserve">Integral Refrigerated Display Cabinets </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C253496"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Refrigerator</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5F564E"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767EB2E4"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HC1, HC2, HC3, HC4, HC5, HC6</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75A1DCBF"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IHC1, IHC2, IHC3, IHC4, IHC5, IHC6, IHC7, IHC8</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D9E7868"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7E12B6"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21%</w:t>
            </w:r>
          </w:p>
        </w:tc>
      </w:tr>
      <w:tr w:rsidR="006C0C1F" w14:paraId="42C65425"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4ABF2388"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2</w:t>
            </w:r>
          </w:p>
        </w:tc>
        <w:tc>
          <w:tcPr>
            <w:tcW w:w="1711" w:type="dxa"/>
            <w:tcBorders>
              <w:top w:val="single" w:sz="4" w:space="0" w:color="auto"/>
              <w:left w:val="single" w:sz="4" w:space="0" w:color="auto"/>
              <w:bottom w:val="single" w:sz="4" w:space="0" w:color="auto"/>
              <w:right w:val="single" w:sz="4" w:space="0" w:color="auto"/>
            </w:tcBorders>
            <w:vAlign w:val="center"/>
            <w:hideMark/>
          </w:tcPr>
          <w:p w14:paraId="21C2F7B8"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IRV</w:t>
            </w:r>
          </w:p>
          <w:p w14:paraId="4FA6031E"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Integral Refrigerated Vertical Cabinets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ED2755C"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5AED0DA2"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330D711"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13B79181"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IVC1, IVC2, IVC3</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0455ABAD"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IVC1, IVC2, IVC3, IYC1, IYC2, IYC3</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5A7CCF5"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6ECD49"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17%</w:t>
            </w:r>
          </w:p>
        </w:tc>
      </w:tr>
      <w:tr w:rsidR="006C0C1F" w14:paraId="285D66A1"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4D96D533"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3</w:t>
            </w:r>
          </w:p>
        </w:tc>
        <w:tc>
          <w:tcPr>
            <w:tcW w:w="1711" w:type="dxa"/>
            <w:tcBorders>
              <w:top w:val="single" w:sz="4" w:space="0" w:color="auto"/>
              <w:left w:val="single" w:sz="4" w:space="0" w:color="auto"/>
              <w:bottom w:val="single" w:sz="4" w:space="0" w:color="auto"/>
              <w:right w:val="single" w:sz="4" w:space="0" w:color="auto"/>
            </w:tcBorders>
            <w:vAlign w:val="center"/>
            <w:hideMark/>
          </w:tcPr>
          <w:p w14:paraId="2E7DE37D"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IRV-4</w:t>
            </w:r>
          </w:p>
          <w:p w14:paraId="2E8D03B5"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Integral Refrigerated Vertical Cabinets with Glass Door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2D413AA"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4D034396"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144C1D0"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15CC06C2"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IVC4 Glass door</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4F2BEACF"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IVC4, IYC4</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2DBF917"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2BEFC4CB"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17%</w:t>
            </w:r>
          </w:p>
        </w:tc>
      </w:tr>
      <w:tr w:rsidR="006C0C1F" w14:paraId="74BD8AC2"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223701E3"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4</w:t>
            </w:r>
          </w:p>
        </w:tc>
        <w:tc>
          <w:tcPr>
            <w:tcW w:w="1711" w:type="dxa"/>
            <w:tcBorders>
              <w:top w:val="single" w:sz="4" w:space="0" w:color="auto"/>
              <w:left w:val="single" w:sz="4" w:space="0" w:color="auto"/>
              <w:bottom w:val="single" w:sz="4" w:space="0" w:color="auto"/>
              <w:right w:val="single" w:sz="4" w:space="0" w:color="auto"/>
            </w:tcBorders>
            <w:vAlign w:val="center"/>
            <w:hideMark/>
          </w:tcPr>
          <w:p w14:paraId="33501B50"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IFH</w:t>
            </w:r>
          </w:p>
          <w:p w14:paraId="2334883B"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Integral Freezer Horizontal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15B13CE"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E138D8C"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Freezer</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1F29E0D2"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4A28B2B"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IHF1, IHF3, IHF4</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0AC1B0EA"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IHF1, IHF3, IHF4</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43ACAEA4"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52B494CE"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75%</w:t>
            </w:r>
          </w:p>
        </w:tc>
      </w:tr>
      <w:tr w:rsidR="006C0C1F" w14:paraId="2B20F01C"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26813235"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5</w:t>
            </w:r>
          </w:p>
        </w:tc>
        <w:tc>
          <w:tcPr>
            <w:tcW w:w="1711" w:type="dxa"/>
            <w:tcBorders>
              <w:top w:val="single" w:sz="4" w:space="0" w:color="auto"/>
              <w:left w:val="single" w:sz="4" w:space="0" w:color="auto"/>
              <w:bottom w:val="single" w:sz="4" w:space="0" w:color="auto"/>
              <w:right w:val="single" w:sz="4" w:space="0" w:color="auto"/>
            </w:tcBorders>
            <w:vAlign w:val="center"/>
            <w:hideMark/>
          </w:tcPr>
          <w:p w14:paraId="456FED4D"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IFH-5</w:t>
            </w:r>
          </w:p>
          <w:p w14:paraId="71EF78D6"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Integral Freezer Horizontal with Lid</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AFBB018"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749F300E"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A0370CA"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110AB7D9"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IHF5, IHF6</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633BB7BA"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IHF5, IHF6</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50447BF"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10411074"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55%</w:t>
            </w:r>
          </w:p>
        </w:tc>
      </w:tr>
      <w:tr w:rsidR="006C0C1F" w14:paraId="02F4559C"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29A81DF7"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6</w:t>
            </w:r>
          </w:p>
        </w:tc>
        <w:tc>
          <w:tcPr>
            <w:tcW w:w="1711" w:type="dxa"/>
            <w:tcBorders>
              <w:top w:val="single" w:sz="4" w:space="0" w:color="auto"/>
              <w:left w:val="single" w:sz="4" w:space="0" w:color="auto"/>
              <w:bottom w:val="single" w:sz="4" w:space="0" w:color="auto"/>
              <w:right w:val="single" w:sz="4" w:space="0" w:color="auto"/>
            </w:tcBorders>
            <w:vAlign w:val="center"/>
            <w:hideMark/>
          </w:tcPr>
          <w:p w14:paraId="3192649F"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IFV</w:t>
            </w:r>
          </w:p>
          <w:p w14:paraId="582B0412"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Integral Freezer Vertical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5481E5A"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3AC1272E"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F08EA4D"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3411569A"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IVF1, IVF2, IVF4 Glass door</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1834287E"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IVF1, IVF2, IVF4, IYF1, IYF2, IYF3, IYF4</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24021562"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7EFB1F7F"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32%</w:t>
            </w:r>
          </w:p>
        </w:tc>
      </w:tr>
      <w:tr w:rsidR="006C0C1F" w14:paraId="2390A70C"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7284E88F"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7</w:t>
            </w:r>
          </w:p>
        </w:tc>
        <w:tc>
          <w:tcPr>
            <w:tcW w:w="1711" w:type="dxa"/>
            <w:tcBorders>
              <w:top w:val="single" w:sz="4" w:space="0" w:color="auto"/>
              <w:left w:val="single" w:sz="4" w:space="0" w:color="auto"/>
              <w:bottom w:val="single" w:sz="4" w:space="0" w:color="auto"/>
              <w:right w:val="single" w:sz="4" w:space="0" w:color="auto"/>
            </w:tcBorders>
            <w:vAlign w:val="center"/>
            <w:hideMark/>
          </w:tcPr>
          <w:p w14:paraId="6FDA9A34"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RRH</w:t>
            </w:r>
          </w:p>
          <w:p w14:paraId="305AAF28"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Remote Refrigerated Horizontal Cabinets</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1FE6B86"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 xml:space="preserve">Remote Refrigerated Display Cabinets </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86FACED"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Refrigerator</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49D13F"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3DED2CDD"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RS6, RS7, RS8, RS9</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4EDEDEFE"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RHC1, RHC2, RHC3, RHC4, RHC5, RHC6, RHC7</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71DA5C4"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276D34D5"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0%</w:t>
            </w:r>
          </w:p>
        </w:tc>
      </w:tr>
      <w:tr w:rsidR="006C0C1F" w14:paraId="25C24E07"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7F653EC3"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lastRenderedPageBreak/>
              <w:t>8</w:t>
            </w:r>
          </w:p>
        </w:tc>
        <w:tc>
          <w:tcPr>
            <w:tcW w:w="1711" w:type="dxa"/>
            <w:tcBorders>
              <w:top w:val="single" w:sz="4" w:space="0" w:color="auto"/>
              <w:left w:val="single" w:sz="4" w:space="0" w:color="auto"/>
              <w:bottom w:val="single" w:sz="4" w:space="0" w:color="auto"/>
              <w:right w:val="single" w:sz="4" w:space="0" w:color="auto"/>
            </w:tcBorders>
            <w:vAlign w:val="center"/>
            <w:hideMark/>
          </w:tcPr>
          <w:p w14:paraId="6A25C303"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 xml:space="preserve">RRV </w:t>
            </w:r>
          </w:p>
          <w:p w14:paraId="45B733D0"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Remote Refrigerated Vertical Cabinets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04B97B8"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0F082991"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72F4A3C"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7C3FC03A"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RS1, RS3, RS4, RS5, RS10</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34BE6882"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RVC1, RVC3, RVC4, RYC1, RYC2, RYC3, RYC4</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7BC0B63"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540D855E"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66%</w:t>
            </w:r>
          </w:p>
        </w:tc>
      </w:tr>
      <w:tr w:rsidR="006C0C1F" w14:paraId="12CC8C0D"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2A382515"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9</w:t>
            </w:r>
          </w:p>
        </w:tc>
        <w:tc>
          <w:tcPr>
            <w:tcW w:w="1711" w:type="dxa"/>
            <w:tcBorders>
              <w:top w:val="single" w:sz="4" w:space="0" w:color="auto"/>
              <w:left w:val="single" w:sz="4" w:space="0" w:color="auto"/>
              <w:bottom w:val="single" w:sz="4" w:space="0" w:color="auto"/>
              <w:right w:val="single" w:sz="4" w:space="0" w:color="auto"/>
            </w:tcBorders>
            <w:vAlign w:val="center"/>
            <w:hideMark/>
          </w:tcPr>
          <w:p w14:paraId="46F3557E"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RRV-2</w:t>
            </w:r>
          </w:p>
          <w:p w14:paraId="0023ABD4"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Remote Refrigerated Vertical Cabinet, open, medium  temp</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3838A73"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186364F4"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8249A37"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6F3D04F2"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RS2</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12F3B75F"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RVC2</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2ACE69F1"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4BC2FF64"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27%</w:t>
            </w:r>
          </w:p>
        </w:tc>
      </w:tr>
      <w:tr w:rsidR="006C0C1F" w14:paraId="6F15BAE2"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4C2597B4"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10</w:t>
            </w:r>
          </w:p>
        </w:tc>
        <w:tc>
          <w:tcPr>
            <w:tcW w:w="1711" w:type="dxa"/>
            <w:tcBorders>
              <w:top w:val="single" w:sz="4" w:space="0" w:color="auto"/>
              <w:left w:val="single" w:sz="4" w:space="0" w:color="auto"/>
              <w:bottom w:val="single" w:sz="4" w:space="0" w:color="auto"/>
              <w:right w:val="single" w:sz="4" w:space="0" w:color="auto"/>
            </w:tcBorders>
            <w:vAlign w:val="center"/>
            <w:hideMark/>
          </w:tcPr>
          <w:p w14:paraId="5939AB15"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RFH</w:t>
            </w:r>
          </w:p>
          <w:p w14:paraId="1465248A"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Remote Freezer Horizontal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73788CB"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887923C"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Freezer</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01F45F"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5A089BA1"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RS13, RS14,</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17475565"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RHF1, RHF3, RHF4, RHF5, RHF6, RHF7</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26A3B85E"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71E4BC39"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11%</w:t>
            </w:r>
          </w:p>
        </w:tc>
      </w:tr>
      <w:tr w:rsidR="006C0C1F" w14:paraId="328676DA"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2FAF6AC3"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11</w:t>
            </w:r>
          </w:p>
        </w:tc>
        <w:tc>
          <w:tcPr>
            <w:tcW w:w="1711" w:type="dxa"/>
            <w:tcBorders>
              <w:top w:val="single" w:sz="4" w:space="0" w:color="auto"/>
              <w:left w:val="single" w:sz="4" w:space="0" w:color="auto"/>
              <w:bottom w:val="single" w:sz="4" w:space="0" w:color="auto"/>
              <w:right w:val="single" w:sz="4" w:space="0" w:color="auto"/>
            </w:tcBorders>
            <w:vAlign w:val="center"/>
            <w:hideMark/>
          </w:tcPr>
          <w:p w14:paraId="779F7BA6"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RFV</w:t>
            </w:r>
          </w:p>
          <w:p w14:paraId="3C579414"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Remote Freezer Vertical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6D89803"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3E4C6F46"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555B583"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14211758"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RS11, RS12, RS15, RS16, RS17, RS18, RS19, RS20</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548939A6"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RVF1, RVF2, RVF4, RYF1, RYF2, RYF3, RYF4</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2F75755D"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48244561"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3%</w:t>
            </w:r>
          </w:p>
        </w:tc>
      </w:tr>
      <w:tr w:rsidR="006C0C1F" w14:paraId="211722E3"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6B8A5026"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12</w:t>
            </w:r>
          </w:p>
        </w:tc>
        <w:tc>
          <w:tcPr>
            <w:tcW w:w="1711" w:type="dxa"/>
            <w:tcBorders>
              <w:top w:val="single" w:sz="4" w:space="0" w:color="auto"/>
              <w:left w:val="single" w:sz="4" w:space="0" w:color="auto"/>
              <w:bottom w:val="single" w:sz="4" w:space="0" w:color="auto"/>
              <w:right w:val="single" w:sz="4" w:space="0" w:color="auto"/>
            </w:tcBorders>
            <w:vAlign w:val="center"/>
            <w:hideMark/>
          </w:tcPr>
          <w:p w14:paraId="3431C288"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SRH</w:t>
            </w:r>
          </w:p>
          <w:p w14:paraId="7400B7A4"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Service Cabinet, refrigerated Horizontal with solid door</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A91FF6B"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 xml:space="preserve">Integral Refrigerated Storage cabinet  </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E009AFE"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Refrigerator</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46C40F"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Counter (Horizontal)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7DDC5FB8"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No equivalent registered</w:t>
            </w:r>
          </w:p>
        </w:tc>
        <w:tc>
          <w:tcPr>
            <w:tcW w:w="113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0A5101BE"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Storage cabinet types are defined into four categories (but not classified by the technical standards yet)</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0BC9F14"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3F2F9FED"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NA</w:t>
            </w:r>
          </w:p>
        </w:tc>
      </w:tr>
      <w:tr w:rsidR="006C0C1F" w14:paraId="0296284B"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0FA22580"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13</w:t>
            </w:r>
          </w:p>
        </w:tc>
        <w:tc>
          <w:tcPr>
            <w:tcW w:w="1711" w:type="dxa"/>
            <w:tcBorders>
              <w:top w:val="single" w:sz="4" w:space="0" w:color="auto"/>
              <w:left w:val="single" w:sz="4" w:space="0" w:color="auto"/>
              <w:bottom w:val="single" w:sz="4" w:space="0" w:color="auto"/>
              <w:right w:val="single" w:sz="4" w:space="0" w:color="auto"/>
            </w:tcBorders>
            <w:vAlign w:val="center"/>
            <w:hideMark/>
          </w:tcPr>
          <w:p w14:paraId="5A855A78"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SRV</w:t>
            </w:r>
          </w:p>
          <w:p w14:paraId="48EC858F"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Service Cabinet, Refrigerated, Vertical with solid door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4CCA23B"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29787EC3"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EA3C3B4"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3B978118"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 xml:space="preserve">IVC4 Solid door </w:t>
            </w:r>
            <w:r w:rsidRPr="0041262C">
              <w:rPr>
                <w:rFonts w:ascii="Helvetica" w:hAnsi="Helvetica" w:cs="Helvetica"/>
              </w:rPr>
              <w:br/>
              <w:t xml:space="preserve">M1 &amp; M2 </w:t>
            </w:r>
            <w:r w:rsidRPr="0041262C">
              <w:rPr>
                <w:rFonts w:ascii="Helvetica" w:hAnsi="Helvetica" w:cs="Helvetica"/>
              </w:rPr>
              <w:br/>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14:paraId="3E40521B"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449AAE39"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7D1AA76E"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NA</w:t>
            </w:r>
          </w:p>
        </w:tc>
      </w:tr>
      <w:tr w:rsidR="006C0C1F" w14:paraId="47FBD1A2"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5946623"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14</w:t>
            </w:r>
          </w:p>
        </w:tc>
        <w:tc>
          <w:tcPr>
            <w:tcW w:w="1711" w:type="dxa"/>
            <w:tcBorders>
              <w:top w:val="single" w:sz="4" w:space="0" w:color="auto"/>
              <w:left w:val="single" w:sz="4" w:space="0" w:color="auto"/>
              <w:bottom w:val="single" w:sz="4" w:space="0" w:color="auto"/>
              <w:right w:val="single" w:sz="4" w:space="0" w:color="auto"/>
            </w:tcBorders>
            <w:vAlign w:val="center"/>
            <w:hideMark/>
          </w:tcPr>
          <w:p w14:paraId="391F42F4"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SFH</w:t>
            </w:r>
          </w:p>
          <w:p w14:paraId="7F586D3E"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Service Cabinet, Freezer, Horizontal with solid door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E63E539"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95DA5BB"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Freezer</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ABD1AB"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Counter (Horizontal)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72978C0C"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No equivalent registered</w:t>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14:paraId="3AE49D2C"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F6E81B7"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7D73366C"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NA</w:t>
            </w:r>
          </w:p>
        </w:tc>
      </w:tr>
      <w:tr w:rsidR="006C0C1F" w14:paraId="4D1F4783"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22A60C32"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15</w:t>
            </w:r>
          </w:p>
        </w:tc>
        <w:tc>
          <w:tcPr>
            <w:tcW w:w="1711" w:type="dxa"/>
            <w:tcBorders>
              <w:top w:val="single" w:sz="4" w:space="0" w:color="auto"/>
              <w:left w:val="single" w:sz="4" w:space="0" w:color="auto"/>
              <w:bottom w:val="single" w:sz="4" w:space="0" w:color="auto"/>
              <w:right w:val="single" w:sz="4" w:space="0" w:color="auto"/>
            </w:tcBorders>
            <w:vAlign w:val="center"/>
            <w:hideMark/>
          </w:tcPr>
          <w:p w14:paraId="572E938F"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SFV</w:t>
            </w:r>
          </w:p>
          <w:p w14:paraId="30DFB409"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Service Cabinet Freezer, Vertical with solid door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10A8401"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5B76DFD2"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A7563BC"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04802B72"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 xml:space="preserve">IVF4 Solid doors </w:t>
            </w:r>
            <w:r w:rsidRPr="0041262C">
              <w:rPr>
                <w:rFonts w:ascii="Helvetica" w:hAnsi="Helvetica" w:cs="Helvetica"/>
              </w:rPr>
              <w:br/>
              <w:t>L1 &amp; L2</w:t>
            </w:r>
            <w:r w:rsidRPr="0041262C">
              <w:rPr>
                <w:rFonts w:ascii="Helvetica" w:hAnsi="Helvetica" w:cs="Helvetica"/>
              </w:rPr>
              <w:br/>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14:paraId="440F698A" w14:textId="77777777" w:rsidR="006C0C1F" w:rsidRPr="0041262C" w:rsidRDefault="006C0C1F" w:rsidP="006C0C1F">
            <w:pPr>
              <w:spacing w:after="0" w:line="256" w:lineRule="auto"/>
              <w:rPr>
                <w:rFonts w:ascii="Helvetica" w:eastAsia="Times New Roman" w:hAnsi="Helvetica" w:cs="Helvetica"/>
                <w:sz w:val="14"/>
                <w:szCs w:val="14"/>
                <w:lang w:eastAsia="en-AU"/>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E50A4A8"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16C98C7D"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NA</w:t>
            </w:r>
          </w:p>
        </w:tc>
      </w:tr>
      <w:tr w:rsidR="006C0C1F" w14:paraId="199BEB6B" w14:textId="77777777" w:rsidTr="006C0C1F">
        <w:trPr>
          <w:jc w:val="center"/>
        </w:trPr>
        <w:tc>
          <w:tcPr>
            <w:tcW w:w="7508" w:type="dxa"/>
            <w:gridSpan w:val="10"/>
            <w:tcBorders>
              <w:top w:val="single" w:sz="4" w:space="0" w:color="auto"/>
              <w:left w:val="single" w:sz="4" w:space="0" w:color="auto"/>
              <w:bottom w:val="single" w:sz="4" w:space="0" w:color="auto"/>
              <w:right w:val="single" w:sz="4" w:space="0" w:color="auto"/>
            </w:tcBorders>
            <w:vAlign w:val="center"/>
            <w:hideMark/>
          </w:tcPr>
          <w:p w14:paraId="44075DF5"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Overall effect (Groups 1 to 11)</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69AC5306" w14:textId="77777777" w:rsidR="006C0C1F" w:rsidRPr="0041262C" w:rsidRDefault="006C0C1F" w:rsidP="006C0C1F">
            <w:pPr>
              <w:pStyle w:val="E3tabletext1"/>
              <w:spacing w:line="256" w:lineRule="auto"/>
              <w:rPr>
                <w:rFonts w:ascii="Helvetica" w:hAnsi="Helvetica" w:cs="Helvetica"/>
              </w:rPr>
            </w:pPr>
            <w:r w:rsidRPr="0041262C">
              <w:rPr>
                <w:rFonts w:ascii="Helvetica" w:hAnsi="Helvetica" w:cs="Helvetica"/>
              </w:rPr>
              <w:t>30%</w:t>
            </w:r>
          </w:p>
        </w:tc>
        <w:tc>
          <w:tcPr>
            <w:tcW w:w="1003" w:type="dxa"/>
            <w:gridSpan w:val="2"/>
            <w:tcBorders>
              <w:top w:val="single" w:sz="4" w:space="0" w:color="auto"/>
              <w:left w:val="single" w:sz="4" w:space="0" w:color="auto"/>
              <w:bottom w:val="single" w:sz="4" w:space="0" w:color="auto"/>
              <w:right w:val="single" w:sz="4" w:space="0" w:color="auto"/>
            </w:tcBorders>
            <w:vAlign w:val="center"/>
            <w:hideMark/>
          </w:tcPr>
          <w:p w14:paraId="12F9F0EA" w14:textId="77777777" w:rsidR="006C0C1F" w:rsidRPr="0041262C" w:rsidRDefault="006C0C1F" w:rsidP="006C0C1F">
            <w:pPr>
              <w:pStyle w:val="E3tabletext1"/>
              <w:spacing w:line="256" w:lineRule="auto"/>
              <w:rPr>
                <w:rFonts w:ascii="Helvetica" w:hAnsi="Helvetica" w:cs="Helvetica"/>
              </w:rPr>
            </w:pPr>
            <w:r>
              <w:rPr>
                <w:rFonts w:ascii="Helvetica" w:hAnsi="Helvetica" w:cs="Helvetica"/>
              </w:rPr>
              <w:t>13.4%</w:t>
            </w:r>
          </w:p>
        </w:tc>
      </w:tr>
    </w:tbl>
    <w:p w14:paraId="0DA33A5F" w14:textId="77777777" w:rsidR="00CF127B" w:rsidRDefault="00CF127B" w:rsidP="0010036B">
      <w:pPr>
        <w:pStyle w:val="E3Heading4"/>
      </w:pPr>
    </w:p>
    <w:p w14:paraId="2E868883" w14:textId="77777777" w:rsidR="00243B70" w:rsidRDefault="00243B70" w:rsidP="0010036B">
      <w:pPr>
        <w:pStyle w:val="E3Heading4"/>
      </w:pPr>
    </w:p>
    <w:p w14:paraId="49ADF009" w14:textId="77777777" w:rsidR="00243B70" w:rsidRDefault="00243B70" w:rsidP="0010036B">
      <w:pPr>
        <w:pStyle w:val="E3Heading4"/>
      </w:pPr>
    </w:p>
    <w:p w14:paraId="7AF75CE0" w14:textId="77777777" w:rsidR="004E162B" w:rsidRDefault="004E162B">
      <w:pPr>
        <w:spacing w:after="0" w:line="240" w:lineRule="auto"/>
        <w:rPr>
          <w:rFonts w:eastAsia="Calibri" w:cs="Georgia"/>
          <w:b/>
          <w:bCs/>
          <w:color w:val="000000"/>
          <w:sz w:val="24"/>
          <w:szCs w:val="19"/>
          <w:lang w:val="en-US"/>
        </w:rPr>
      </w:pPr>
      <w:r>
        <w:br w:type="page"/>
      </w:r>
    </w:p>
    <w:p w14:paraId="4A030176" w14:textId="4FC2B06E" w:rsidR="006C0C1F" w:rsidRPr="00F056E3" w:rsidRDefault="006C0C1F" w:rsidP="0010036B">
      <w:pPr>
        <w:pStyle w:val="E3Heading4"/>
      </w:pPr>
      <w:r w:rsidRPr="00F056E3">
        <w:lastRenderedPageBreak/>
        <w:t xml:space="preserve">Costs and Benefits </w:t>
      </w:r>
    </w:p>
    <w:p w14:paraId="705BF97C" w14:textId="77777777" w:rsidR="006C0C1F" w:rsidRDefault="006C0C1F" w:rsidP="0010036B">
      <w:pPr>
        <w:pStyle w:val="E3Bullets"/>
        <w:numPr>
          <w:ilvl w:val="0"/>
          <w:numId w:val="0"/>
        </w:numPr>
        <w:spacing w:before="120" w:line="276" w:lineRule="auto"/>
        <w:jc w:val="both"/>
      </w:pPr>
      <w:r w:rsidRPr="00F0477C">
        <w:rPr>
          <w:b/>
        </w:rPr>
        <w:t xml:space="preserve">Figure </w:t>
      </w:r>
      <w:r>
        <w:rPr>
          <w:b/>
        </w:rPr>
        <w:t>15</w:t>
      </w:r>
      <w:r w:rsidRPr="00F0477C">
        <w:rPr>
          <w:b/>
        </w:rPr>
        <w:t xml:space="preserve"> </w:t>
      </w:r>
      <w:r>
        <w:t>shows the reduction in energy consumption over time due to Option3, there is also a corresponding greenhouse gas emissions when compared with BAU, but these are not significant when compared with other scenarios (see Options 4 below).</w:t>
      </w:r>
    </w:p>
    <w:p w14:paraId="137F0049" w14:textId="56908852" w:rsidR="006C0C1F" w:rsidRPr="00A929F6" w:rsidRDefault="006C0C1F" w:rsidP="00A929F6">
      <w:pPr>
        <w:pStyle w:val="E3Figuretitles"/>
      </w:pPr>
      <w:r w:rsidRPr="00A929F6">
        <w:t>Figure 15: Annual energy consumption from Option 3.</w:t>
      </w:r>
    </w:p>
    <w:p w14:paraId="0A3ABC47" w14:textId="77777777" w:rsidR="006C0C1F" w:rsidRPr="00F056E3" w:rsidRDefault="006C0C1F" w:rsidP="006C0C1F">
      <w:pPr>
        <w:pStyle w:val="E3BodyText"/>
      </w:pPr>
      <w:r>
        <w:rPr>
          <w:noProof/>
          <w:lang w:val="en-AU" w:eastAsia="en-AU"/>
        </w:rPr>
        <w:drawing>
          <wp:inline distT="0" distB="0" distL="0" distR="0" wp14:anchorId="5FAB4061" wp14:editId="706D5EF8">
            <wp:extent cx="6105525" cy="4143375"/>
            <wp:effectExtent l="0" t="0" r="9525" b="9525"/>
            <wp:docPr id="24" name="Picture 24" descr="Option 3 is the same as option 2 but under this scenarion 30% of models in the market would be affected by a more stringent MEPS level." title="Forecast annual energy consumption from o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05525" cy="4143375"/>
                    </a:xfrm>
                    <a:prstGeom prst="rect">
                      <a:avLst/>
                    </a:prstGeom>
                    <a:noFill/>
                    <a:ln>
                      <a:noFill/>
                    </a:ln>
                  </pic:spPr>
                </pic:pic>
              </a:graphicData>
            </a:graphic>
          </wp:inline>
        </w:drawing>
      </w:r>
    </w:p>
    <w:p w14:paraId="105197AB" w14:textId="322D1A4E" w:rsidR="006C0C1F" w:rsidRPr="002759B7" w:rsidRDefault="006C0C1F" w:rsidP="0010036B">
      <w:pPr>
        <w:pStyle w:val="E3Bullets"/>
        <w:numPr>
          <w:ilvl w:val="0"/>
          <w:numId w:val="0"/>
        </w:numPr>
        <w:spacing w:before="120" w:line="276" w:lineRule="auto"/>
        <w:jc w:val="both"/>
        <w:rPr>
          <w:b/>
        </w:rPr>
      </w:pPr>
      <w:r w:rsidRPr="00FF4799">
        <w:rPr>
          <w:b/>
        </w:rPr>
        <w:t xml:space="preserve">Table </w:t>
      </w:r>
      <w:r>
        <w:rPr>
          <w:b/>
        </w:rPr>
        <w:t>14</w:t>
      </w:r>
      <w:r>
        <w:t xml:space="preserve"> shows the modelled impacts of Option 3 and indicates the net benefits to Australia of $AU798 million and to New Zealand of NZ$51 million and the benefit to cost ratios </w:t>
      </w:r>
      <w:r w:rsidR="004E162B">
        <w:t>are 8:1 and 4.5:1 respectively.</w:t>
      </w:r>
    </w:p>
    <w:p w14:paraId="25342947" w14:textId="77777777" w:rsidR="006C0C1F" w:rsidRPr="0041262C" w:rsidRDefault="0010036B" w:rsidP="004E162B">
      <w:pPr>
        <w:pStyle w:val="E3TableTitles"/>
        <w:spacing w:before="120"/>
      </w:pPr>
      <w:bookmarkStart w:id="234" w:name="_Toc500159665"/>
      <w:r>
        <w:t>T</w:t>
      </w:r>
      <w:r w:rsidR="006C0C1F" w:rsidRPr="0041262C">
        <w:t>able 14 Evaluation of impacts – Option 3.</w:t>
      </w:r>
      <w:bookmarkEnd w:id="234"/>
    </w:p>
    <w:tbl>
      <w:tblPr>
        <w:tblStyle w:val="TableGrid"/>
        <w:tblW w:w="0" w:type="auto"/>
        <w:tblLook w:val="04A0" w:firstRow="1" w:lastRow="0" w:firstColumn="1" w:lastColumn="0" w:noHBand="0" w:noVBand="1"/>
      </w:tblPr>
      <w:tblGrid>
        <w:gridCol w:w="3209"/>
        <w:gridCol w:w="3210"/>
        <w:gridCol w:w="3210"/>
      </w:tblGrid>
      <w:tr w:rsidR="006C0C1F" w14:paraId="7E8A6E30" w14:textId="77777777" w:rsidTr="00CF127B">
        <w:tc>
          <w:tcPr>
            <w:tcW w:w="3209" w:type="dxa"/>
            <w:vAlign w:val="center"/>
          </w:tcPr>
          <w:p w14:paraId="5D205E6F" w14:textId="77777777" w:rsidR="006C0C1F" w:rsidRPr="0041262C" w:rsidRDefault="006C0C1F" w:rsidP="004E162B">
            <w:pPr>
              <w:pStyle w:val="E3Bullets"/>
              <w:numPr>
                <w:ilvl w:val="0"/>
                <w:numId w:val="0"/>
              </w:numPr>
              <w:spacing w:before="60" w:after="60" w:line="276" w:lineRule="auto"/>
              <w:contextualSpacing w:val="0"/>
              <w:jc w:val="center"/>
              <w:rPr>
                <w:rFonts w:ascii="Helvetica" w:hAnsi="Helvetica" w:cs="Helvetica"/>
                <w:b/>
                <w:sz w:val="16"/>
                <w:szCs w:val="16"/>
              </w:rPr>
            </w:pPr>
            <w:r w:rsidRPr="0041262C">
              <w:rPr>
                <w:rFonts w:ascii="Helvetica" w:hAnsi="Helvetica" w:cs="Helvetica"/>
                <w:b/>
                <w:sz w:val="16"/>
                <w:szCs w:val="16"/>
              </w:rPr>
              <w:t>Indicator</w:t>
            </w:r>
          </w:p>
        </w:tc>
        <w:tc>
          <w:tcPr>
            <w:tcW w:w="6420" w:type="dxa"/>
            <w:gridSpan w:val="2"/>
            <w:vAlign w:val="center"/>
          </w:tcPr>
          <w:p w14:paraId="3DD3B9C4" w14:textId="77777777" w:rsidR="006C0C1F" w:rsidRPr="0041262C" w:rsidRDefault="006C0C1F" w:rsidP="004E162B">
            <w:pPr>
              <w:pStyle w:val="E3Bullets"/>
              <w:numPr>
                <w:ilvl w:val="0"/>
                <w:numId w:val="0"/>
              </w:numPr>
              <w:spacing w:before="60" w:after="60" w:line="276" w:lineRule="auto"/>
              <w:contextualSpacing w:val="0"/>
              <w:jc w:val="center"/>
              <w:rPr>
                <w:rFonts w:ascii="Helvetica" w:hAnsi="Helvetica" w:cs="Helvetica"/>
                <w:b/>
                <w:sz w:val="16"/>
                <w:szCs w:val="16"/>
              </w:rPr>
            </w:pPr>
            <w:r w:rsidRPr="0041262C">
              <w:rPr>
                <w:rFonts w:ascii="Helvetica" w:hAnsi="Helvetica" w:cs="Helvetica"/>
                <w:b/>
                <w:sz w:val="16"/>
                <w:szCs w:val="16"/>
              </w:rPr>
              <w:t>Appliances installed 2017 - 2035</w:t>
            </w:r>
          </w:p>
        </w:tc>
      </w:tr>
      <w:tr w:rsidR="006C0C1F" w14:paraId="7DC0416A" w14:textId="77777777" w:rsidTr="00CF127B">
        <w:tc>
          <w:tcPr>
            <w:tcW w:w="3209" w:type="dxa"/>
            <w:vAlign w:val="center"/>
          </w:tcPr>
          <w:p w14:paraId="1FB22D69" w14:textId="77777777" w:rsidR="006C0C1F" w:rsidRPr="0041262C" w:rsidRDefault="006C0C1F" w:rsidP="004E162B">
            <w:pPr>
              <w:pStyle w:val="E3Bullets"/>
              <w:numPr>
                <w:ilvl w:val="0"/>
                <w:numId w:val="0"/>
              </w:numPr>
              <w:spacing w:before="60" w:after="60" w:line="276" w:lineRule="auto"/>
              <w:contextualSpacing w:val="0"/>
              <w:jc w:val="center"/>
              <w:rPr>
                <w:rFonts w:ascii="Helvetica" w:hAnsi="Helvetica" w:cs="Helvetica"/>
                <w:b/>
                <w:sz w:val="16"/>
                <w:szCs w:val="16"/>
              </w:rPr>
            </w:pPr>
          </w:p>
        </w:tc>
        <w:tc>
          <w:tcPr>
            <w:tcW w:w="3210" w:type="dxa"/>
            <w:vAlign w:val="center"/>
          </w:tcPr>
          <w:p w14:paraId="1184E64C" w14:textId="77777777" w:rsidR="006C0C1F" w:rsidRPr="0041262C" w:rsidRDefault="006C0C1F" w:rsidP="004E162B">
            <w:pPr>
              <w:pStyle w:val="E3Bullets"/>
              <w:numPr>
                <w:ilvl w:val="0"/>
                <w:numId w:val="0"/>
              </w:numPr>
              <w:spacing w:before="60" w:after="60" w:line="276" w:lineRule="auto"/>
              <w:contextualSpacing w:val="0"/>
              <w:jc w:val="center"/>
              <w:rPr>
                <w:rFonts w:ascii="Helvetica" w:hAnsi="Helvetica" w:cs="Helvetica"/>
                <w:b/>
                <w:sz w:val="16"/>
                <w:szCs w:val="16"/>
              </w:rPr>
            </w:pPr>
            <w:r w:rsidRPr="0041262C">
              <w:rPr>
                <w:rFonts w:ascii="Helvetica" w:hAnsi="Helvetica" w:cs="Helvetica"/>
                <w:b/>
                <w:sz w:val="16"/>
                <w:szCs w:val="16"/>
              </w:rPr>
              <w:t>Australia</w:t>
            </w:r>
          </w:p>
        </w:tc>
        <w:tc>
          <w:tcPr>
            <w:tcW w:w="3210" w:type="dxa"/>
            <w:vAlign w:val="center"/>
          </w:tcPr>
          <w:p w14:paraId="32839A39" w14:textId="77777777" w:rsidR="006C0C1F" w:rsidRPr="0041262C" w:rsidRDefault="006C0C1F" w:rsidP="004E162B">
            <w:pPr>
              <w:pStyle w:val="E3Bullets"/>
              <w:numPr>
                <w:ilvl w:val="0"/>
                <w:numId w:val="0"/>
              </w:numPr>
              <w:spacing w:before="60" w:after="60" w:line="276" w:lineRule="auto"/>
              <w:contextualSpacing w:val="0"/>
              <w:jc w:val="center"/>
              <w:rPr>
                <w:rFonts w:ascii="Helvetica" w:hAnsi="Helvetica" w:cs="Helvetica"/>
                <w:b/>
                <w:sz w:val="16"/>
                <w:szCs w:val="16"/>
              </w:rPr>
            </w:pPr>
            <w:r w:rsidRPr="0041262C">
              <w:rPr>
                <w:rFonts w:ascii="Helvetica" w:hAnsi="Helvetica" w:cs="Helvetica"/>
                <w:b/>
                <w:sz w:val="16"/>
                <w:szCs w:val="16"/>
              </w:rPr>
              <w:t>New Zealand</w:t>
            </w:r>
          </w:p>
        </w:tc>
      </w:tr>
      <w:tr w:rsidR="006C0C1F" w14:paraId="17800CF1" w14:textId="77777777" w:rsidTr="00CF127B">
        <w:tc>
          <w:tcPr>
            <w:tcW w:w="3209" w:type="dxa"/>
            <w:vAlign w:val="center"/>
          </w:tcPr>
          <w:p w14:paraId="539A6F00" w14:textId="77777777" w:rsidR="006C0C1F" w:rsidRPr="0041262C" w:rsidRDefault="006C0C1F" w:rsidP="004E162B">
            <w:pPr>
              <w:pStyle w:val="E3Bullets"/>
              <w:numPr>
                <w:ilvl w:val="0"/>
                <w:numId w:val="0"/>
              </w:numPr>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Energy Savings</w:t>
            </w:r>
          </w:p>
        </w:tc>
        <w:tc>
          <w:tcPr>
            <w:tcW w:w="3210" w:type="dxa"/>
            <w:vAlign w:val="center"/>
          </w:tcPr>
          <w:p w14:paraId="66A137A0" w14:textId="77777777" w:rsidR="006C0C1F" w:rsidRPr="0041262C" w:rsidRDefault="006C0C1F" w:rsidP="004E162B">
            <w:pPr>
              <w:pStyle w:val="E3Bullets"/>
              <w:numPr>
                <w:ilvl w:val="0"/>
                <w:numId w:val="0"/>
              </w:numPr>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6406GWh</w:t>
            </w:r>
          </w:p>
        </w:tc>
        <w:tc>
          <w:tcPr>
            <w:tcW w:w="3210" w:type="dxa"/>
            <w:vAlign w:val="center"/>
          </w:tcPr>
          <w:p w14:paraId="51DFF327" w14:textId="77777777" w:rsidR="006C0C1F" w:rsidRPr="0041262C" w:rsidRDefault="006C0C1F" w:rsidP="004E162B">
            <w:pPr>
              <w:pStyle w:val="E3Bullets"/>
              <w:numPr>
                <w:ilvl w:val="0"/>
                <w:numId w:val="0"/>
              </w:numPr>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1142GWh</w:t>
            </w:r>
          </w:p>
        </w:tc>
      </w:tr>
      <w:tr w:rsidR="006C0C1F" w14:paraId="015E2F7D" w14:textId="77777777" w:rsidTr="00CF127B">
        <w:tc>
          <w:tcPr>
            <w:tcW w:w="3209" w:type="dxa"/>
            <w:vAlign w:val="center"/>
          </w:tcPr>
          <w:p w14:paraId="267D3100" w14:textId="77777777" w:rsidR="006C0C1F" w:rsidRPr="0041262C" w:rsidRDefault="006C0C1F" w:rsidP="004E162B">
            <w:pPr>
              <w:pStyle w:val="E3Bullets"/>
              <w:numPr>
                <w:ilvl w:val="0"/>
                <w:numId w:val="0"/>
              </w:numPr>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Emissions savings (CO2-e cumulative)</w:t>
            </w:r>
          </w:p>
        </w:tc>
        <w:tc>
          <w:tcPr>
            <w:tcW w:w="3210" w:type="dxa"/>
            <w:vAlign w:val="center"/>
          </w:tcPr>
          <w:p w14:paraId="2BCD905D" w14:textId="77777777" w:rsidR="006C0C1F" w:rsidRPr="0041262C" w:rsidRDefault="006C0C1F" w:rsidP="004E162B">
            <w:pPr>
              <w:pStyle w:val="E3Bullets"/>
              <w:numPr>
                <w:ilvl w:val="0"/>
                <w:numId w:val="0"/>
              </w:numPr>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4.76Mt</w:t>
            </w:r>
          </w:p>
        </w:tc>
        <w:tc>
          <w:tcPr>
            <w:tcW w:w="3210" w:type="dxa"/>
            <w:vAlign w:val="center"/>
          </w:tcPr>
          <w:p w14:paraId="0827FE94" w14:textId="77777777" w:rsidR="006C0C1F" w:rsidRPr="0041262C" w:rsidRDefault="006C0C1F" w:rsidP="004E162B">
            <w:pPr>
              <w:pStyle w:val="E3Bullets"/>
              <w:numPr>
                <w:ilvl w:val="0"/>
                <w:numId w:val="0"/>
              </w:numPr>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147kt</w:t>
            </w:r>
          </w:p>
        </w:tc>
      </w:tr>
      <w:tr w:rsidR="006C0C1F" w14:paraId="51921104" w14:textId="77777777" w:rsidTr="00CF127B">
        <w:tc>
          <w:tcPr>
            <w:tcW w:w="3209" w:type="dxa"/>
            <w:vAlign w:val="center"/>
          </w:tcPr>
          <w:p w14:paraId="155078F9" w14:textId="77777777" w:rsidR="006C0C1F" w:rsidRPr="0041262C" w:rsidRDefault="006C0C1F" w:rsidP="004E162B">
            <w:pPr>
              <w:pStyle w:val="E3Bullets"/>
              <w:numPr>
                <w:ilvl w:val="0"/>
                <w:numId w:val="0"/>
              </w:numPr>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Benefits</w:t>
            </w:r>
          </w:p>
        </w:tc>
        <w:tc>
          <w:tcPr>
            <w:tcW w:w="3210" w:type="dxa"/>
            <w:vAlign w:val="center"/>
          </w:tcPr>
          <w:p w14:paraId="4B3DA287" w14:textId="77777777" w:rsidR="006C0C1F" w:rsidRPr="0041262C" w:rsidRDefault="006C0C1F" w:rsidP="004E162B">
            <w:pPr>
              <w:pStyle w:val="E3Bullets"/>
              <w:numPr>
                <w:ilvl w:val="0"/>
                <w:numId w:val="0"/>
              </w:numPr>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$AU912 million</w:t>
            </w:r>
          </w:p>
        </w:tc>
        <w:tc>
          <w:tcPr>
            <w:tcW w:w="3210" w:type="dxa"/>
            <w:vAlign w:val="center"/>
          </w:tcPr>
          <w:p w14:paraId="1690F19F" w14:textId="77777777" w:rsidR="006C0C1F" w:rsidRPr="0041262C" w:rsidRDefault="006C0C1F" w:rsidP="004E162B">
            <w:pPr>
              <w:pStyle w:val="E3Bullets"/>
              <w:numPr>
                <w:ilvl w:val="0"/>
                <w:numId w:val="0"/>
              </w:numPr>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$NZ66 million</w:t>
            </w:r>
          </w:p>
        </w:tc>
      </w:tr>
      <w:tr w:rsidR="006C0C1F" w14:paraId="3FDCF273" w14:textId="77777777" w:rsidTr="00CF127B">
        <w:tc>
          <w:tcPr>
            <w:tcW w:w="3209" w:type="dxa"/>
            <w:vAlign w:val="center"/>
          </w:tcPr>
          <w:p w14:paraId="6BA39F64" w14:textId="77777777" w:rsidR="006C0C1F" w:rsidRPr="0041262C" w:rsidRDefault="006C0C1F" w:rsidP="004E162B">
            <w:pPr>
              <w:pStyle w:val="E3Bullets"/>
              <w:numPr>
                <w:ilvl w:val="0"/>
                <w:numId w:val="0"/>
              </w:numPr>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Costs</w:t>
            </w:r>
          </w:p>
        </w:tc>
        <w:tc>
          <w:tcPr>
            <w:tcW w:w="3210" w:type="dxa"/>
            <w:vAlign w:val="center"/>
          </w:tcPr>
          <w:p w14:paraId="7F26B077" w14:textId="77777777" w:rsidR="006C0C1F" w:rsidRPr="0041262C" w:rsidRDefault="006C0C1F" w:rsidP="004E162B">
            <w:pPr>
              <w:pStyle w:val="E3Bullets"/>
              <w:numPr>
                <w:ilvl w:val="0"/>
                <w:numId w:val="0"/>
              </w:numPr>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$AU115 million</w:t>
            </w:r>
          </w:p>
        </w:tc>
        <w:tc>
          <w:tcPr>
            <w:tcW w:w="3210" w:type="dxa"/>
            <w:vAlign w:val="center"/>
          </w:tcPr>
          <w:p w14:paraId="0A4CD03A" w14:textId="77777777" w:rsidR="006C0C1F" w:rsidRPr="0041262C" w:rsidRDefault="006C0C1F" w:rsidP="004E162B">
            <w:pPr>
              <w:pStyle w:val="E3Bullets"/>
              <w:numPr>
                <w:ilvl w:val="0"/>
                <w:numId w:val="0"/>
              </w:numPr>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$NZ15 million</w:t>
            </w:r>
          </w:p>
        </w:tc>
      </w:tr>
      <w:tr w:rsidR="006C0C1F" w14:paraId="1879D950" w14:textId="77777777" w:rsidTr="00CF127B">
        <w:tc>
          <w:tcPr>
            <w:tcW w:w="3209" w:type="dxa"/>
            <w:vAlign w:val="center"/>
          </w:tcPr>
          <w:p w14:paraId="1A4DF428" w14:textId="77777777" w:rsidR="006C0C1F" w:rsidRPr="0041262C" w:rsidRDefault="006C0C1F" w:rsidP="004E162B">
            <w:pPr>
              <w:pStyle w:val="E3Bullets"/>
              <w:numPr>
                <w:ilvl w:val="0"/>
                <w:numId w:val="0"/>
              </w:numPr>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Net Present Value</w:t>
            </w:r>
          </w:p>
        </w:tc>
        <w:tc>
          <w:tcPr>
            <w:tcW w:w="3210" w:type="dxa"/>
            <w:vAlign w:val="center"/>
          </w:tcPr>
          <w:p w14:paraId="3B9C55DC" w14:textId="77777777" w:rsidR="006C0C1F" w:rsidRPr="0041262C" w:rsidRDefault="006C0C1F" w:rsidP="004E162B">
            <w:pPr>
              <w:pStyle w:val="E3Bullets"/>
              <w:numPr>
                <w:ilvl w:val="0"/>
                <w:numId w:val="0"/>
              </w:numPr>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$AU798 million</w:t>
            </w:r>
          </w:p>
        </w:tc>
        <w:tc>
          <w:tcPr>
            <w:tcW w:w="3210" w:type="dxa"/>
            <w:vAlign w:val="center"/>
          </w:tcPr>
          <w:p w14:paraId="77969CA7" w14:textId="77777777" w:rsidR="006C0C1F" w:rsidRPr="0041262C" w:rsidRDefault="006C0C1F" w:rsidP="004E162B">
            <w:pPr>
              <w:pStyle w:val="E3Bullets"/>
              <w:numPr>
                <w:ilvl w:val="0"/>
                <w:numId w:val="0"/>
              </w:numPr>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$NZ51 million</w:t>
            </w:r>
            <w:r w:rsidRPr="0041262C">
              <w:rPr>
                <w:rStyle w:val="FootnoteReference"/>
                <w:rFonts w:ascii="Helvetica" w:hAnsi="Helvetica" w:cs="Helvetica"/>
                <w:sz w:val="16"/>
                <w:szCs w:val="16"/>
              </w:rPr>
              <w:footnoteReference w:id="42"/>
            </w:r>
          </w:p>
        </w:tc>
      </w:tr>
      <w:tr w:rsidR="006C0C1F" w14:paraId="3FCF5718" w14:textId="77777777" w:rsidTr="00CF127B">
        <w:tc>
          <w:tcPr>
            <w:tcW w:w="3209" w:type="dxa"/>
            <w:vAlign w:val="center"/>
          </w:tcPr>
          <w:p w14:paraId="15928577" w14:textId="77777777" w:rsidR="006C0C1F" w:rsidRPr="0041262C" w:rsidRDefault="006C0C1F" w:rsidP="004E162B">
            <w:pPr>
              <w:pStyle w:val="E3Bullets"/>
              <w:numPr>
                <w:ilvl w:val="0"/>
                <w:numId w:val="0"/>
              </w:numPr>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Benefit cost ratio</w:t>
            </w:r>
          </w:p>
        </w:tc>
        <w:tc>
          <w:tcPr>
            <w:tcW w:w="3210" w:type="dxa"/>
            <w:vAlign w:val="center"/>
          </w:tcPr>
          <w:p w14:paraId="3116F0EF" w14:textId="77777777" w:rsidR="006C0C1F" w:rsidRPr="0041262C" w:rsidRDefault="006C0C1F" w:rsidP="004E162B">
            <w:pPr>
              <w:pStyle w:val="E3Bullets"/>
              <w:numPr>
                <w:ilvl w:val="0"/>
                <w:numId w:val="0"/>
              </w:numPr>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8:1</w:t>
            </w:r>
          </w:p>
        </w:tc>
        <w:tc>
          <w:tcPr>
            <w:tcW w:w="3210" w:type="dxa"/>
            <w:vAlign w:val="center"/>
          </w:tcPr>
          <w:p w14:paraId="5825DE55" w14:textId="77777777" w:rsidR="006C0C1F" w:rsidRPr="0041262C" w:rsidRDefault="006C0C1F" w:rsidP="004E162B">
            <w:pPr>
              <w:pStyle w:val="E3Bullets"/>
              <w:numPr>
                <w:ilvl w:val="0"/>
                <w:numId w:val="0"/>
              </w:numPr>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4.5:1</w:t>
            </w:r>
          </w:p>
        </w:tc>
      </w:tr>
    </w:tbl>
    <w:p w14:paraId="3D94415E" w14:textId="77777777" w:rsidR="002759B7" w:rsidRDefault="002759B7" w:rsidP="00CF127B">
      <w:pPr>
        <w:pStyle w:val="E3Bullets"/>
        <w:numPr>
          <w:ilvl w:val="0"/>
          <w:numId w:val="0"/>
        </w:numPr>
        <w:spacing w:before="120" w:line="276" w:lineRule="auto"/>
        <w:jc w:val="both"/>
      </w:pPr>
    </w:p>
    <w:p w14:paraId="7578AADA" w14:textId="5E082701" w:rsidR="006C0C1F" w:rsidRDefault="006C0C1F" w:rsidP="002759B7">
      <w:pPr>
        <w:pStyle w:val="E3Bullets"/>
        <w:numPr>
          <w:ilvl w:val="0"/>
          <w:numId w:val="0"/>
        </w:numPr>
        <w:spacing w:before="120" w:line="276" w:lineRule="auto"/>
        <w:jc w:val="both"/>
      </w:pPr>
      <w:r>
        <w:t xml:space="preserve">Further details of the modelling and assumptions are at </w:t>
      </w:r>
      <w:r w:rsidR="00803448">
        <w:rPr>
          <w:b/>
        </w:rPr>
        <w:t>Attachment C</w:t>
      </w:r>
      <w:r w:rsidRPr="007A5346">
        <w:t>.</w:t>
      </w:r>
    </w:p>
    <w:p w14:paraId="313F7292" w14:textId="77777777" w:rsidR="006C0C1F" w:rsidRPr="00CF127B" w:rsidRDefault="006C0C1F" w:rsidP="002759B7">
      <w:pPr>
        <w:pStyle w:val="E3Heading1"/>
        <w:spacing w:before="240" w:after="240"/>
        <w:jc w:val="both"/>
        <w:rPr>
          <w:rFonts w:eastAsia="Calibri" w:cs="Arial"/>
          <w:color w:val="000000" w:themeColor="text1"/>
          <w:sz w:val="32"/>
          <w:szCs w:val="26"/>
          <w:lang w:val="en-US"/>
        </w:rPr>
      </w:pPr>
      <w:bookmarkStart w:id="235" w:name="_Toc500151814"/>
      <w:r w:rsidRPr="00CF127B">
        <w:rPr>
          <w:rFonts w:eastAsia="Calibri" w:cs="Arial"/>
          <w:color w:val="000000" w:themeColor="text1"/>
          <w:sz w:val="32"/>
          <w:szCs w:val="26"/>
          <w:lang w:val="en-US"/>
        </w:rPr>
        <w:t>Option 4</w:t>
      </w:r>
      <w:bookmarkEnd w:id="235"/>
      <w:r w:rsidRPr="00CF127B">
        <w:rPr>
          <w:rFonts w:eastAsia="Calibri" w:cs="Arial"/>
          <w:color w:val="000000" w:themeColor="text1"/>
          <w:sz w:val="32"/>
          <w:szCs w:val="26"/>
          <w:lang w:val="en-US"/>
        </w:rPr>
        <w:t xml:space="preserve"> </w:t>
      </w:r>
    </w:p>
    <w:p w14:paraId="6A1B0ACD" w14:textId="77777777" w:rsidR="006C0C1F" w:rsidRPr="0041262C" w:rsidRDefault="006C0C1F" w:rsidP="002759B7">
      <w:pPr>
        <w:pStyle w:val="E3BodyText"/>
        <w:jc w:val="both"/>
      </w:pPr>
      <w:r>
        <w:t xml:space="preserve">Option 4 is the same as option 2 and 3 except the proposed MEPS levels will align with EC MEPS levels (see </w:t>
      </w:r>
      <w:r>
        <w:rPr>
          <w:b/>
        </w:rPr>
        <w:t>T</w:t>
      </w:r>
      <w:r w:rsidRPr="008F7BFC">
        <w:rPr>
          <w:b/>
        </w:rPr>
        <w:t>able 8A</w:t>
      </w:r>
      <w:r>
        <w:t xml:space="preserve"> and </w:t>
      </w:r>
      <w:r>
        <w:rPr>
          <w:b/>
        </w:rPr>
        <w:t>T</w:t>
      </w:r>
      <w:r w:rsidRPr="008F7BFC">
        <w:rPr>
          <w:b/>
        </w:rPr>
        <w:t>able 8B</w:t>
      </w:r>
      <w:r>
        <w:t xml:space="preserve"> for details) cabinets in each group.  Therefore it has the same advantages and dis-advantages and impacts on market participants as Option 2 and 3 above. However the impact on the models currently sold on the market would be different resulting in additional compliance costs. Overall more energy efficient models would need to be supplied and used and the benefits are higher as shown below.    </w:t>
      </w:r>
    </w:p>
    <w:p w14:paraId="2A7A4A6B" w14:textId="77777777" w:rsidR="006C0C1F" w:rsidRPr="00F056E3" w:rsidRDefault="006C0C1F" w:rsidP="002759B7">
      <w:pPr>
        <w:pStyle w:val="E3Heading4"/>
        <w:jc w:val="both"/>
      </w:pPr>
      <w:r w:rsidRPr="00F056E3">
        <w:t>Impacts on current market supply</w:t>
      </w:r>
    </w:p>
    <w:p w14:paraId="3085AC96" w14:textId="77777777" w:rsidR="006C0C1F" w:rsidRDefault="006C0C1F" w:rsidP="002759B7">
      <w:pPr>
        <w:pStyle w:val="E3BodyText"/>
        <w:jc w:val="both"/>
      </w:pPr>
      <w:r>
        <w:t>Under Option 4, cabinets that have a higher EEI will be required to improve their energy efficiency performance to meet EC MEPS levels (for display cabinets, their draft EEI is 130, storage cabinets will have to achieve an EEI of less than 95).</w:t>
      </w:r>
    </w:p>
    <w:p w14:paraId="133AB56F" w14:textId="77777777" w:rsidR="006C0C1F" w:rsidRDefault="006C0C1F" w:rsidP="002759B7">
      <w:pPr>
        <w:jc w:val="both"/>
        <w:rPr>
          <w:sz w:val="24"/>
        </w:rPr>
      </w:pPr>
      <w:r>
        <w:rPr>
          <w:sz w:val="24"/>
        </w:rPr>
        <w:t>While some local manufacturers may be affected, the large majority of the cabinet types requiring efficiency improvements are imported, typically from Europe and Asia. Essentially all of industry would need to be aware of the changes because the efficiency targets should be an ongoing development with staged introduction of more stringent efficiency levels. If they are not affected in the short term then they should be aware of the next steps that should occur in the medium term.</w:t>
      </w:r>
    </w:p>
    <w:p w14:paraId="4E4F2CFA" w14:textId="69843B79" w:rsidR="004E162B" w:rsidRDefault="006C0C1F" w:rsidP="002759B7">
      <w:pPr>
        <w:pStyle w:val="E3BodyText"/>
        <w:jc w:val="both"/>
      </w:pPr>
      <w:r w:rsidRPr="0041262C">
        <w:t>Table 15 shows the impact of the policy options on the actual sales of models based on 2015 data.  The table shows the percentage of products in each group that will not meet the MEPS levels under the options 2, 3 and 4.  In some groups there are no sales recorded  There is no sales data for the groups 12 to 15 as these products are not currently regulated (shown as NA).  The overall impact on the sales is shown in the bottom row.  It should be noted that although the MEPS policy options 2 and 3 are set at 10% and 30% of the least efficient registrations, the sales impact will be different due to different models being sold. In the case of Option 4, the MEPS levels are determined in accordance with the EU regulations and</w:t>
      </w:r>
      <w:r>
        <w:t xml:space="preserve"> </w:t>
      </w:r>
      <w:r w:rsidRPr="0041262C">
        <w:t>will impact differently depending on the efficiency of the products sold in each group</w:t>
      </w:r>
      <w:r>
        <w:t xml:space="preserve">.  </w:t>
      </w:r>
    </w:p>
    <w:p w14:paraId="10EA8566" w14:textId="77777777" w:rsidR="004E162B" w:rsidRDefault="004E162B">
      <w:pPr>
        <w:spacing w:after="0" w:line="240" w:lineRule="auto"/>
        <w:rPr>
          <w:rFonts w:eastAsia="Calibri" w:cs="Georgia"/>
          <w:color w:val="000000"/>
          <w:sz w:val="24"/>
          <w:szCs w:val="19"/>
          <w:lang w:val="en-US"/>
        </w:rPr>
      </w:pPr>
      <w:r>
        <w:br w:type="page"/>
      </w:r>
    </w:p>
    <w:p w14:paraId="5EBC919F" w14:textId="48480F97" w:rsidR="006C0C1F" w:rsidRDefault="006C0C1F" w:rsidP="004E162B">
      <w:pPr>
        <w:pStyle w:val="E3TableTitles"/>
        <w:spacing w:before="0"/>
        <w:rPr>
          <w:i/>
        </w:rPr>
      </w:pPr>
      <w:bookmarkStart w:id="236" w:name="_Toc500159666"/>
      <w:r w:rsidRPr="0041262C">
        <w:lastRenderedPageBreak/>
        <w:t>Table 15: Summary of 15 groups of display and storage cabinets and impacts on models from Option 4</w:t>
      </w:r>
      <w:r>
        <w:t>.</w:t>
      </w:r>
      <w:bookmarkEnd w:id="236"/>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564"/>
        <w:gridCol w:w="1134"/>
        <w:gridCol w:w="1134"/>
        <w:gridCol w:w="987"/>
        <w:gridCol w:w="284"/>
        <w:gridCol w:w="850"/>
        <w:gridCol w:w="142"/>
        <w:gridCol w:w="1134"/>
        <w:gridCol w:w="850"/>
        <w:gridCol w:w="856"/>
      </w:tblGrid>
      <w:tr w:rsidR="006C0C1F" w14:paraId="58FE0EEB" w14:textId="77777777" w:rsidTr="006C0C1F">
        <w:trPr>
          <w:trHeight w:val="607"/>
          <w:jc w:val="center"/>
        </w:trPr>
        <w:tc>
          <w:tcPr>
            <w:tcW w:w="421" w:type="dxa"/>
            <w:tcBorders>
              <w:top w:val="single" w:sz="4" w:space="0" w:color="auto"/>
              <w:left w:val="single" w:sz="4" w:space="0" w:color="auto"/>
              <w:bottom w:val="single" w:sz="4" w:space="0" w:color="auto"/>
              <w:right w:val="single" w:sz="4" w:space="0" w:color="auto"/>
            </w:tcBorders>
            <w:shd w:val="clear" w:color="auto" w:fill="0C0C0C"/>
          </w:tcPr>
          <w:p w14:paraId="032B6C4A" w14:textId="77777777" w:rsidR="006C0C1F" w:rsidRPr="0041262C" w:rsidRDefault="006C0C1F" w:rsidP="006C0C1F">
            <w:pPr>
              <w:pStyle w:val="E3TableHeading"/>
              <w:rPr>
                <w:sz w:val="14"/>
              </w:rPr>
            </w:pPr>
          </w:p>
        </w:tc>
        <w:tc>
          <w:tcPr>
            <w:tcW w:w="1564" w:type="dxa"/>
            <w:tcBorders>
              <w:top w:val="single" w:sz="4" w:space="0" w:color="auto"/>
              <w:left w:val="single" w:sz="4" w:space="0" w:color="auto"/>
              <w:bottom w:val="single" w:sz="4" w:space="0" w:color="auto"/>
              <w:right w:val="single" w:sz="4" w:space="0" w:color="auto"/>
            </w:tcBorders>
            <w:shd w:val="clear" w:color="auto" w:fill="0C0C0C"/>
            <w:vAlign w:val="center"/>
          </w:tcPr>
          <w:p w14:paraId="33E5F919" w14:textId="77777777" w:rsidR="006C0C1F" w:rsidRPr="0041262C" w:rsidRDefault="006C0C1F" w:rsidP="006C0C1F">
            <w:pPr>
              <w:pStyle w:val="E3TableHeading"/>
              <w:rPr>
                <w:sz w:val="14"/>
              </w:rPr>
            </w:pPr>
            <w:r w:rsidRPr="0041262C">
              <w:rPr>
                <w:sz w:val="14"/>
              </w:rPr>
              <w:t>Group Abbrev.</w:t>
            </w:r>
          </w:p>
        </w:tc>
        <w:tc>
          <w:tcPr>
            <w:tcW w:w="1134" w:type="dxa"/>
            <w:tcBorders>
              <w:top w:val="single" w:sz="4" w:space="0" w:color="auto"/>
              <w:left w:val="single" w:sz="4" w:space="0" w:color="auto"/>
              <w:bottom w:val="single" w:sz="4" w:space="0" w:color="auto"/>
              <w:right w:val="single" w:sz="4" w:space="0" w:color="auto"/>
            </w:tcBorders>
            <w:shd w:val="clear" w:color="auto" w:fill="0C0C0C"/>
            <w:vAlign w:val="center"/>
          </w:tcPr>
          <w:p w14:paraId="1891FFFD" w14:textId="77777777" w:rsidR="006C0C1F" w:rsidRPr="0041262C" w:rsidRDefault="006C0C1F" w:rsidP="006C0C1F">
            <w:pPr>
              <w:pStyle w:val="E3TableHeading"/>
              <w:rPr>
                <w:sz w:val="14"/>
              </w:rPr>
            </w:pPr>
            <w:r w:rsidRPr="0041262C">
              <w:rPr>
                <w:sz w:val="14"/>
              </w:rPr>
              <w:t>Application</w:t>
            </w:r>
          </w:p>
        </w:tc>
        <w:tc>
          <w:tcPr>
            <w:tcW w:w="1134" w:type="dxa"/>
            <w:tcBorders>
              <w:top w:val="single" w:sz="4" w:space="0" w:color="auto"/>
              <w:left w:val="single" w:sz="4" w:space="0" w:color="auto"/>
              <w:bottom w:val="single" w:sz="4" w:space="0" w:color="auto"/>
              <w:right w:val="single" w:sz="4" w:space="0" w:color="auto"/>
            </w:tcBorders>
            <w:shd w:val="clear" w:color="auto" w:fill="0C0C0C"/>
            <w:vAlign w:val="center"/>
          </w:tcPr>
          <w:p w14:paraId="34165777" w14:textId="77777777" w:rsidR="006C0C1F" w:rsidRPr="0041262C" w:rsidRDefault="006C0C1F" w:rsidP="006C0C1F">
            <w:pPr>
              <w:pStyle w:val="E3TableHeading"/>
              <w:rPr>
                <w:sz w:val="14"/>
              </w:rPr>
            </w:pPr>
            <w:r w:rsidRPr="0041262C">
              <w:rPr>
                <w:sz w:val="14"/>
              </w:rPr>
              <w:t>Temperature</w:t>
            </w:r>
          </w:p>
        </w:tc>
        <w:tc>
          <w:tcPr>
            <w:tcW w:w="1271"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14:paraId="58263FCE" w14:textId="77777777" w:rsidR="006C0C1F" w:rsidRPr="0041262C" w:rsidRDefault="006C0C1F" w:rsidP="006C0C1F">
            <w:pPr>
              <w:pStyle w:val="E3TableHeading"/>
              <w:rPr>
                <w:sz w:val="14"/>
              </w:rPr>
            </w:pPr>
            <w:r w:rsidRPr="0041262C">
              <w:rPr>
                <w:sz w:val="14"/>
              </w:rPr>
              <w:t>Configuration</w:t>
            </w:r>
          </w:p>
        </w:tc>
        <w:tc>
          <w:tcPr>
            <w:tcW w:w="992"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14:paraId="4E6A97EE" w14:textId="77777777" w:rsidR="006C0C1F" w:rsidRPr="0041262C" w:rsidRDefault="006C0C1F" w:rsidP="006C0C1F">
            <w:pPr>
              <w:pStyle w:val="E3TableHeading"/>
              <w:rPr>
                <w:sz w:val="14"/>
              </w:rPr>
            </w:pPr>
            <w:r w:rsidRPr="0041262C">
              <w:rPr>
                <w:sz w:val="14"/>
              </w:rPr>
              <w:t>AS 1731.14 Types</w:t>
            </w:r>
          </w:p>
        </w:tc>
        <w:tc>
          <w:tcPr>
            <w:tcW w:w="1134" w:type="dxa"/>
            <w:tcBorders>
              <w:top w:val="single" w:sz="4" w:space="0" w:color="auto"/>
              <w:left w:val="single" w:sz="4" w:space="0" w:color="auto"/>
              <w:bottom w:val="single" w:sz="4" w:space="0" w:color="auto"/>
              <w:right w:val="single" w:sz="4" w:space="0" w:color="auto"/>
            </w:tcBorders>
            <w:shd w:val="clear" w:color="auto" w:fill="0C0C0C"/>
            <w:vAlign w:val="center"/>
          </w:tcPr>
          <w:p w14:paraId="6A5353FC" w14:textId="77777777" w:rsidR="006C0C1F" w:rsidRPr="0041262C" w:rsidRDefault="006C0C1F" w:rsidP="006C0C1F">
            <w:pPr>
              <w:pStyle w:val="E3TableHeading"/>
              <w:rPr>
                <w:sz w:val="14"/>
              </w:rPr>
            </w:pPr>
            <w:r w:rsidRPr="0041262C">
              <w:rPr>
                <w:sz w:val="14"/>
              </w:rPr>
              <w:t>ISO 23953 Types</w:t>
            </w:r>
          </w:p>
        </w:tc>
        <w:tc>
          <w:tcPr>
            <w:tcW w:w="850" w:type="dxa"/>
            <w:tcBorders>
              <w:top w:val="single" w:sz="4" w:space="0" w:color="auto"/>
              <w:left w:val="single" w:sz="4" w:space="0" w:color="auto"/>
              <w:bottom w:val="single" w:sz="4" w:space="0" w:color="auto"/>
              <w:right w:val="single" w:sz="4" w:space="0" w:color="auto"/>
            </w:tcBorders>
            <w:shd w:val="clear" w:color="auto" w:fill="0C0C0C"/>
            <w:hideMark/>
          </w:tcPr>
          <w:p w14:paraId="19C9D22D" w14:textId="77777777" w:rsidR="006C0C1F" w:rsidRPr="0041262C" w:rsidRDefault="006C0C1F" w:rsidP="006C0C1F">
            <w:pPr>
              <w:pStyle w:val="E3TableHeading"/>
              <w:rPr>
                <w:sz w:val="14"/>
              </w:rPr>
            </w:pPr>
            <w:r w:rsidRPr="0041262C">
              <w:rPr>
                <w:sz w:val="14"/>
              </w:rPr>
              <w:t>Models affected</w:t>
            </w:r>
          </w:p>
        </w:tc>
        <w:tc>
          <w:tcPr>
            <w:tcW w:w="856" w:type="dxa"/>
            <w:tcBorders>
              <w:top w:val="single" w:sz="4" w:space="0" w:color="auto"/>
              <w:left w:val="single" w:sz="4" w:space="0" w:color="auto"/>
              <w:bottom w:val="single" w:sz="4" w:space="0" w:color="auto"/>
              <w:right w:val="single" w:sz="4" w:space="0" w:color="auto"/>
            </w:tcBorders>
            <w:shd w:val="clear" w:color="auto" w:fill="0C0C0C"/>
            <w:hideMark/>
          </w:tcPr>
          <w:p w14:paraId="6E90C3D7" w14:textId="77777777" w:rsidR="006C0C1F" w:rsidRPr="0041262C" w:rsidRDefault="006C0C1F" w:rsidP="006C0C1F">
            <w:pPr>
              <w:pStyle w:val="E3TableHeading"/>
              <w:rPr>
                <w:sz w:val="14"/>
              </w:rPr>
            </w:pPr>
            <w:r w:rsidRPr="0041262C">
              <w:rPr>
                <w:sz w:val="14"/>
              </w:rPr>
              <w:t>Sales</w:t>
            </w:r>
          </w:p>
          <w:p w14:paraId="42B5F17D" w14:textId="77777777" w:rsidR="006C0C1F" w:rsidRPr="0041262C" w:rsidRDefault="006C0C1F" w:rsidP="006C0C1F">
            <w:pPr>
              <w:pStyle w:val="E3TableHeading"/>
              <w:rPr>
                <w:sz w:val="14"/>
              </w:rPr>
            </w:pPr>
            <w:r w:rsidRPr="0041262C">
              <w:rPr>
                <w:sz w:val="14"/>
              </w:rPr>
              <w:t>affected</w:t>
            </w:r>
          </w:p>
        </w:tc>
      </w:tr>
      <w:tr w:rsidR="006C0C1F" w14:paraId="2FDC942A"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hideMark/>
          </w:tcPr>
          <w:p w14:paraId="258F244A" w14:textId="77777777" w:rsidR="006C0C1F" w:rsidRPr="0041262C" w:rsidRDefault="006C0C1F" w:rsidP="006C0C1F">
            <w:pPr>
              <w:pStyle w:val="E3tabletext1"/>
              <w:rPr>
                <w:rFonts w:ascii="Helvetica" w:hAnsi="Helvetica" w:cs="Helvetica"/>
              </w:rPr>
            </w:pPr>
            <w:r w:rsidRPr="0041262C">
              <w:rPr>
                <w:rFonts w:ascii="Helvetica" w:hAnsi="Helvetica" w:cs="Helvetica"/>
              </w:rPr>
              <w:t>1</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F6FF954" w14:textId="77777777" w:rsidR="006C0C1F" w:rsidRPr="0041262C" w:rsidRDefault="006C0C1F" w:rsidP="006C0C1F">
            <w:pPr>
              <w:pStyle w:val="E3tabletext1"/>
              <w:rPr>
                <w:rFonts w:ascii="Helvetica" w:hAnsi="Helvetica" w:cs="Helvetica"/>
              </w:rPr>
            </w:pPr>
            <w:r w:rsidRPr="0041262C">
              <w:rPr>
                <w:rFonts w:ascii="Helvetica" w:hAnsi="Helvetica" w:cs="Helvetica"/>
              </w:rPr>
              <w:t>IRH</w:t>
            </w:r>
          </w:p>
          <w:p w14:paraId="05BD128A" w14:textId="77777777" w:rsidR="006C0C1F" w:rsidRPr="0041262C" w:rsidRDefault="006C0C1F" w:rsidP="006C0C1F">
            <w:pPr>
              <w:pStyle w:val="E3tabletext1"/>
              <w:rPr>
                <w:rFonts w:ascii="Helvetica" w:hAnsi="Helvetica" w:cs="Helvetica"/>
              </w:rPr>
            </w:pPr>
            <w:r w:rsidRPr="0041262C">
              <w:rPr>
                <w:rFonts w:ascii="Helvetica" w:hAnsi="Helvetica" w:cs="Helvetica"/>
              </w:rPr>
              <w:t>Integral Refrigerated Horizontal Cabinets</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17CF7E6" w14:textId="77777777" w:rsidR="006C0C1F" w:rsidRPr="0041262C" w:rsidRDefault="006C0C1F" w:rsidP="006C0C1F">
            <w:pPr>
              <w:pStyle w:val="E3tabletext1"/>
              <w:rPr>
                <w:rFonts w:ascii="Helvetica" w:hAnsi="Helvetica" w:cs="Helvetica"/>
              </w:rPr>
            </w:pPr>
            <w:r w:rsidRPr="0041262C">
              <w:rPr>
                <w:rFonts w:ascii="Helvetica" w:hAnsi="Helvetica" w:cs="Helvetica"/>
              </w:rPr>
              <w:t xml:space="preserve">Integral Refrigerated Display Cabinets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23EFC22" w14:textId="77777777" w:rsidR="006C0C1F" w:rsidRPr="0041262C" w:rsidRDefault="006C0C1F" w:rsidP="006C0C1F">
            <w:pPr>
              <w:pStyle w:val="E3tabletext1"/>
              <w:rPr>
                <w:rFonts w:ascii="Helvetica" w:hAnsi="Helvetica" w:cs="Helvetica"/>
              </w:rPr>
            </w:pPr>
            <w:r w:rsidRPr="0041262C">
              <w:rPr>
                <w:rFonts w:ascii="Helvetica" w:hAnsi="Helvetica" w:cs="Helvetica"/>
              </w:rPr>
              <w:t>Refrigerator</w:t>
            </w:r>
          </w:p>
        </w:tc>
        <w:tc>
          <w:tcPr>
            <w:tcW w:w="987" w:type="dxa"/>
            <w:tcBorders>
              <w:top w:val="single" w:sz="4" w:space="0" w:color="auto"/>
              <w:left w:val="single" w:sz="4" w:space="0" w:color="auto"/>
              <w:bottom w:val="single" w:sz="4" w:space="0" w:color="auto"/>
              <w:right w:val="single" w:sz="4" w:space="0" w:color="auto"/>
            </w:tcBorders>
            <w:vAlign w:val="center"/>
            <w:hideMark/>
          </w:tcPr>
          <w:p w14:paraId="755B8C6D" w14:textId="77777777" w:rsidR="006C0C1F" w:rsidRPr="0041262C" w:rsidRDefault="006C0C1F" w:rsidP="006C0C1F">
            <w:pPr>
              <w:pStyle w:val="E3tabletext1"/>
              <w:rPr>
                <w:rFonts w:ascii="Helvetica" w:hAnsi="Helvetica" w:cs="Helvetica"/>
              </w:rPr>
            </w:pPr>
            <w:r w:rsidRPr="0041262C">
              <w:rPr>
                <w:rFonts w:ascii="Helvetica" w:hAnsi="Helvetica" w:cs="Helvetica"/>
              </w:rPr>
              <w:t>Horizontal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42716FA" w14:textId="77777777" w:rsidR="006C0C1F" w:rsidRPr="0041262C" w:rsidRDefault="006C0C1F" w:rsidP="006C0C1F">
            <w:pPr>
              <w:pStyle w:val="E3tabletext1"/>
              <w:rPr>
                <w:rFonts w:ascii="Helvetica" w:hAnsi="Helvetica" w:cs="Helvetica"/>
              </w:rPr>
            </w:pPr>
            <w:r w:rsidRPr="0041262C">
              <w:rPr>
                <w:rFonts w:ascii="Helvetica" w:hAnsi="Helvetica" w:cs="Helvetica"/>
              </w:rPr>
              <w:t>HC1, HC2, HC3, HC4, HC5, HC6</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7AA94584" w14:textId="77777777" w:rsidR="006C0C1F" w:rsidRPr="0041262C" w:rsidRDefault="006C0C1F" w:rsidP="006C0C1F">
            <w:pPr>
              <w:pStyle w:val="E3tabletext1"/>
              <w:rPr>
                <w:rFonts w:ascii="Helvetica" w:hAnsi="Helvetica" w:cs="Helvetica"/>
              </w:rPr>
            </w:pPr>
            <w:r w:rsidRPr="0041262C">
              <w:rPr>
                <w:rFonts w:ascii="Helvetica" w:hAnsi="Helvetica" w:cs="Helvetica"/>
              </w:rPr>
              <w:t>IHC1, IHC2, IHC3, IHC4, IHC5, IHC6, IHC7, IHC8</w:t>
            </w:r>
          </w:p>
        </w:tc>
        <w:tc>
          <w:tcPr>
            <w:tcW w:w="850" w:type="dxa"/>
            <w:tcBorders>
              <w:top w:val="single" w:sz="4" w:space="0" w:color="auto"/>
              <w:left w:val="single" w:sz="4" w:space="0" w:color="auto"/>
              <w:bottom w:val="single" w:sz="4" w:space="0" w:color="auto"/>
              <w:right w:val="single" w:sz="4" w:space="0" w:color="auto"/>
            </w:tcBorders>
            <w:vAlign w:val="center"/>
          </w:tcPr>
          <w:p w14:paraId="4ADCCAD8" w14:textId="77777777" w:rsidR="006C0C1F" w:rsidRPr="0041262C" w:rsidRDefault="006C0C1F" w:rsidP="006C0C1F">
            <w:pPr>
              <w:pStyle w:val="E3tabletext1"/>
              <w:rPr>
                <w:rFonts w:ascii="Helvetica" w:hAnsi="Helvetica" w:cs="Helvetica"/>
              </w:rPr>
            </w:pPr>
            <w:r>
              <w:rPr>
                <w:rFonts w:ascii="Helvetica" w:hAnsi="Helvetica" w:cs="Helvetica"/>
              </w:rPr>
              <w:t>51</w:t>
            </w:r>
          </w:p>
        </w:tc>
        <w:tc>
          <w:tcPr>
            <w:tcW w:w="856" w:type="dxa"/>
            <w:tcBorders>
              <w:top w:val="single" w:sz="4" w:space="0" w:color="auto"/>
              <w:left w:val="single" w:sz="4" w:space="0" w:color="auto"/>
              <w:bottom w:val="single" w:sz="4" w:space="0" w:color="auto"/>
              <w:right w:val="single" w:sz="4" w:space="0" w:color="auto"/>
            </w:tcBorders>
            <w:vAlign w:val="center"/>
            <w:hideMark/>
          </w:tcPr>
          <w:p w14:paraId="135E9DE8" w14:textId="77777777" w:rsidR="006C0C1F" w:rsidRPr="0041262C" w:rsidRDefault="006C0C1F" w:rsidP="006C0C1F">
            <w:pPr>
              <w:pStyle w:val="E3tabletext1"/>
              <w:rPr>
                <w:rFonts w:ascii="Helvetica" w:hAnsi="Helvetica" w:cs="Helvetica"/>
              </w:rPr>
            </w:pPr>
            <w:r w:rsidRPr="0041262C">
              <w:rPr>
                <w:rFonts w:ascii="Helvetica" w:hAnsi="Helvetica" w:cs="Helvetica"/>
              </w:rPr>
              <w:t>50%</w:t>
            </w:r>
          </w:p>
        </w:tc>
      </w:tr>
      <w:tr w:rsidR="006C0C1F" w14:paraId="46EC9A6F"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3C2CE2A7" w14:textId="77777777" w:rsidR="006C0C1F" w:rsidRPr="0041262C" w:rsidRDefault="006C0C1F" w:rsidP="006C0C1F">
            <w:pPr>
              <w:pStyle w:val="E3tabletext1"/>
              <w:rPr>
                <w:rFonts w:ascii="Helvetica" w:hAnsi="Helvetica" w:cs="Helvetica"/>
              </w:rPr>
            </w:pPr>
            <w:r w:rsidRPr="0041262C">
              <w:rPr>
                <w:rFonts w:ascii="Helvetica" w:hAnsi="Helvetica" w:cs="Helvetica"/>
              </w:rPr>
              <w:t>2</w:t>
            </w:r>
          </w:p>
        </w:tc>
        <w:tc>
          <w:tcPr>
            <w:tcW w:w="1564" w:type="dxa"/>
            <w:tcBorders>
              <w:top w:val="single" w:sz="4" w:space="0" w:color="auto"/>
              <w:left w:val="single" w:sz="4" w:space="0" w:color="auto"/>
              <w:bottom w:val="single" w:sz="4" w:space="0" w:color="auto"/>
              <w:right w:val="single" w:sz="4" w:space="0" w:color="auto"/>
            </w:tcBorders>
            <w:vAlign w:val="center"/>
            <w:hideMark/>
          </w:tcPr>
          <w:p w14:paraId="210000E1" w14:textId="77777777" w:rsidR="006C0C1F" w:rsidRPr="0041262C" w:rsidRDefault="006C0C1F" w:rsidP="006C0C1F">
            <w:pPr>
              <w:pStyle w:val="E3tabletext1"/>
              <w:rPr>
                <w:rFonts w:ascii="Helvetica" w:hAnsi="Helvetica" w:cs="Helvetica"/>
              </w:rPr>
            </w:pPr>
            <w:r w:rsidRPr="0041262C">
              <w:rPr>
                <w:rFonts w:ascii="Helvetica" w:hAnsi="Helvetica" w:cs="Helvetica"/>
              </w:rPr>
              <w:t>IRV</w:t>
            </w:r>
          </w:p>
          <w:p w14:paraId="182E73E9" w14:textId="77777777" w:rsidR="006C0C1F" w:rsidRPr="0041262C" w:rsidRDefault="006C0C1F" w:rsidP="006C0C1F">
            <w:pPr>
              <w:pStyle w:val="E3tabletext1"/>
              <w:rPr>
                <w:rFonts w:ascii="Helvetica" w:hAnsi="Helvetica" w:cs="Helvetica"/>
              </w:rPr>
            </w:pPr>
            <w:r w:rsidRPr="0041262C">
              <w:rPr>
                <w:rFonts w:ascii="Helvetica" w:hAnsi="Helvetica" w:cs="Helvetica"/>
              </w:rPr>
              <w:t>Integral Refrigerated Vertical Cabinets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9215FA6"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05F5160"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03C1A333" w14:textId="77777777" w:rsidR="006C0C1F" w:rsidRPr="0041262C" w:rsidRDefault="006C0C1F" w:rsidP="006C0C1F">
            <w:pPr>
              <w:pStyle w:val="E3tabletext1"/>
              <w:rPr>
                <w:rFonts w:ascii="Helvetica" w:hAnsi="Helvetica" w:cs="Helvetica"/>
              </w:rPr>
            </w:pPr>
            <w:r w:rsidRPr="0041262C">
              <w:rPr>
                <w:rFonts w:ascii="Helvetica" w:hAnsi="Helvetica" w:cs="Helvetica"/>
              </w:rPr>
              <w:t>Vertical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369E8E68" w14:textId="77777777" w:rsidR="006C0C1F" w:rsidRPr="0041262C" w:rsidRDefault="006C0C1F" w:rsidP="006C0C1F">
            <w:pPr>
              <w:pStyle w:val="E3tabletext1"/>
              <w:rPr>
                <w:rFonts w:ascii="Helvetica" w:hAnsi="Helvetica" w:cs="Helvetica"/>
              </w:rPr>
            </w:pPr>
            <w:r w:rsidRPr="0041262C">
              <w:rPr>
                <w:rFonts w:ascii="Helvetica" w:hAnsi="Helvetica" w:cs="Helvetica"/>
              </w:rPr>
              <w:t>IVC1, IVC2, IVC3</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7BC9EC11" w14:textId="77777777" w:rsidR="006C0C1F" w:rsidRPr="0041262C" w:rsidRDefault="006C0C1F" w:rsidP="006C0C1F">
            <w:pPr>
              <w:pStyle w:val="E3tabletext1"/>
              <w:rPr>
                <w:rFonts w:ascii="Helvetica" w:hAnsi="Helvetica" w:cs="Helvetica"/>
              </w:rPr>
            </w:pPr>
            <w:r w:rsidRPr="0041262C">
              <w:rPr>
                <w:rFonts w:ascii="Helvetica" w:hAnsi="Helvetica" w:cs="Helvetica"/>
              </w:rPr>
              <w:t>IVC1, IVC2, IVC3, IYC1, IYC2, IYC3</w:t>
            </w:r>
          </w:p>
        </w:tc>
        <w:tc>
          <w:tcPr>
            <w:tcW w:w="850" w:type="dxa"/>
            <w:tcBorders>
              <w:top w:val="single" w:sz="4" w:space="0" w:color="auto"/>
              <w:left w:val="single" w:sz="4" w:space="0" w:color="auto"/>
              <w:bottom w:val="single" w:sz="4" w:space="0" w:color="auto"/>
              <w:right w:val="single" w:sz="4" w:space="0" w:color="auto"/>
            </w:tcBorders>
            <w:vAlign w:val="center"/>
          </w:tcPr>
          <w:p w14:paraId="0C72428A" w14:textId="77777777" w:rsidR="006C0C1F" w:rsidRPr="0041262C" w:rsidRDefault="006C0C1F" w:rsidP="006C0C1F">
            <w:pPr>
              <w:pStyle w:val="E3tabletext1"/>
              <w:rPr>
                <w:rFonts w:ascii="Helvetica" w:hAnsi="Helvetica" w:cs="Helvetica"/>
              </w:rPr>
            </w:pPr>
            <w:r>
              <w:rPr>
                <w:rFonts w:ascii="Helvetica" w:hAnsi="Helvetica" w:cs="Helvetica"/>
              </w:rPr>
              <w:t>21%</w:t>
            </w:r>
          </w:p>
        </w:tc>
        <w:tc>
          <w:tcPr>
            <w:tcW w:w="856" w:type="dxa"/>
            <w:tcBorders>
              <w:top w:val="single" w:sz="4" w:space="0" w:color="auto"/>
              <w:left w:val="single" w:sz="4" w:space="0" w:color="auto"/>
              <w:bottom w:val="single" w:sz="4" w:space="0" w:color="auto"/>
              <w:right w:val="single" w:sz="4" w:space="0" w:color="auto"/>
            </w:tcBorders>
            <w:vAlign w:val="center"/>
            <w:hideMark/>
          </w:tcPr>
          <w:p w14:paraId="166F4D13" w14:textId="77777777" w:rsidR="006C0C1F" w:rsidRPr="0041262C" w:rsidRDefault="006C0C1F" w:rsidP="006C0C1F">
            <w:pPr>
              <w:pStyle w:val="E3tabletext1"/>
              <w:rPr>
                <w:rFonts w:ascii="Helvetica" w:hAnsi="Helvetica" w:cs="Helvetica"/>
              </w:rPr>
            </w:pPr>
            <w:r w:rsidRPr="0041262C">
              <w:rPr>
                <w:rFonts w:ascii="Helvetica" w:hAnsi="Helvetica" w:cs="Helvetica"/>
              </w:rPr>
              <w:t>11%</w:t>
            </w:r>
          </w:p>
        </w:tc>
      </w:tr>
      <w:tr w:rsidR="006C0C1F" w14:paraId="51068DD7"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7DED6791" w14:textId="77777777" w:rsidR="006C0C1F" w:rsidRPr="0041262C" w:rsidRDefault="006C0C1F" w:rsidP="006C0C1F">
            <w:pPr>
              <w:pStyle w:val="E3tabletext1"/>
              <w:rPr>
                <w:rFonts w:ascii="Helvetica" w:hAnsi="Helvetica" w:cs="Helvetica"/>
              </w:rPr>
            </w:pPr>
            <w:r w:rsidRPr="0041262C">
              <w:rPr>
                <w:rFonts w:ascii="Helvetica" w:hAnsi="Helvetica" w:cs="Helvetica"/>
              </w:rPr>
              <w:t>3</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7AB1E50" w14:textId="77777777" w:rsidR="006C0C1F" w:rsidRPr="0041262C" w:rsidRDefault="006C0C1F" w:rsidP="006C0C1F">
            <w:pPr>
              <w:pStyle w:val="E3tabletext1"/>
              <w:rPr>
                <w:rFonts w:ascii="Helvetica" w:hAnsi="Helvetica" w:cs="Helvetica"/>
              </w:rPr>
            </w:pPr>
            <w:r w:rsidRPr="0041262C">
              <w:rPr>
                <w:rFonts w:ascii="Helvetica" w:hAnsi="Helvetica" w:cs="Helvetica"/>
              </w:rPr>
              <w:t>IRV-4</w:t>
            </w:r>
          </w:p>
          <w:p w14:paraId="1AB6A7A0" w14:textId="77777777" w:rsidR="006C0C1F" w:rsidRPr="0041262C" w:rsidRDefault="006C0C1F" w:rsidP="006C0C1F">
            <w:pPr>
              <w:pStyle w:val="E3tabletext1"/>
              <w:rPr>
                <w:rFonts w:ascii="Helvetica" w:hAnsi="Helvetica" w:cs="Helvetica"/>
              </w:rPr>
            </w:pPr>
            <w:r w:rsidRPr="0041262C">
              <w:rPr>
                <w:rFonts w:ascii="Helvetica" w:hAnsi="Helvetica" w:cs="Helvetica"/>
              </w:rPr>
              <w:t>Integral Refrigerated Vertical Cabinets with Glass Door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C496051"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00F04C"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7D0F6A99"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3796B5D" w14:textId="77777777" w:rsidR="006C0C1F" w:rsidRPr="0041262C" w:rsidRDefault="006C0C1F" w:rsidP="006C0C1F">
            <w:pPr>
              <w:pStyle w:val="E3tabletext1"/>
              <w:rPr>
                <w:rFonts w:ascii="Helvetica" w:hAnsi="Helvetica" w:cs="Helvetica"/>
              </w:rPr>
            </w:pPr>
            <w:r w:rsidRPr="0041262C">
              <w:rPr>
                <w:rFonts w:ascii="Helvetica" w:hAnsi="Helvetica" w:cs="Helvetica"/>
              </w:rPr>
              <w:t>IVC4 Glass door</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7418AB52" w14:textId="77777777" w:rsidR="006C0C1F" w:rsidRPr="0041262C" w:rsidRDefault="006C0C1F" w:rsidP="006C0C1F">
            <w:pPr>
              <w:pStyle w:val="E3tabletext1"/>
              <w:rPr>
                <w:rFonts w:ascii="Helvetica" w:hAnsi="Helvetica" w:cs="Helvetica"/>
              </w:rPr>
            </w:pPr>
            <w:r w:rsidRPr="0041262C">
              <w:rPr>
                <w:rFonts w:ascii="Helvetica" w:hAnsi="Helvetica" w:cs="Helvetica"/>
              </w:rPr>
              <w:t>IVC4, IYC4</w:t>
            </w:r>
          </w:p>
        </w:tc>
        <w:tc>
          <w:tcPr>
            <w:tcW w:w="850" w:type="dxa"/>
            <w:tcBorders>
              <w:top w:val="single" w:sz="4" w:space="0" w:color="auto"/>
              <w:left w:val="single" w:sz="4" w:space="0" w:color="auto"/>
              <w:bottom w:val="single" w:sz="4" w:space="0" w:color="auto"/>
              <w:right w:val="single" w:sz="4" w:space="0" w:color="auto"/>
            </w:tcBorders>
            <w:vAlign w:val="center"/>
          </w:tcPr>
          <w:p w14:paraId="71714F23" w14:textId="77777777" w:rsidR="006C0C1F" w:rsidRPr="0041262C" w:rsidRDefault="006C0C1F" w:rsidP="006C0C1F">
            <w:pPr>
              <w:pStyle w:val="E3tabletext1"/>
              <w:rPr>
                <w:rFonts w:ascii="Helvetica" w:hAnsi="Helvetica" w:cs="Helvetica"/>
              </w:rPr>
            </w:pPr>
            <w:r>
              <w:rPr>
                <w:rFonts w:ascii="Helvetica" w:hAnsi="Helvetica" w:cs="Helvetica"/>
              </w:rPr>
              <w:t>25%</w:t>
            </w:r>
          </w:p>
        </w:tc>
        <w:tc>
          <w:tcPr>
            <w:tcW w:w="856" w:type="dxa"/>
            <w:tcBorders>
              <w:top w:val="single" w:sz="4" w:space="0" w:color="auto"/>
              <w:left w:val="single" w:sz="4" w:space="0" w:color="auto"/>
              <w:bottom w:val="single" w:sz="4" w:space="0" w:color="auto"/>
              <w:right w:val="single" w:sz="4" w:space="0" w:color="auto"/>
            </w:tcBorders>
            <w:vAlign w:val="center"/>
          </w:tcPr>
          <w:p w14:paraId="22F5F6B7" w14:textId="77777777" w:rsidR="006C0C1F" w:rsidRPr="0041262C" w:rsidRDefault="006C0C1F" w:rsidP="006C0C1F">
            <w:pPr>
              <w:pStyle w:val="E3tabletext1"/>
              <w:rPr>
                <w:rFonts w:ascii="Helvetica" w:hAnsi="Helvetica" w:cs="Helvetica"/>
              </w:rPr>
            </w:pPr>
            <w:r w:rsidRPr="0041262C">
              <w:rPr>
                <w:rFonts w:ascii="Helvetica" w:hAnsi="Helvetica" w:cs="Helvetica"/>
              </w:rPr>
              <w:t>20%</w:t>
            </w:r>
          </w:p>
        </w:tc>
      </w:tr>
      <w:tr w:rsidR="006C0C1F" w14:paraId="6CA86597"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037C5643" w14:textId="77777777" w:rsidR="006C0C1F" w:rsidRPr="0041262C" w:rsidRDefault="006C0C1F" w:rsidP="006C0C1F">
            <w:pPr>
              <w:pStyle w:val="E3tabletext1"/>
              <w:rPr>
                <w:rFonts w:ascii="Helvetica" w:hAnsi="Helvetica" w:cs="Helvetica"/>
              </w:rPr>
            </w:pPr>
            <w:r w:rsidRPr="0041262C">
              <w:rPr>
                <w:rFonts w:ascii="Helvetica" w:hAnsi="Helvetica" w:cs="Helvetica"/>
              </w:rPr>
              <w:t>4</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406040F" w14:textId="77777777" w:rsidR="006C0C1F" w:rsidRPr="0041262C" w:rsidRDefault="006C0C1F" w:rsidP="006C0C1F">
            <w:pPr>
              <w:pStyle w:val="E3tabletext1"/>
              <w:rPr>
                <w:rFonts w:ascii="Helvetica" w:hAnsi="Helvetica" w:cs="Helvetica"/>
              </w:rPr>
            </w:pPr>
            <w:r w:rsidRPr="0041262C">
              <w:rPr>
                <w:rFonts w:ascii="Helvetica" w:hAnsi="Helvetica" w:cs="Helvetica"/>
              </w:rPr>
              <w:t>IFH</w:t>
            </w:r>
          </w:p>
          <w:p w14:paraId="05D68460" w14:textId="77777777" w:rsidR="006C0C1F" w:rsidRPr="0041262C" w:rsidRDefault="006C0C1F" w:rsidP="006C0C1F">
            <w:pPr>
              <w:pStyle w:val="E3tabletext1"/>
              <w:rPr>
                <w:rFonts w:ascii="Helvetica" w:hAnsi="Helvetica" w:cs="Helvetica"/>
              </w:rPr>
            </w:pPr>
            <w:r w:rsidRPr="0041262C">
              <w:rPr>
                <w:rFonts w:ascii="Helvetica" w:hAnsi="Helvetica" w:cs="Helvetica"/>
              </w:rPr>
              <w:t>Integral Freezer Horizontal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1A110F3"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B13E4FC" w14:textId="77777777" w:rsidR="006C0C1F" w:rsidRPr="0041262C" w:rsidRDefault="006C0C1F" w:rsidP="006C0C1F">
            <w:pPr>
              <w:pStyle w:val="E3tabletext1"/>
              <w:rPr>
                <w:rFonts w:ascii="Helvetica" w:hAnsi="Helvetica" w:cs="Helvetica"/>
              </w:rPr>
            </w:pPr>
            <w:r w:rsidRPr="0041262C">
              <w:rPr>
                <w:rFonts w:ascii="Helvetica" w:hAnsi="Helvetica" w:cs="Helvetica"/>
              </w:rPr>
              <w:t>Freezer</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754485EA" w14:textId="77777777" w:rsidR="006C0C1F" w:rsidRPr="0041262C" w:rsidRDefault="006C0C1F" w:rsidP="006C0C1F">
            <w:pPr>
              <w:pStyle w:val="E3tabletext1"/>
              <w:rPr>
                <w:rFonts w:ascii="Helvetica" w:hAnsi="Helvetica" w:cs="Helvetica"/>
              </w:rPr>
            </w:pPr>
            <w:r w:rsidRPr="0041262C">
              <w:rPr>
                <w:rFonts w:ascii="Helvetica" w:hAnsi="Helvetica" w:cs="Helvetica"/>
              </w:rPr>
              <w:t>Horizontal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60D25146" w14:textId="77777777" w:rsidR="006C0C1F" w:rsidRPr="0041262C" w:rsidRDefault="006C0C1F" w:rsidP="006C0C1F">
            <w:pPr>
              <w:pStyle w:val="E3tabletext1"/>
              <w:rPr>
                <w:rFonts w:ascii="Helvetica" w:hAnsi="Helvetica" w:cs="Helvetica"/>
              </w:rPr>
            </w:pPr>
            <w:r w:rsidRPr="0041262C">
              <w:rPr>
                <w:rFonts w:ascii="Helvetica" w:hAnsi="Helvetica" w:cs="Helvetica"/>
              </w:rPr>
              <w:t>IHF1, IHF3, IHF4</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7F84E097" w14:textId="77777777" w:rsidR="006C0C1F" w:rsidRPr="0041262C" w:rsidRDefault="006C0C1F" w:rsidP="006C0C1F">
            <w:pPr>
              <w:pStyle w:val="E3tabletext1"/>
              <w:rPr>
                <w:rFonts w:ascii="Helvetica" w:hAnsi="Helvetica" w:cs="Helvetica"/>
              </w:rPr>
            </w:pPr>
            <w:r w:rsidRPr="0041262C">
              <w:rPr>
                <w:rFonts w:ascii="Helvetica" w:hAnsi="Helvetica" w:cs="Helvetica"/>
              </w:rPr>
              <w:t>IHF1, IHF3, IHF4</w:t>
            </w:r>
          </w:p>
        </w:tc>
        <w:tc>
          <w:tcPr>
            <w:tcW w:w="850" w:type="dxa"/>
            <w:tcBorders>
              <w:top w:val="single" w:sz="4" w:space="0" w:color="auto"/>
              <w:left w:val="single" w:sz="4" w:space="0" w:color="auto"/>
              <w:bottom w:val="single" w:sz="4" w:space="0" w:color="auto"/>
              <w:right w:val="single" w:sz="4" w:space="0" w:color="auto"/>
            </w:tcBorders>
            <w:vAlign w:val="center"/>
          </w:tcPr>
          <w:p w14:paraId="27A8EBDB" w14:textId="77777777" w:rsidR="006C0C1F" w:rsidRPr="0041262C" w:rsidRDefault="006C0C1F" w:rsidP="006C0C1F">
            <w:pPr>
              <w:pStyle w:val="E3tabletext1"/>
              <w:rPr>
                <w:rFonts w:ascii="Helvetica" w:hAnsi="Helvetica" w:cs="Helvetica"/>
              </w:rPr>
            </w:pPr>
            <w:r>
              <w:rPr>
                <w:rFonts w:ascii="Helvetica" w:hAnsi="Helvetica" w:cs="Helvetica"/>
              </w:rPr>
              <w:t>59%</w:t>
            </w:r>
          </w:p>
        </w:tc>
        <w:tc>
          <w:tcPr>
            <w:tcW w:w="856" w:type="dxa"/>
            <w:tcBorders>
              <w:top w:val="single" w:sz="4" w:space="0" w:color="auto"/>
              <w:left w:val="single" w:sz="4" w:space="0" w:color="auto"/>
              <w:bottom w:val="single" w:sz="4" w:space="0" w:color="auto"/>
              <w:right w:val="single" w:sz="4" w:space="0" w:color="auto"/>
            </w:tcBorders>
            <w:vAlign w:val="center"/>
          </w:tcPr>
          <w:p w14:paraId="166CF2B9" w14:textId="77777777" w:rsidR="006C0C1F" w:rsidRPr="0041262C" w:rsidRDefault="006C0C1F" w:rsidP="006C0C1F">
            <w:pPr>
              <w:pStyle w:val="E3tabletext1"/>
              <w:rPr>
                <w:rFonts w:ascii="Helvetica" w:hAnsi="Helvetica" w:cs="Helvetica"/>
              </w:rPr>
            </w:pPr>
            <w:r w:rsidRPr="0041262C">
              <w:rPr>
                <w:rFonts w:ascii="Helvetica" w:hAnsi="Helvetica" w:cs="Helvetica"/>
              </w:rPr>
              <w:t>79%</w:t>
            </w:r>
          </w:p>
        </w:tc>
      </w:tr>
      <w:tr w:rsidR="006C0C1F" w14:paraId="00992A42"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134E4F83" w14:textId="77777777" w:rsidR="006C0C1F" w:rsidRPr="0041262C" w:rsidRDefault="006C0C1F" w:rsidP="006C0C1F">
            <w:pPr>
              <w:pStyle w:val="E3tabletext1"/>
              <w:rPr>
                <w:rFonts w:ascii="Helvetica" w:hAnsi="Helvetica" w:cs="Helvetica"/>
              </w:rPr>
            </w:pPr>
            <w:r w:rsidRPr="0041262C">
              <w:rPr>
                <w:rFonts w:ascii="Helvetica" w:hAnsi="Helvetica" w:cs="Helvetica"/>
              </w:rPr>
              <w:t>5</w:t>
            </w:r>
          </w:p>
        </w:tc>
        <w:tc>
          <w:tcPr>
            <w:tcW w:w="1564" w:type="dxa"/>
            <w:tcBorders>
              <w:top w:val="single" w:sz="4" w:space="0" w:color="auto"/>
              <w:left w:val="single" w:sz="4" w:space="0" w:color="auto"/>
              <w:bottom w:val="single" w:sz="4" w:space="0" w:color="auto"/>
              <w:right w:val="single" w:sz="4" w:space="0" w:color="auto"/>
            </w:tcBorders>
            <w:vAlign w:val="center"/>
            <w:hideMark/>
          </w:tcPr>
          <w:p w14:paraId="3E4D1F98" w14:textId="77777777" w:rsidR="006C0C1F" w:rsidRPr="0041262C" w:rsidRDefault="006C0C1F" w:rsidP="006C0C1F">
            <w:pPr>
              <w:pStyle w:val="E3tabletext1"/>
              <w:rPr>
                <w:rFonts w:ascii="Helvetica" w:hAnsi="Helvetica" w:cs="Helvetica"/>
              </w:rPr>
            </w:pPr>
            <w:r w:rsidRPr="0041262C">
              <w:rPr>
                <w:rFonts w:ascii="Helvetica" w:hAnsi="Helvetica" w:cs="Helvetica"/>
              </w:rPr>
              <w:t>IFH-5</w:t>
            </w:r>
          </w:p>
          <w:p w14:paraId="2FC1DD3E" w14:textId="77777777" w:rsidR="006C0C1F" w:rsidRPr="0041262C" w:rsidRDefault="006C0C1F" w:rsidP="006C0C1F">
            <w:pPr>
              <w:pStyle w:val="E3tabletext1"/>
              <w:rPr>
                <w:rFonts w:ascii="Helvetica" w:hAnsi="Helvetica" w:cs="Helvetica"/>
              </w:rPr>
            </w:pPr>
            <w:r w:rsidRPr="0041262C">
              <w:rPr>
                <w:rFonts w:ascii="Helvetica" w:hAnsi="Helvetica" w:cs="Helvetica"/>
              </w:rPr>
              <w:t>Integral Freezer Horizontal with Lid</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B5150E4"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9990B9A"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3F5EE571"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3694F95E" w14:textId="77777777" w:rsidR="006C0C1F" w:rsidRPr="0041262C" w:rsidRDefault="006C0C1F" w:rsidP="006C0C1F">
            <w:pPr>
              <w:pStyle w:val="E3tabletext1"/>
              <w:rPr>
                <w:rFonts w:ascii="Helvetica" w:hAnsi="Helvetica" w:cs="Helvetica"/>
              </w:rPr>
            </w:pPr>
            <w:r w:rsidRPr="0041262C">
              <w:rPr>
                <w:rFonts w:ascii="Helvetica" w:hAnsi="Helvetica" w:cs="Helvetica"/>
              </w:rPr>
              <w:t>IHF5, IHF6</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0C2F5269" w14:textId="77777777" w:rsidR="006C0C1F" w:rsidRPr="0041262C" w:rsidRDefault="006C0C1F" w:rsidP="006C0C1F">
            <w:pPr>
              <w:pStyle w:val="E3tabletext1"/>
              <w:rPr>
                <w:rFonts w:ascii="Helvetica" w:hAnsi="Helvetica" w:cs="Helvetica"/>
              </w:rPr>
            </w:pPr>
            <w:r w:rsidRPr="0041262C">
              <w:rPr>
                <w:rFonts w:ascii="Helvetica" w:hAnsi="Helvetica" w:cs="Helvetica"/>
              </w:rPr>
              <w:t>IHF5, IHF6</w:t>
            </w:r>
          </w:p>
        </w:tc>
        <w:tc>
          <w:tcPr>
            <w:tcW w:w="850" w:type="dxa"/>
            <w:tcBorders>
              <w:top w:val="single" w:sz="4" w:space="0" w:color="auto"/>
              <w:left w:val="single" w:sz="4" w:space="0" w:color="auto"/>
              <w:bottom w:val="single" w:sz="4" w:space="0" w:color="auto"/>
              <w:right w:val="single" w:sz="4" w:space="0" w:color="auto"/>
            </w:tcBorders>
            <w:vAlign w:val="center"/>
          </w:tcPr>
          <w:p w14:paraId="0E792FA8" w14:textId="77777777" w:rsidR="006C0C1F" w:rsidRPr="0041262C" w:rsidRDefault="006C0C1F" w:rsidP="006C0C1F">
            <w:pPr>
              <w:pStyle w:val="E3tabletext1"/>
              <w:rPr>
                <w:rFonts w:ascii="Helvetica" w:hAnsi="Helvetica" w:cs="Helvetica"/>
              </w:rPr>
            </w:pPr>
            <w:r>
              <w:rPr>
                <w:rFonts w:ascii="Helvetica" w:hAnsi="Helvetica" w:cs="Helvetica"/>
              </w:rPr>
              <w:t>21%</w:t>
            </w:r>
          </w:p>
        </w:tc>
        <w:tc>
          <w:tcPr>
            <w:tcW w:w="856" w:type="dxa"/>
            <w:tcBorders>
              <w:top w:val="single" w:sz="4" w:space="0" w:color="auto"/>
              <w:left w:val="single" w:sz="4" w:space="0" w:color="auto"/>
              <w:bottom w:val="single" w:sz="4" w:space="0" w:color="auto"/>
              <w:right w:val="single" w:sz="4" w:space="0" w:color="auto"/>
            </w:tcBorders>
            <w:vAlign w:val="center"/>
          </w:tcPr>
          <w:p w14:paraId="5A260BA2" w14:textId="77777777" w:rsidR="006C0C1F" w:rsidRPr="0041262C" w:rsidRDefault="006C0C1F" w:rsidP="006C0C1F">
            <w:pPr>
              <w:pStyle w:val="E3tabletext1"/>
              <w:rPr>
                <w:rFonts w:ascii="Helvetica" w:hAnsi="Helvetica" w:cs="Helvetica"/>
              </w:rPr>
            </w:pPr>
            <w:r w:rsidRPr="0041262C">
              <w:rPr>
                <w:rFonts w:ascii="Helvetica" w:hAnsi="Helvetica" w:cs="Helvetica"/>
              </w:rPr>
              <w:t>55%</w:t>
            </w:r>
          </w:p>
        </w:tc>
      </w:tr>
      <w:tr w:rsidR="006C0C1F" w14:paraId="62865872"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0EF6E8BE" w14:textId="77777777" w:rsidR="006C0C1F" w:rsidRPr="0041262C" w:rsidRDefault="006C0C1F" w:rsidP="006C0C1F">
            <w:pPr>
              <w:pStyle w:val="E3tabletext1"/>
              <w:rPr>
                <w:rFonts w:ascii="Helvetica" w:hAnsi="Helvetica" w:cs="Helvetica"/>
              </w:rPr>
            </w:pPr>
            <w:r w:rsidRPr="0041262C">
              <w:rPr>
                <w:rFonts w:ascii="Helvetica" w:hAnsi="Helvetica" w:cs="Helvetica"/>
              </w:rPr>
              <w:t>6</w:t>
            </w:r>
          </w:p>
        </w:tc>
        <w:tc>
          <w:tcPr>
            <w:tcW w:w="1564" w:type="dxa"/>
            <w:tcBorders>
              <w:top w:val="single" w:sz="4" w:space="0" w:color="auto"/>
              <w:left w:val="single" w:sz="4" w:space="0" w:color="auto"/>
              <w:bottom w:val="single" w:sz="4" w:space="0" w:color="auto"/>
              <w:right w:val="single" w:sz="4" w:space="0" w:color="auto"/>
            </w:tcBorders>
            <w:vAlign w:val="center"/>
            <w:hideMark/>
          </w:tcPr>
          <w:p w14:paraId="314B6E6F" w14:textId="77777777" w:rsidR="006C0C1F" w:rsidRPr="0041262C" w:rsidRDefault="006C0C1F" w:rsidP="006C0C1F">
            <w:pPr>
              <w:pStyle w:val="E3tabletext1"/>
              <w:rPr>
                <w:rFonts w:ascii="Helvetica" w:hAnsi="Helvetica" w:cs="Helvetica"/>
              </w:rPr>
            </w:pPr>
            <w:r w:rsidRPr="0041262C">
              <w:rPr>
                <w:rFonts w:ascii="Helvetica" w:hAnsi="Helvetica" w:cs="Helvetica"/>
              </w:rPr>
              <w:t>IFV</w:t>
            </w:r>
          </w:p>
          <w:p w14:paraId="35D85A26" w14:textId="77777777" w:rsidR="006C0C1F" w:rsidRPr="0041262C" w:rsidRDefault="006C0C1F" w:rsidP="006C0C1F">
            <w:pPr>
              <w:pStyle w:val="E3tabletext1"/>
              <w:rPr>
                <w:rFonts w:ascii="Helvetica" w:hAnsi="Helvetica" w:cs="Helvetica"/>
              </w:rPr>
            </w:pPr>
            <w:r w:rsidRPr="0041262C">
              <w:rPr>
                <w:rFonts w:ascii="Helvetica" w:hAnsi="Helvetica" w:cs="Helvetica"/>
              </w:rPr>
              <w:t>Integral Freezer Vertical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074061"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93D9FDB"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2C2A6D80" w14:textId="77777777" w:rsidR="006C0C1F" w:rsidRPr="0041262C" w:rsidRDefault="006C0C1F" w:rsidP="006C0C1F">
            <w:pPr>
              <w:pStyle w:val="E3tabletext1"/>
              <w:rPr>
                <w:rFonts w:ascii="Helvetica" w:hAnsi="Helvetica" w:cs="Helvetica"/>
              </w:rPr>
            </w:pPr>
            <w:r w:rsidRPr="0041262C">
              <w:rPr>
                <w:rFonts w:ascii="Helvetica" w:hAnsi="Helvetica" w:cs="Helvetica"/>
              </w:rPr>
              <w:t>Vertical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72B79247" w14:textId="77777777" w:rsidR="006C0C1F" w:rsidRPr="0041262C" w:rsidRDefault="006C0C1F" w:rsidP="006C0C1F">
            <w:pPr>
              <w:pStyle w:val="E3tabletext1"/>
              <w:rPr>
                <w:rFonts w:ascii="Helvetica" w:hAnsi="Helvetica" w:cs="Helvetica"/>
              </w:rPr>
            </w:pPr>
            <w:r w:rsidRPr="0041262C">
              <w:rPr>
                <w:rFonts w:ascii="Helvetica" w:hAnsi="Helvetica" w:cs="Helvetica"/>
              </w:rPr>
              <w:t>IVF1, IVF2, IVF4 Glass door</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07739247" w14:textId="77777777" w:rsidR="006C0C1F" w:rsidRPr="0041262C" w:rsidRDefault="006C0C1F" w:rsidP="006C0C1F">
            <w:pPr>
              <w:pStyle w:val="E3tabletext1"/>
              <w:rPr>
                <w:rFonts w:ascii="Helvetica" w:hAnsi="Helvetica" w:cs="Helvetica"/>
              </w:rPr>
            </w:pPr>
            <w:r w:rsidRPr="0041262C">
              <w:rPr>
                <w:rFonts w:ascii="Helvetica" w:hAnsi="Helvetica" w:cs="Helvetica"/>
              </w:rPr>
              <w:t>IVF1, IVF2, IVF4, IYF1, IYF2, IYF3, IYF4</w:t>
            </w:r>
          </w:p>
        </w:tc>
        <w:tc>
          <w:tcPr>
            <w:tcW w:w="850" w:type="dxa"/>
            <w:tcBorders>
              <w:top w:val="single" w:sz="4" w:space="0" w:color="auto"/>
              <w:left w:val="single" w:sz="4" w:space="0" w:color="auto"/>
              <w:bottom w:val="single" w:sz="4" w:space="0" w:color="auto"/>
              <w:right w:val="single" w:sz="4" w:space="0" w:color="auto"/>
            </w:tcBorders>
            <w:vAlign w:val="center"/>
          </w:tcPr>
          <w:p w14:paraId="77BF513B" w14:textId="77777777" w:rsidR="006C0C1F" w:rsidRPr="0041262C" w:rsidRDefault="006C0C1F" w:rsidP="006C0C1F">
            <w:pPr>
              <w:pStyle w:val="E3tabletext1"/>
              <w:rPr>
                <w:rFonts w:ascii="Helvetica" w:hAnsi="Helvetica" w:cs="Helvetica"/>
              </w:rPr>
            </w:pPr>
            <w:r>
              <w:rPr>
                <w:rFonts w:ascii="Helvetica" w:hAnsi="Helvetica" w:cs="Helvetica"/>
              </w:rPr>
              <w:t>33%</w:t>
            </w:r>
          </w:p>
        </w:tc>
        <w:tc>
          <w:tcPr>
            <w:tcW w:w="856" w:type="dxa"/>
            <w:tcBorders>
              <w:top w:val="single" w:sz="4" w:space="0" w:color="auto"/>
              <w:left w:val="single" w:sz="4" w:space="0" w:color="auto"/>
              <w:bottom w:val="single" w:sz="4" w:space="0" w:color="auto"/>
              <w:right w:val="single" w:sz="4" w:space="0" w:color="auto"/>
            </w:tcBorders>
            <w:vAlign w:val="center"/>
          </w:tcPr>
          <w:p w14:paraId="019C416B" w14:textId="77777777" w:rsidR="006C0C1F" w:rsidRPr="0041262C" w:rsidRDefault="006C0C1F" w:rsidP="006C0C1F">
            <w:pPr>
              <w:pStyle w:val="E3tabletext1"/>
              <w:rPr>
                <w:rFonts w:ascii="Helvetica" w:hAnsi="Helvetica" w:cs="Helvetica"/>
              </w:rPr>
            </w:pPr>
            <w:r w:rsidRPr="0041262C">
              <w:rPr>
                <w:rFonts w:ascii="Helvetica" w:hAnsi="Helvetica" w:cs="Helvetica"/>
              </w:rPr>
              <w:t>35%</w:t>
            </w:r>
          </w:p>
        </w:tc>
      </w:tr>
      <w:tr w:rsidR="006C0C1F" w14:paraId="7D1A9459"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6FBFE8E" w14:textId="77777777" w:rsidR="006C0C1F" w:rsidRPr="0041262C" w:rsidRDefault="006C0C1F" w:rsidP="006C0C1F">
            <w:pPr>
              <w:pStyle w:val="E3tabletext1"/>
              <w:rPr>
                <w:rFonts w:ascii="Helvetica" w:hAnsi="Helvetica" w:cs="Helvetica"/>
              </w:rPr>
            </w:pPr>
            <w:r w:rsidRPr="0041262C">
              <w:rPr>
                <w:rFonts w:ascii="Helvetica" w:hAnsi="Helvetica" w:cs="Helvetica"/>
              </w:rPr>
              <w:t>7</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C617D88" w14:textId="77777777" w:rsidR="006C0C1F" w:rsidRPr="0041262C" w:rsidRDefault="006C0C1F" w:rsidP="006C0C1F">
            <w:pPr>
              <w:pStyle w:val="E3tabletext1"/>
              <w:rPr>
                <w:rFonts w:ascii="Helvetica" w:hAnsi="Helvetica" w:cs="Helvetica"/>
              </w:rPr>
            </w:pPr>
            <w:r w:rsidRPr="0041262C">
              <w:rPr>
                <w:rFonts w:ascii="Helvetica" w:hAnsi="Helvetica" w:cs="Helvetica"/>
              </w:rPr>
              <w:t>RRH</w:t>
            </w:r>
          </w:p>
          <w:p w14:paraId="63198C1E" w14:textId="77777777" w:rsidR="006C0C1F" w:rsidRPr="0041262C" w:rsidRDefault="006C0C1F" w:rsidP="006C0C1F">
            <w:pPr>
              <w:pStyle w:val="E3tabletext1"/>
              <w:rPr>
                <w:rFonts w:ascii="Helvetica" w:hAnsi="Helvetica" w:cs="Helvetica"/>
              </w:rPr>
            </w:pPr>
            <w:r w:rsidRPr="0041262C">
              <w:rPr>
                <w:rFonts w:ascii="Helvetica" w:hAnsi="Helvetica" w:cs="Helvetica"/>
              </w:rPr>
              <w:t>Remote Refrigerated Horizontal Cabinets</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6214033" w14:textId="77777777" w:rsidR="006C0C1F" w:rsidRPr="0041262C" w:rsidRDefault="006C0C1F" w:rsidP="006C0C1F">
            <w:pPr>
              <w:pStyle w:val="E3tabletext1"/>
              <w:rPr>
                <w:rFonts w:ascii="Helvetica" w:hAnsi="Helvetica" w:cs="Helvetica"/>
              </w:rPr>
            </w:pPr>
            <w:r w:rsidRPr="0041262C">
              <w:rPr>
                <w:rFonts w:ascii="Helvetica" w:hAnsi="Helvetica" w:cs="Helvetica"/>
              </w:rPr>
              <w:t xml:space="preserve">Remote Refrigerated Display Cabinets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4A8D48C" w14:textId="77777777" w:rsidR="006C0C1F" w:rsidRPr="0041262C" w:rsidRDefault="006C0C1F" w:rsidP="006C0C1F">
            <w:pPr>
              <w:pStyle w:val="E3tabletext1"/>
              <w:rPr>
                <w:rFonts w:ascii="Helvetica" w:hAnsi="Helvetica" w:cs="Helvetica"/>
              </w:rPr>
            </w:pPr>
            <w:r w:rsidRPr="0041262C">
              <w:rPr>
                <w:rFonts w:ascii="Helvetica" w:hAnsi="Helvetica" w:cs="Helvetica"/>
              </w:rPr>
              <w:t>Refrigerator</w:t>
            </w:r>
          </w:p>
        </w:tc>
        <w:tc>
          <w:tcPr>
            <w:tcW w:w="987" w:type="dxa"/>
            <w:tcBorders>
              <w:top w:val="single" w:sz="4" w:space="0" w:color="auto"/>
              <w:left w:val="single" w:sz="4" w:space="0" w:color="auto"/>
              <w:bottom w:val="single" w:sz="4" w:space="0" w:color="auto"/>
              <w:right w:val="single" w:sz="4" w:space="0" w:color="auto"/>
            </w:tcBorders>
            <w:vAlign w:val="center"/>
            <w:hideMark/>
          </w:tcPr>
          <w:p w14:paraId="7BEEC789" w14:textId="77777777" w:rsidR="006C0C1F" w:rsidRPr="0041262C" w:rsidRDefault="006C0C1F" w:rsidP="006C0C1F">
            <w:pPr>
              <w:pStyle w:val="E3tabletext1"/>
              <w:rPr>
                <w:rFonts w:ascii="Helvetica" w:hAnsi="Helvetica" w:cs="Helvetica"/>
              </w:rPr>
            </w:pPr>
            <w:r w:rsidRPr="0041262C">
              <w:rPr>
                <w:rFonts w:ascii="Helvetica" w:hAnsi="Helvetica" w:cs="Helvetica"/>
              </w:rPr>
              <w:t>Horizontal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269DA51" w14:textId="77777777" w:rsidR="006C0C1F" w:rsidRPr="0041262C" w:rsidRDefault="006C0C1F" w:rsidP="006C0C1F">
            <w:pPr>
              <w:pStyle w:val="E3tabletext1"/>
              <w:rPr>
                <w:rFonts w:ascii="Helvetica" w:hAnsi="Helvetica" w:cs="Helvetica"/>
              </w:rPr>
            </w:pPr>
            <w:r w:rsidRPr="0041262C">
              <w:rPr>
                <w:rFonts w:ascii="Helvetica" w:hAnsi="Helvetica" w:cs="Helvetica"/>
              </w:rPr>
              <w:t>RS6, RS7, RS8, RS9</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01E91F89" w14:textId="77777777" w:rsidR="006C0C1F" w:rsidRPr="0041262C" w:rsidRDefault="006C0C1F" w:rsidP="006C0C1F">
            <w:pPr>
              <w:pStyle w:val="E3tabletext1"/>
              <w:rPr>
                <w:rFonts w:ascii="Helvetica" w:hAnsi="Helvetica" w:cs="Helvetica"/>
              </w:rPr>
            </w:pPr>
            <w:r w:rsidRPr="0041262C">
              <w:rPr>
                <w:rFonts w:ascii="Helvetica" w:hAnsi="Helvetica" w:cs="Helvetica"/>
              </w:rPr>
              <w:t>RHC1, RHC2, RHC3, RHC4, RHC5, RHC6, RHC7</w:t>
            </w:r>
          </w:p>
        </w:tc>
        <w:tc>
          <w:tcPr>
            <w:tcW w:w="850" w:type="dxa"/>
            <w:tcBorders>
              <w:top w:val="single" w:sz="4" w:space="0" w:color="auto"/>
              <w:left w:val="single" w:sz="4" w:space="0" w:color="auto"/>
              <w:bottom w:val="single" w:sz="4" w:space="0" w:color="auto"/>
              <w:right w:val="single" w:sz="4" w:space="0" w:color="auto"/>
            </w:tcBorders>
            <w:vAlign w:val="center"/>
          </w:tcPr>
          <w:p w14:paraId="676B7088" w14:textId="77777777" w:rsidR="006C0C1F" w:rsidRPr="0041262C" w:rsidRDefault="006C0C1F" w:rsidP="006C0C1F">
            <w:pPr>
              <w:pStyle w:val="E3tabletext1"/>
              <w:rPr>
                <w:rFonts w:ascii="Helvetica" w:hAnsi="Helvetica" w:cs="Helvetica"/>
              </w:rPr>
            </w:pPr>
            <w:r>
              <w:rPr>
                <w:rFonts w:ascii="Helvetica" w:hAnsi="Helvetica" w:cs="Helvetica"/>
              </w:rPr>
              <w:t>44%</w:t>
            </w:r>
          </w:p>
        </w:tc>
        <w:tc>
          <w:tcPr>
            <w:tcW w:w="856" w:type="dxa"/>
            <w:tcBorders>
              <w:top w:val="single" w:sz="4" w:space="0" w:color="auto"/>
              <w:left w:val="single" w:sz="4" w:space="0" w:color="auto"/>
              <w:bottom w:val="single" w:sz="4" w:space="0" w:color="auto"/>
              <w:right w:val="single" w:sz="4" w:space="0" w:color="auto"/>
            </w:tcBorders>
            <w:vAlign w:val="center"/>
          </w:tcPr>
          <w:p w14:paraId="1FC9003B" w14:textId="77777777" w:rsidR="006C0C1F" w:rsidRPr="0041262C" w:rsidRDefault="006C0C1F" w:rsidP="006C0C1F">
            <w:pPr>
              <w:pStyle w:val="E3tabletext1"/>
              <w:rPr>
                <w:rFonts w:ascii="Helvetica" w:hAnsi="Helvetica" w:cs="Helvetica"/>
              </w:rPr>
            </w:pPr>
            <w:r w:rsidRPr="0041262C">
              <w:rPr>
                <w:rFonts w:ascii="Helvetica" w:hAnsi="Helvetica" w:cs="Helvetica"/>
              </w:rPr>
              <w:t>36%</w:t>
            </w:r>
          </w:p>
        </w:tc>
      </w:tr>
      <w:tr w:rsidR="006C0C1F" w14:paraId="1D5E0DCD"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7FBA0E05" w14:textId="77777777" w:rsidR="006C0C1F" w:rsidRPr="0041262C" w:rsidRDefault="006C0C1F" w:rsidP="006C0C1F">
            <w:pPr>
              <w:pStyle w:val="E3tabletext1"/>
              <w:rPr>
                <w:rFonts w:ascii="Helvetica" w:hAnsi="Helvetica" w:cs="Helvetica"/>
              </w:rPr>
            </w:pPr>
            <w:r w:rsidRPr="0041262C">
              <w:rPr>
                <w:rFonts w:ascii="Helvetica" w:hAnsi="Helvetica" w:cs="Helvetica"/>
              </w:rPr>
              <w:t>8</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FB8C10B" w14:textId="77777777" w:rsidR="006C0C1F" w:rsidRPr="0041262C" w:rsidRDefault="006C0C1F" w:rsidP="006C0C1F">
            <w:pPr>
              <w:pStyle w:val="E3tabletext1"/>
              <w:rPr>
                <w:rFonts w:ascii="Helvetica" w:hAnsi="Helvetica" w:cs="Helvetica"/>
              </w:rPr>
            </w:pPr>
            <w:r w:rsidRPr="0041262C">
              <w:rPr>
                <w:rFonts w:ascii="Helvetica" w:hAnsi="Helvetica" w:cs="Helvetica"/>
              </w:rPr>
              <w:t xml:space="preserve">RRV </w:t>
            </w:r>
          </w:p>
          <w:p w14:paraId="0DD273C7" w14:textId="77777777" w:rsidR="006C0C1F" w:rsidRPr="0041262C" w:rsidRDefault="006C0C1F" w:rsidP="006C0C1F">
            <w:pPr>
              <w:pStyle w:val="E3tabletext1"/>
              <w:rPr>
                <w:rFonts w:ascii="Helvetica" w:hAnsi="Helvetica" w:cs="Helvetica"/>
              </w:rPr>
            </w:pPr>
            <w:r w:rsidRPr="0041262C">
              <w:rPr>
                <w:rFonts w:ascii="Helvetica" w:hAnsi="Helvetica" w:cs="Helvetica"/>
              </w:rPr>
              <w:t>Remote Refrigerated Vertical Cabinets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DB05648"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0EB02D0"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62D7CCA9" w14:textId="77777777" w:rsidR="006C0C1F" w:rsidRPr="0041262C" w:rsidRDefault="006C0C1F" w:rsidP="006C0C1F">
            <w:pPr>
              <w:pStyle w:val="E3tabletext1"/>
              <w:rPr>
                <w:rFonts w:ascii="Helvetica" w:hAnsi="Helvetica" w:cs="Helvetica"/>
              </w:rPr>
            </w:pPr>
            <w:r w:rsidRPr="0041262C">
              <w:rPr>
                <w:rFonts w:ascii="Helvetica" w:hAnsi="Helvetica" w:cs="Helvetica"/>
              </w:rPr>
              <w:t>Vertical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0BD36D34" w14:textId="77777777" w:rsidR="006C0C1F" w:rsidRPr="0041262C" w:rsidRDefault="006C0C1F" w:rsidP="006C0C1F">
            <w:pPr>
              <w:pStyle w:val="E3tabletext1"/>
              <w:rPr>
                <w:rFonts w:ascii="Helvetica" w:hAnsi="Helvetica" w:cs="Helvetica"/>
              </w:rPr>
            </w:pPr>
            <w:r w:rsidRPr="0041262C">
              <w:rPr>
                <w:rFonts w:ascii="Helvetica" w:hAnsi="Helvetica" w:cs="Helvetica"/>
              </w:rPr>
              <w:t>RS1, RS3, RS4, RS5, RS10</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49111664" w14:textId="77777777" w:rsidR="006C0C1F" w:rsidRPr="0041262C" w:rsidRDefault="006C0C1F" w:rsidP="006C0C1F">
            <w:pPr>
              <w:pStyle w:val="E3tabletext1"/>
              <w:rPr>
                <w:rFonts w:ascii="Helvetica" w:hAnsi="Helvetica" w:cs="Helvetica"/>
              </w:rPr>
            </w:pPr>
            <w:r w:rsidRPr="0041262C">
              <w:rPr>
                <w:rFonts w:ascii="Helvetica" w:hAnsi="Helvetica" w:cs="Helvetica"/>
              </w:rPr>
              <w:t>RVC1, RVC3, RVC4, RYC1, RYC2, RYC3, RYC4</w:t>
            </w:r>
          </w:p>
        </w:tc>
        <w:tc>
          <w:tcPr>
            <w:tcW w:w="850" w:type="dxa"/>
            <w:tcBorders>
              <w:top w:val="single" w:sz="4" w:space="0" w:color="auto"/>
              <w:left w:val="single" w:sz="4" w:space="0" w:color="auto"/>
              <w:bottom w:val="single" w:sz="4" w:space="0" w:color="auto"/>
              <w:right w:val="single" w:sz="4" w:space="0" w:color="auto"/>
            </w:tcBorders>
            <w:vAlign w:val="center"/>
          </w:tcPr>
          <w:p w14:paraId="2F94E481" w14:textId="77777777" w:rsidR="006C0C1F" w:rsidRPr="0041262C" w:rsidRDefault="006C0C1F" w:rsidP="006C0C1F">
            <w:pPr>
              <w:pStyle w:val="E3tabletext1"/>
              <w:rPr>
                <w:rFonts w:ascii="Helvetica" w:hAnsi="Helvetica" w:cs="Helvetica"/>
              </w:rPr>
            </w:pPr>
            <w:r>
              <w:rPr>
                <w:rFonts w:ascii="Helvetica" w:hAnsi="Helvetica" w:cs="Helvetica"/>
              </w:rPr>
              <w:t>11%</w:t>
            </w:r>
          </w:p>
        </w:tc>
        <w:tc>
          <w:tcPr>
            <w:tcW w:w="856" w:type="dxa"/>
            <w:tcBorders>
              <w:top w:val="single" w:sz="4" w:space="0" w:color="auto"/>
              <w:left w:val="single" w:sz="4" w:space="0" w:color="auto"/>
              <w:bottom w:val="single" w:sz="4" w:space="0" w:color="auto"/>
              <w:right w:val="single" w:sz="4" w:space="0" w:color="auto"/>
            </w:tcBorders>
            <w:vAlign w:val="center"/>
          </w:tcPr>
          <w:p w14:paraId="7E0EEB19" w14:textId="77777777" w:rsidR="006C0C1F" w:rsidRPr="0041262C" w:rsidRDefault="006C0C1F" w:rsidP="006C0C1F">
            <w:pPr>
              <w:pStyle w:val="E3tabletext1"/>
              <w:rPr>
                <w:rFonts w:ascii="Helvetica" w:hAnsi="Helvetica" w:cs="Helvetica"/>
              </w:rPr>
            </w:pPr>
            <w:r w:rsidRPr="0041262C">
              <w:rPr>
                <w:rFonts w:ascii="Helvetica" w:hAnsi="Helvetica" w:cs="Helvetica"/>
              </w:rPr>
              <w:t>0%</w:t>
            </w:r>
          </w:p>
        </w:tc>
      </w:tr>
      <w:tr w:rsidR="006C0C1F" w14:paraId="5948D663"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3C4444B8" w14:textId="77777777" w:rsidR="006C0C1F" w:rsidRPr="0041262C" w:rsidRDefault="006C0C1F" w:rsidP="006C0C1F">
            <w:pPr>
              <w:pStyle w:val="E3tabletext1"/>
              <w:rPr>
                <w:rFonts w:ascii="Helvetica" w:hAnsi="Helvetica" w:cs="Helvetica"/>
              </w:rPr>
            </w:pPr>
            <w:r w:rsidRPr="0041262C">
              <w:rPr>
                <w:rFonts w:ascii="Helvetica" w:hAnsi="Helvetica" w:cs="Helvetica"/>
              </w:rPr>
              <w:t>9</w:t>
            </w:r>
          </w:p>
        </w:tc>
        <w:tc>
          <w:tcPr>
            <w:tcW w:w="1564" w:type="dxa"/>
            <w:tcBorders>
              <w:top w:val="single" w:sz="4" w:space="0" w:color="auto"/>
              <w:left w:val="single" w:sz="4" w:space="0" w:color="auto"/>
              <w:bottom w:val="single" w:sz="4" w:space="0" w:color="auto"/>
              <w:right w:val="single" w:sz="4" w:space="0" w:color="auto"/>
            </w:tcBorders>
            <w:vAlign w:val="center"/>
            <w:hideMark/>
          </w:tcPr>
          <w:p w14:paraId="220D191E" w14:textId="77777777" w:rsidR="006C0C1F" w:rsidRPr="0041262C" w:rsidRDefault="006C0C1F" w:rsidP="006C0C1F">
            <w:pPr>
              <w:pStyle w:val="E3tabletext1"/>
              <w:rPr>
                <w:rFonts w:ascii="Helvetica" w:hAnsi="Helvetica" w:cs="Helvetica"/>
              </w:rPr>
            </w:pPr>
            <w:r w:rsidRPr="0041262C">
              <w:rPr>
                <w:rFonts w:ascii="Helvetica" w:hAnsi="Helvetica" w:cs="Helvetica"/>
              </w:rPr>
              <w:t>RRV-2</w:t>
            </w:r>
          </w:p>
          <w:p w14:paraId="6B89584E" w14:textId="77777777" w:rsidR="006C0C1F" w:rsidRPr="0041262C" w:rsidRDefault="006C0C1F" w:rsidP="006C0C1F">
            <w:pPr>
              <w:pStyle w:val="E3tabletext1"/>
              <w:rPr>
                <w:rFonts w:ascii="Helvetica" w:hAnsi="Helvetica" w:cs="Helvetica"/>
              </w:rPr>
            </w:pPr>
            <w:r w:rsidRPr="0041262C">
              <w:rPr>
                <w:rFonts w:ascii="Helvetica" w:hAnsi="Helvetica" w:cs="Helvetica"/>
              </w:rPr>
              <w:t>Remote Refrigerated Vertical Cabinet, open, medium  temp</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F0DA253"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18F28B"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6D1D6E4C"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D1D5578" w14:textId="77777777" w:rsidR="006C0C1F" w:rsidRPr="0041262C" w:rsidRDefault="006C0C1F" w:rsidP="006C0C1F">
            <w:pPr>
              <w:pStyle w:val="E3tabletext1"/>
              <w:rPr>
                <w:rFonts w:ascii="Helvetica" w:hAnsi="Helvetica" w:cs="Helvetica"/>
              </w:rPr>
            </w:pPr>
            <w:r w:rsidRPr="0041262C">
              <w:rPr>
                <w:rFonts w:ascii="Helvetica" w:hAnsi="Helvetica" w:cs="Helvetica"/>
              </w:rPr>
              <w:t>RS2</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096499D0" w14:textId="77777777" w:rsidR="006C0C1F" w:rsidRPr="0041262C" w:rsidRDefault="006C0C1F" w:rsidP="006C0C1F">
            <w:pPr>
              <w:pStyle w:val="E3tabletext1"/>
              <w:rPr>
                <w:rFonts w:ascii="Helvetica" w:hAnsi="Helvetica" w:cs="Helvetica"/>
              </w:rPr>
            </w:pPr>
            <w:r w:rsidRPr="0041262C">
              <w:rPr>
                <w:rFonts w:ascii="Helvetica" w:hAnsi="Helvetica" w:cs="Helvetica"/>
              </w:rPr>
              <w:t>RVC2</w:t>
            </w:r>
          </w:p>
        </w:tc>
        <w:tc>
          <w:tcPr>
            <w:tcW w:w="850" w:type="dxa"/>
            <w:tcBorders>
              <w:top w:val="single" w:sz="4" w:space="0" w:color="auto"/>
              <w:left w:val="single" w:sz="4" w:space="0" w:color="auto"/>
              <w:bottom w:val="single" w:sz="4" w:space="0" w:color="auto"/>
              <w:right w:val="single" w:sz="4" w:space="0" w:color="auto"/>
            </w:tcBorders>
            <w:vAlign w:val="center"/>
          </w:tcPr>
          <w:p w14:paraId="736D8365" w14:textId="77777777" w:rsidR="006C0C1F" w:rsidRPr="0041262C" w:rsidRDefault="006C0C1F" w:rsidP="006C0C1F">
            <w:pPr>
              <w:pStyle w:val="E3tabletext1"/>
              <w:rPr>
                <w:rFonts w:ascii="Helvetica" w:hAnsi="Helvetica" w:cs="Helvetica"/>
              </w:rPr>
            </w:pPr>
            <w:r>
              <w:rPr>
                <w:rFonts w:ascii="Helvetica" w:hAnsi="Helvetica" w:cs="Helvetica"/>
              </w:rPr>
              <w:t>6%</w:t>
            </w:r>
          </w:p>
        </w:tc>
        <w:tc>
          <w:tcPr>
            <w:tcW w:w="856" w:type="dxa"/>
            <w:tcBorders>
              <w:top w:val="single" w:sz="4" w:space="0" w:color="auto"/>
              <w:left w:val="single" w:sz="4" w:space="0" w:color="auto"/>
              <w:bottom w:val="single" w:sz="4" w:space="0" w:color="auto"/>
              <w:right w:val="single" w:sz="4" w:space="0" w:color="auto"/>
            </w:tcBorders>
            <w:vAlign w:val="center"/>
          </w:tcPr>
          <w:p w14:paraId="4B56BACB" w14:textId="77777777" w:rsidR="006C0C1F" w:rsidRPr="0041262C" w:rsidRDefault="006C0C1F" w:rsidP="006C0C1F">
            <w:pPr>
              <w:pStyle w:val="E3tabletext1"/>
              <w:rPr>
                <w:rFonts w:ascii="Helvetica" w:hAnsi="Helvetica" w:cs="Helvetica"/>
              </w:rPr>
            </w:pPr>
            <w:r w:rsidRPr="0041262C">
              <w:rPr>
                <w:rFonts w:ascii="Helvetica" w:hAnsi="Helvetica" w:cs="Helvetica"/>
              </w:rPr>
              <w:t>0%</w:t>
            </w:r>
          </w:p>
        </w:tc>
      </w:tr>
      <w:tr w:rsidR="006C0C1F" w14:paraId="6319A5A3"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A55693B" w14:textId="77777777" w:rsidR="006C0C1F" w:rsidRPr="0041262C" w:rsidRDefault="006C0C1F" w:rsidP="006C0C1F">
            <w:pPr>
              <w:pStyle w:val="E3tabletext1"/>
              <w:rPr>
                <w:rFonts w:ascii="Helvetica" w:hAnsi="Helvetica" w:cs="Helvetica"/>
              </w:rPr>
            </w:pPr>
            <w:r w:rsidRPr="0041262C">
              <w:rPr>
                <w:rFonts w:ascii="Helvetica" w:hAnsi="Helvetica" w:cs="Helvetica"/>
              </w:rPr>
              <w:t>10</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9B2F166" w14:textId="77777777" w:rsidR="006C0C1F" w:rsidRPr="0041262C" w:rsidRDefault="006C0C1F" w:rsidP="006C0C1F">
            <w:pPr>
              <w:pStyle w:val="E3tabletext1"/>
              <w:rPr>
                <w:rFonts w:ascii="Helvetica" w:hAnsi="Helvetica" w:cs="Helvetica"/>
              </w:rPr>
            </w:pPr>
            <w:r w:rsidRPr="0041262C">
              <w:rPr>
                <w:rFonts w:ascii="Helvetica" w:hAnsi="Helvetica" w:cs="Helvetica"/>
              </w:rPr>
              <w:t>RFH</w:t>
            </w:r>
          </w:p>
          <w:p w14:paraId="00E39E4A" w14:textId="77777777" w:rsidR="006C0C1F" w:rsidRPr="0041262C" w:rsidRDefault="006C0C1F" w:rsidP="006C0C1F">
            <w:pPr>
              <w:pStyle w:val="E3tabletext1"/>
              <w:rPr>
                <w:rFonts w:ascii="Helvetica" w:hAnsi="Helvetica" w:cs="Helvetica"/>
              </w:rPr>
            </w:pPr>
            <w:r w:rsidRPr="0041262C">
              <w:rPr>
                <w:rFonts w:ascii="Helvetica" w:hAnsi="Helvetica" w:cs="Helvetica"/>
              </w:rPr>
              <w:t>Remote Freezer Horizontal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73C3441"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BAD845F" w14:textId="77777777" w:rsidR="006C0C1F" w:rsidRPr="0041262C" w:rsidRDefault="006C0C1F" w:rsidP="006C0C1F">
            <w:pPr>
              <w:pStyle w:val="E3tabletext1"/>
              <w:rPr>
                <w:rFonts w:ascii="Helvetica" w:hAnsi="Helvetica" w:cs="Helvetica"/>
              </w:rPr>
            </w:pPr>
            <w:r w:rsidRPr="0041262C">
              <w:rPr>
                <w:rFonts w:ascii="Helvetica" w:hAnsi="Helvetica" w:cs="Helvetica"/>
              </w:rPr>
              <w:t>Freezer</w:t>
            </w:r>
          </w:p>
        </w:tc>
        <w:tc>
          <w:tcPr>
            <w:tcW w:w="987" w:type="dxa"/>
            <w:tcBorders>
              <w:top w:val="single" w:sz="4" w:space="0" w:color="auto"/>
              <w:left w:val="single" w:sz="4" w:space="0" w:color="auto"/>
              <w:bottom w:val="single" w:sz="4" w:space="0" w:color="auto"/>
              <w:right w:val="single" w:sz="4" w:space="0" w:color="auto"/>
            </w:tcBorders>
            <w:vAlign w:val="center"/>
            <w:hideMark/>
          </w:tcPr>
          <w:p w14:paraId="6ABBFEE2" w14:textId="77777777" w:rsidR="006C0C1F" w:rsidRPr="0041262C" w:rsidRDefault="006C0C1F" w:rsidP="006C0C1F">
            <w:pPr>
              <w:pStyle w:val="E3tabletext1"/>
              <w:rPr>
                <w:rFonts w:ascii="Helvetica" w:hAnsi="Helvetica" w:cs="Helvetica"/>
              </w:rPr>
            </w:pPr>
            <w:r w:rsidRPr="0041262C">
              <w:rPr>
                <w:rFonts w:ascii="Helvetica" w:hAnsi="Helvetica" w:cs="Helvetica"/>
              </w:rPr>
              <w:t>Horizontal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492E2427" w14:textId="77777777" w:rsidR="006C0C1F" w:rsidRPr="0041262C" w:rsidRDefault="006C0C1F" w:rsidP="006C0C1F">
            <w:pPr>
              <w:pStyle w:val="E3tabletext1"/>
              <w:rPr>
                <w:rFonts w:ascii="Helvetica" w:hAnsi="Helvetica" w:cs="Helvetica"/>
              </w:rPr>
            </w:pPr>
            <w:r w:rsidRPr="0041262C">
              <w:rPr>
                <w:rFonts w:ascii="Helvetica" w:hAnsi="Helvetica" w:cs="Helvetica"/>
              </w:rPr>
              <w:t>RS13, RS14,</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0A2DD645" w14:textId="77777777" w:rsidR="006C0C1F" w:rsidRPr="0041262C" w:rsidRDefault="006C0C1F" w:rsidP="006C0C1F">
            <w:pPr>
              <w:pStyle w:val="E3tabletext1"/>
              <w:rPr>
                <w:rFonts w:ascii="Helvetica" w:hAnsi="Helvetica" w:cs="Helvetica"/>
              </w:rPr>
            </w:pPr>
            <w:r w:rsidRPr="0041262C">
              <w:rPr>
                <w:rFonts w:ascii="Helvetica" w:hAnsi="Helvetica" w:cs="Helvetica"/>
              </w:rPr>
              <w:t>RHF1, RHF3, RHF4, RHF5, RHF6, RHF7</w:t>
            </w:r>
          </w:p>
        </w:tc>
        <w:tc>
          <w:tcPr>
            <w:tcW w:w="850" w:type="dxa"/>
            <w:tcBorders>
              <w:top w:val="single" w:sz="4" w:space="0" w:color="auto"/>
              <w:left w:val="single" w:sz="4" w:space="0" w:color="auto"/>
              <w:bottom w:val="single" w:sz="4" w:space="0" w:color="auto"/>
              <w:right w:val="single" w:sz="4" w:space="0" w:color="auto"/>
            </w:tcBorders>
            <w:vAlign w:val="center"/>
          </w:tcPr>
          <w:p w14:paraId="1B81D056" w14:textId="77777777" w:rsidR="006C0C1F" w:rsidRPr="0041262C" w:rsidRDefault="006C0C1F" w:rsidP="006C0C1F">
            <w:pPr>
              <w:pStyle w:val="E3tabletext1"/>
              <w:rPr>
                <w:rFonts w:ascii="Helvetica" w:hAnsi="Helvetica" w:cs="Helvetica"/>
              </w:rPr>
            </w:pPr>
            <w:r>
              <w:rPr>
                <w:rFonts w:ascii="Helvetica" w:hAnsi="Helvetica" w:cs="Helvetica"/>
              </w:rPr>
              <w:t>25%</w:t>
            </w:r>
          </w:p>
        </w:tc>
        <w:tc>
          <w:tcPr>
            <w:tcW w:w="856" w:type="dxa"/>
            <w:tcBorders>
              <w:top w:val="single" w:sz="4" w:space="0" w:color="auto"/>
              <w:left w:val="single" w:sz="4" w:space="0" w:color="auto"/>
              <w:bottom w:val="single" w:sz="4" w:space="0" w:color="auto"/>
              <w:right w:val="single" w:sz="4" w:space="0" w:color="auto"/>
            </w:tcBorders>
            <w:vAlign w:val="center"/>
          </w:tcPr>
          <w:p w14:paraId="5E2240B7" w14:textId="77777777" w:rsidR="006C0C1F" w:rsidRPr="0041262C" w:rsidRDefault="006C0C1F" w:rsidP="006C0C1F">
            <w:pPr>
              <w:pStyle w:val="E3tabletext1"/>
              <w:rPr>
                <w:rFonts w:ascii="Helvetica" w:hAnsi="Helvetica" w:cs="Helvetica"/>
              </w:rPr>
            </w:pPr>
            <w:r w:rsidRPr="0041262C">
              <w:rPr>
                <w:rFonts w:ascii="Helvetica" w:hAnsi="Helvetica" w:cs="Helvetica"/>
              </w:rPr>
              <w:t>11%</w:t>
            </w:r>
          </w:p>
        </w:tc>
      </w:tr>
      <w:tr w:rsidR="006C0C1F" w14:paraId="518979D2"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69F45367" w14:textId="77777777" w:rsidR="006C0C1F" w:rsidRPr="0041262C" w:rsidRDefault="006C0C1F" w:rsidP="006C0C1F">
            <w:pPr>
              <w:pStyle w:val="E3tabletext1"/>
              <w:rPr>
                <w:rFonts w:ascii="Helvetica" w:hAnsi="Helvetica" w:cs="Helvetica"/>
              </w:rPr>
            </w:pPr>
            <w:r w:rsidRPr="0041262C">
              <w:rPr>
                <w:rFonts w:ascii="Helvetica" w:hAnsi="Helvetica" w:cs="Helvetica"/>
              </w:rPr>
              <w:t>11</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D30738D" w14:textId="77777777" w:rsidR="006C0C1F" w:rsidRPr="0041262C" w:rsidRDefault="006C0C1F" w:rsidP="006C0C1F">
            <w:pPr>
              <w:pStyle w:val="E3tabletext1"/>
              <w:rPr>
                <w:rFonts w:ascii="Helvetica" w:hAnsi="Helvetica" w:cs="Helvetica"/>
              </w:rPr>
            </w:pPr>
            <w:r w:rsidRPr="0041262C">
              <w:rPr>
                <w:rFonts w:ascii="Helvetica" w:hAnsi="Helvetica" w:cs="Helvetica"/>
              </w:rPr>
              <w:t>RFV</w:t>
            </w:r>
          </w:p>
          <w:p w14:paraId="26CDDFF6" w14:textId="77777777" w:rsidR="006C0C1F" w:rsidRPr="0041262C" w:rsidRDefault="006C0C1F" w:rsidP="006C0C1F">
            <w:pPr>
              <w:pStyle w:val="E3tabletext1"/>
              <w:rPr>
                <w:rFonts w:ascii="Helvetica" w:hAnsi="Helvetica" w:cs="Helvetica"/>
              </w:rPr>
            </w:pPr>
            <w:r w:rsidRPr="0041262C">
              <w:rPr>
                <w:rFonts w:ascii="Helvetica" w:hAnsi="Helvetica" w:cs="Helvetica"/>
              </w:rPr>
              <w:t>Remote Freezer Vertical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3159DE2"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F56C5D0"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2EEF86D1" w14:textId="77777777" w:rsidR="006C0C1F" w:rsidRPr="0041262C" w:rsidRDefault="006C0C1F" w:rsidP="006C0C1F">
            <w:pPr>
              <w:pStyle w:val="E3tabletext1"/>
              <w:rPr>
                <w:rFonts w:ascii="Helvetica" w:hAnsi="Helvetica" w:cs="Helvetica"/>
              </w:rPr>
            </w:pPr>
            <w:r w:rsidRPr="0041262C">
              <w:rPr>
                <w:rFonts w:ascii="Helvetica" w:hAnsi="Helvetica" w:cs="Helvetica"/>
              </w:rPr>
              <w:t>Vertical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3613D9FE" w14:textId="77777777" w:rsidR="006C0C1F" w:rsidRPr="0041262C" w:rsidRDefault="006C0C1F" w:rsidP="006C0C1F">
            <w:pPr>
              <w:pStyle w:val="E3tabletext1"/>
              <w:rPr>
                <w:rFonts w:ascii="Helvetica" w:hAnsi="Helvetica" w:cs="Helvetica"/>
              </w:rPr>
            </w:pPr>
            <w:r w:rsidRPr="0041262C">
              <w:rPr>
                <w:rFonts w:ascii="Helvetica" w:hAnsi="Helvetica" w:cs="Helvetica"/>
              </w:rPr>
              <w:t>RS11, RS12, RS15, RS16, RS17, RS18, RS19, RS20</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329EA57D" w14:textId="77777777" w:rsidR="006C0C1F" w:rsidRPr="0041262C" w:rsidRDefault="006C0C1F" w:rsidP="006C0C1F">
            <w:pPr>
              <w:pStyle w:val="E3tabletext1"/>
              <w:rPr>
                <w:rFonts w:ascii="Helvetica" w:hAnsi="Helvetica" w:cs="Helvetica"/>
              </w:rPr>
            </w:pPr>
            <w:r w:rsidRPr="0041262C">
              <w:rPr>
                <w:rFonts w:ascii="Helvetica" w:hAnsi="Helvetica" w:cs="Helvetica"/>
              </w:rPr>
              <w:t>RVF1, RVF2, RVF4, RYF1, RYF2, RYF3, RYF4</w:t>
            </w:r>
          </w:p>
        </w:tc>
        <w:tc>
          <w:tcPr>
            <w:tcW w:w="850" w:type="dxa"/>
            <w:tcBorders>
              <w:top w:val="single" w:sz="4" w:space="0" w:color="auto"/>
              <w:left w:val="single" w:sz="4" w:space="0" w:color="auto"/>
              <w:bottom w:val="single" w:sz="4" w:space="0" w:color="auto"/>
              <w:right w:val="single" w:sz="4" w:space="0" w:color="auto"/>
            </w:tcBorders>
            <w:vAlign w:val="center"/>
          </w:tcPr>
          <w:p w14:paraId="0B3F7971" w14:textId="77777777" w:rsidR="006C0C1F" w:rsidRPr="0041262C" w:rsidRDefault="006C0C1F" w:rsidP="006C0C1F">
            <w:pPr>
              <w:pStyle w:val="E3tabletext1"/>
              <w:rPr>
                <w:rFonts w:ascii="Helvetica" w:hAnsi="Helvetica" w:cs="Helvetica"/>
              </w:rPr>
            </w:pPr>
            <w:r>
              <w:rPr>
                <w:rFonts w:ascii="Helvetica" w:hAnsi="Helvetica" w:cs="Helvetica"/>
              </w:rPr>
              <w:t>29%</w:t>
            </w:r>
          </w:p>
        </w:tc>
        <w:tc>
          <w:tcPr>
            <w:tcW w:w="856" w:type="dxa"/>
            <w:tcBorders>
              <w:top w:val="single" w:sz="4" w:space="0" w:color="auto"/>
              <w:left w:val="single" w:sz="4" w:space="0" w:color="auto"/>
              <w:bottom w:val="single" w:sz="4" w:space="0" w:color="auto"/>
              <w:right w:val="single" w:sz="4" w:space="0" w:color="auto"/>
            </w:tcBorders>
            <w:vAlign w:val="center"/>
          </w:tcPr>
          <w:p w14:paraId="1D228D0A" w14:textId="77777777" w:rsidR="006C0C1F" w:rsidRPr="0041262C" w:rsidRDefault="006C0C1F" w:rsidP="006C0C1F">
            <w:pPr>
              <w:pStyle w:val="E3tabletext1"/>
              <w:rPr>
                <w:rFonts w:ascii="Helvetica" w:hAnsi="Helvetica" w:cs="Helvetica"/>
              </w:rPr>
            </w:pPr>
            <w:r w:rsidRPr="0041262C">
              <w:rPr>
                <w:rFonts w:ascii="Helvetica" w:hAnsi="Helvetica" w:cs="Helvetica"/>
              </w:rPr>
              <w:t>3%</w:t>
            </w:r>
          </w:p>
        </w:tc>
      </w:tr>
      <w:tr w:rsidR="006C0C1F" w14:paraId="1A76A876"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2213482E" w14:textId="77777777" w:rsidR="006C0C1F" w:rsidRPr="0041262C" w:rsidRDefault="006C0C1F" w:rsidP="006C0C1F">
            <w:pPr>
              <w:pStyle w:val="E3tabletext1"/>
              <w:rPr>
                <w:rFonts w:ascii="Helvetica" w:hAnsi="Helvetica" w:cs="Helvetica"/>
              </w:rPr>
            </w:pPr>
            <w:r w:rsidRPr="0041262C">
              <w:rPr>
                <w:rFonts w:ascii="Helvetica" w:hAnsi="Helvetica" w:cs="Helvetica"/>
              </w:rPr>
              <w:t>12</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8C4CCD9" w14:textId="77777777" w:rsidR="006C0C1F" w:rsidRPr="0041262C" w:rsidRDefault="006C0C1F" w:rsidP="006C0C1F">
            <w:pPr>
              <w:pStyle w:val="E3tabletext1"/>
              <w:rPr>
                <w:rFonts w:ascii="Helvetica" w:hAnsi="Helvetica" w:cs="Helvetica"/>
              </w:rPr>
            </w:pPr>
            <w:r w:rsidRPr="0041262C">
              <w:rPr>
                <w:rFonts w:ascii="Helvetica" w:hAnsi="Helvetica" w:cs="Helvetica"/>
              </w:rPr>
              <w:t>SRH</w:t>
            </w:r>
          </w:p>
          <w:p w14:paraId="10F38D42" w14:textId="77777777" w:rsidR="006C0C1F" w:rsidRPr="0041262C" w:rsidRDefault="006C0C1F" w:rsidP="006C0C1F">
            <w:pPr>
              <w:pStyle w:val="E3tabletext1"/>
              <w:rPr>
                <w:rFonts w:ascii="Helvetica" w:hAnsi="Helvetica" w:cs="Helvetica"/>
              </w:rPr>
            </w:pPr>
            <w:r w:rsidRPr="0041262C">
              <w:rPr>
                <w:rFonts w:ascii="Helvetica" w:hAnsi="Helvetica" w:cs="Helvetica"/>
              </w:rPr>
              <w:t>Service Cabinet, refrigerated Horizontal with solid door</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A7ECA15" w14:textId="77777777" w:rsidR="006C0C1F" w:rsidRPr="0041262C" w:rsidRDefault="006C0C1F" w:rsidP="006C0C1F">
            <w:pPr>
              <w:pStyle w:val="E3tabletext1"/>
              <w:rPr>
                <w:rFonts w:ascii="Helvetica" w:hAnsi="Helvetica" w:cs="Helvetica"/>
              </w:rPr>
            </w:pPr>
            <w:r w:rsidRPr="0041262C">
              <w:rPr>
                <w:rFonts w:ascii="Helvetica" w:hAnsi="Helvetica" w:cs="Helvetica"/>
              </w:rPr>
              <w:t xml:space="preserve">Integral Refrigerated Storage cabinet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D1B6ECF" w14:textId="77777777" w:rsidR="006C0C1F" w:rsidRPr="0041262C" w:rsidRDefault="006C0C1F" w:rsidP="006C0C1F">
            <w:pPr>
              <w:pStyle w:val="E3tabletext1"/>
              <w:rPr>
                <w:rFonts w:ascii="Helvetica" w:hAnsi="Helvetica" w:cs="Helvetica"/>
              </w:rPr>
            </w:pPr>
            <w:r w:rsidRPr="0041262C">
              <w:rPr>
                <w:rFonts w:ascii="Helvetica" w:hAnsi="Helvetica" w:cs="Helvetica"/>
              </w:rPr>
              <w:t>Refrigerator</w:t>
            </w:r>
          </w:p>
        </w:tc>
        <w:tc>
          <w:tcPr>
            <w:tcW w:w="987" w:type="dxa"/>
            <w:tcBorders>
              <w:top w:val="single" w:sz="4" w:space="0" w:color="auto"/>
              <w:left w:val="single" w:sz="4" w:space="0" w:color="auto"/>
              <w:bottom w:val="single" w:sz="4" w:space="0" w:color="auto"/>
              <w:right w:val="single" w:sz="4" w:space="0" w:color="auto"/>
            </w:tcBorders>
            <w:vAlign w:val="center"/>
            <w:hideMark/>
          </w:tcPr>
          <w:p w14:paraId="4076B33F" w14:textId="77777777" w:rsidR="006C0C1F" w:rsidRPr="0041262C" w:rsidRDefault="006C0C1F" w:rsidP="006C0C1F">
            <w:pPr>
              <w:pStyle w:val="E3tabletext1"/>
              <w:rPr>
                <w:rFonts w:ascii="Helvetica" w:hAnsi="Helvetica" w:cs="Helvetica"/>
              </w:rPr>
            </w:pPr>
            <w:r w:rsidRPr="0041262C">
              <w:rPr>
                <w:rFonts w:ascii="Helvetica" w:hAnsi="Helvetica" w:cs="Helvetica"/>
              </w:rPr>
              <w:t>Counter (Horizontal)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24C74CA2" w14:textId="77777777" w:rsidR="006C0C1F" w:rsidRPr="0041262C" w:rsidRDefault="006C0C1F" w:rsidP="006C0C1F">
            <w:pPr>
              <w:pStyle w:val="E3tabletext1"/>
              <w:rPr>
                <w:rFonts w:ascii="Helvetica" w:hAnsi="Helvetica" w:cs="Helvetica"/>
              </w:rPr>
            </w:pPr>
            <w:r w:rsidRPr="0041262C">
              <w:rPr>
                <w:rFonts w:ascii="Helvetica" w:hAnsi="Helvetica" w:cs="Helvetica"/>
              </w:rPr>
              <w:t>No equivalent registered</w:t>
            </w:r>
          </w:p>
        </w:tc>
        <w:tc>
          <w:tcPr>
            <w:tcW w:w="127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CD3A70A" w14:textId="77777777" w:rsidR="006C0C1F" w:rsidRPr="0041262C" w:rsidRDefault="006C0C1F" w:rsidP="006C0C1F">
            <w:pPr>
              <w:pStyle w:val="E3tabletext1"/>
              <w:rPr>
                <w:rFonts w:ascii="Helvetica" w:hAnsi="Helvetica" w:cs="Helvetica"/>
              </w:rPr>
            </w:pPr>
            <w:r w:rsidRPr="0041262C">
              <w:rPr>
                <w:rFonts w:ascii="Helvetica" w:hAnsi="Helvetica" w:cs="Helvetica"/>
              </w:rPr>
              <w:t>Storage cabinet types are defined into four categories (but not classified by the technical standards yet)</w:t>
            </w:r>
          </w:p>
        </w:tc>
        <w:tc>
          <w:tcPr>
            <w:tcW w:w="850" w:type="dxa"/>
            <w:tcBorders>
              <w:top w:val="single" w:sz="4" w:space="0" w:color="auto"/>
              <w:left w:val="single" w:sz="4" w:space="0" w:color="auto"/>
              <w:bottom w:val="single" w:sz="4" w:space="0" w:color="auto"/>
              <w:right w:val="single" w:sz="4" w:space="0" w:color="auto"/>
            </w:tcBorders>
            <w:vAlign w:val="center"/>
          </w:tcPr>
          <w:p w14:paraId="2EBBE959" w14:textId="77777777" w:rsidR="006C0C1F" w:rsidRPr="0041262C" w:rsidRDefault="006C0C1F" w:rsidP="006C0C1F">
            <w:pPr>
              <w:pStyle w:val="E3tabletext1"/>
              <w:rPr>
                <w:rFonts w:ascii="Helvetica" w:hAnsi="Helvetica" w:cs="Helvetica"/>
              </w:rPr>
            </w:pPr>
            <w:r>
              <w:rPr>
                <w:rFonts w:ascii="Helvetica" w:hAnsi="Helvetica" w:cs="Helvetica"/>
              </w:rPr>
              <w:t>NA</w:t>
            </w:r>
          </w:p>
        </w:tc>
        <w:tc>
          <w:tcPr>
            <w:tcW w:w="856" w:type="dxa"/>
            <w:tcBorders>
              <w:top w:val="single" w:sz="4" w:space="0" w:color="auto"/>
              <w:left w:val="single" w:sz="4" w:space="0" w:color="auto"/>
              <w:bottom w:val="single" w:sz="4" w:space="0" w:color="auto"/>
              <w:right w:val="single" w:sz="4" w:space="0" w:color="auto"/>
            </w:tcBorders>
            <w:vAlign w:val="center"/>
          </w:tcPr>
          <w:p w14:paraId="79F3D671" w14:textId="77777777" w:rsidR="006C0C1F" w:rsidRPr="0041262C" w:rsidRDefault="006C0C1F" w:rsidP="006C0C1F">
            <w:pPr>
              <w:pStyle w:val="E3tabletext1"/>
              <w:rPr>
                <w:rFonts w:ascii="Helvetica" w:hAnsi="Helvetica" w:cs="Helvetica"/>
              </w:rPr>
            </w:pPr>
            <w:r w:rsidRPr="0041262C">
              <w:rPr>
                <w:rFonts w:ascii="Helvetica" w:hAnsi="Helvetica" w:cs="Helvetica"/>
              </w:rPr>
              <w:t>NA</w:t>
            </w:r>
          </w:p>
        </w:tc>
      </w:tr>
      <w:tr w:rsidR="006C0C1F" w14:paraId="387A2775"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52970A3" w14:textId="77777777" w:rsidR="006C0C1F" w:rsidRPr="0041262C" w:rsidRDefault="006C0C1F" w:rsidP="006C0C1F">
            <w:pPr>
              <w:pStyle w:val="E3tabletext1"/>
              <w:rPr>
                <w:rFonts w:ascii="Helvetica" w:hAnsi="Helvetica" w:cs="Helvetica"/>
              </w:rPr>
            </w:pPr>
            <w:r w:rsidRPr="0041262C">
              <w:rPr>
                <w:rFonts w:ascii="Helvetica" w:hAnsi="Helvetica" w:cs="Helvetica"/>
              </w:rPr>
              <w:t>13</w:t>
            </w:r>
          </w:p>
        </w:tc>
        <w:tc>
          <w:tcPr>
            <w:tcW w:w="1564" w:type="dxa"/>
            <w:tcBorders>
              <w:top w:val="single" w:sz="4" w:space="0" w:color="auto"/>
              <w:left w:val="single" w:sz="4" w:space="0" w:color="auto"/>
              <w:bottom w:val="single" w:sz="4" w:space="0" w:color="auto"/>
              <w:right w:val="single" w:sz="4" w:space="0" w:color="auto"/>
            </w:tcBorders>
            <w:vAlign w:val="center"/>
            <w:hideMark/>
          </w:tcPr>
          <w:p w14:paraId="31D2F8C7" w14:textId="77777777" w:rsidR="006C0C1F" w:rsidRPr="0041262C" w:rsidRDefault="006C0C1F" w:rsidP="006C0C1F">
            <w:pPr>
              <w:pStyle w:val="E3tabletext1"/>
              <w:rPr>
                <w:rFonts w:ascii="Helvetica" w:hAnsi="Helvetica" w:cs="Helvetica"/>
              </w:rPr>
            </w:pPr>
            <w:r w:rsidRPr="0041262C">
              <w:rPr>
                <w:rFonts w:ascii="Helvetica" w:hAnsi="Helvetica" w:cs="Helvetica"/>
              </w:rPr>
              <w:t>SRV</w:t>
            </w:r>
          </w:p>
          <w:p w14:paraId="059EC2CA" w14:textId="77777777" w:rsidR="006C0C1F" w:rsidRPr="0041262C" w:rsidRDefault="006C0C1F" w:rsidP="006C0C1F">
            <w:pPr>
              <w:pStyle w:val="E3tabletext1"/>
              <w:rPr>
                <w:rFonts w:ascii="Helvetica" w:hAnsi="Helvetica" w:cs="Helvetica"/>
              </w:rPr>
            </w:pPr>
            <w:r w:rsidRPr="0041262C">
              <w:rPr>
                <w:rFonts w:ascii="Helvetica" w:hAnsi="Helvetica" w:cs="Helvetica"/>
              </w:rPr>
              <w:t>Service Cabinet, Refrigerated, Vertical with solid door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A3605A"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4B4338A"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0029FC9E" w14:textId="77777777" w:rsidR="006C0C1F" w:rsidRPr="0041262C" w:rsidRDefault="006C0C1F" w:rsidP="006C0C1F">
            <w:pPr>
              <w:pStyle w:val="E3tabletext1"/>
              <w:rPr>
                <w:rFonts w:ascii="Helvetica" w:hAnsi="Helvetica" w:cs="Helvetica"/>
              </w:rPr>
            </w:pPr>
            <w:r w:rsidRPr="0041262C">
              <w:rPr>
                <w:rFonts w:ascii="Helvetica" w:hAnsi="Helvetica" w:cs="Helvetica"/>
              </w:rPr>
              <w:t>Vertical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65CCF7D0" w14:textId="77777777" w:rsidR="006C0C1F" w:rsidRPr="0041262C" w:rsidRDefault="006C0C1F" w:rsidP="006C0C1F">
            <w:pPr>
              <w:pStyle w:val="E3tabletext1"/>
              <w:rPr>
                <w:rFonts w:ascii="Helvetica" w:hAnsi="Helvetica" w:cs="Helvetica"/>
              </w:rPr>
            </w:pPr>
            <w:r w:rsidRPr="0041262C">
              <w:rPr>
                <w:rFonts w:ascii="Helvetica" w:hAnsi="Helvetica" w:cs="Helvetica"/>
              </w:rPr>
              <w:t xml:space="preserve">IVC4 Solid door </w:t>
            </w:r>
            <w:r w:rsidRPr="0041262C">
              <w:rPr>
                <w:rFonts w:ascii="Helvetica" w:hAnsi="Helvetica" w:cs="Helvetica"/>
              </w:rPr>
              <w:br/>
              <w:t xml:space="preserve">M1 &amp; M2 </w:t>
            </w:r>
            <w:r w:rsidRPr="0041262C">
              <w:rPr>
                <w:rFonts w:ascii="Helvetica" w:hAnsi="Helvetica" w:cs="Helvetica"/>
              </w:rPr>
              <w:br/>
            </w: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034BCC2C"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850" w:type="dxa"/>
            <w:tcBorders>
              <w:top w:val="single" w:sz="4" w:space="0" w:color="auto"/>
              <w:left w:val="single" w:sz="4" w:space="0" w:color="auto"/>
              <w:bottom w:val="single" w:sz="4" w:space="0" w:color="auto"/>
              <w:right w:val="single" w:sz="4" w:space="0" w:color="auto"/>
            </w:tcBorders>
            <w:vAlign w:val="center"/>
          </w:tcPr>
          <w:p w14:paraId="0DE45B2D" w14:textId="77777777" w:rsidR="006C0C1F" w:rsidRPr="0041262C" w:rsidRDefault="006C0C1F" w:rsidP="006C0C1F">
            <w:pPr>
              <w:pStyle w:val="E3tabletext1"/>
              <w:rPr>
                <w:rFonts w:ascii="Helvetica" w:hAnsi="Helvetica" w:cs="Helvetica"/>
              </w:rPr>
            </w:pPr>
            <w:r>
              <w:rPr>
                <w:rFonts w:ascii="Helvetica" w:hAnsi="Helvetica" w:cs="Helvetica"/>
              </w:rPr>
              <w:t>NA</w:t>
            </w:r>
          </w:p>
        </w:tc>
        <w:tc>
          <w:tcPr>
            <w:tcW w:w="856" w:type="dxa"/>
            <w:tcBorders>
              <w:top w:val="single" w:sz="4" w:space="0" w:color="auto"/>
              <w:left w:val="single" w:sz="4" w:space="0" w:color="auto"/>
              <w:bottom w:val="single" w:sz="4" w:space="0" w:color="auto"/>
              <w:right w:val="single" w:sz="4" w:space="0" w:color="auto"/>
            </w:tcBorders>
            <w:vAlign w:val="center"/>
          </w:tcPr>
          <w:p w14:paraId="0C8A80C1" w14:textId="77777777" w:rsidR="006C0C1F" w:rsidRPr="0041262C" w:rsidRDefault="006C0C1F" w:rsidP="006C0C1F">
            <w:pPr>
              <w:pStyle w:val="E3tabletext1"/>
              <w:rPr>
                <w:rFonts w:ascii="Helvetica" w:hAnsi="Helvetica" w:cs="Helvetica"/>
              </w:rPr>
            </w:pPr>
            <w:r w:rsidRPr="0041262C">
              <w:rPr>
                <w:rFonts w:ascii="Helvetica" w:hAnsi="Helvetica" w:cs="Helvetica"/>
              </w:rPr>
              <w:t>NA</w:t>
            </w:r>
          </w:p>
        </w:tc>
      </w:tr>
      <w:tr w:rsidR="006C0C1F" w14:paraId="060B704A"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414887F3" w14:textId="77777777" w:rsidR="006C0C1F" w:rsidRPr="0041262C" w:rsidRDefault="006C0C1F" w:rsidP="006C0C1F">
            <w:pPr>
              <w:pStyle w:val="E3tabletext1"/>
              <w:rPr>
                <w:rFonts w:ascii="Helvetica" w:hAnsi="Helvetica" w:cs="Helvetica"/>
              </w:rPr>
            </w:pPr>
            <w:r w:rsidRPr="0041262C">
              <w:rPr>
                <w:rFonts w:ascii="Helvetica" w:hAnsi="Helvetica" w:cs="Helvetica"/>
              </w:rPr>
              <w:t>14</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69443F4" w14:textId="77777777" w:rsidR="006C0C1F" w:rsidRPr="0041262C" w:rsidRDefault="006C0C1F" w:rsidP="006C0C1F">
            <w:pPr>
              <w:pStyle w:val="E3tabletext1"/>
              <w:rPr>
                <w:rFonts w:ascii="Helvetica" w:hAnsi="Helvetica" w:cs="Helvetica"/>
              </w:rPr>
            </w:pPr>
            <w:r w:rsidRPr="0041262C">
              <w:rPr>
                <w:rFonts w:ascii="Helvetica" w:hAnsi="Helvetica" w:cs="Helvetica"/>
              </w:rPr>
              <w:t>SFH</w:t>
            </w:r>
          </w:p>
          <w:p w14:paraId="50FFB6D7" w14:textId="77777777" w:rsidR="006C0C1F" w:rsidRPr="0041262C" w:rsidRDefault="006C0C1F" w:rsidP="006C0C1F">
            <w:pPr>
              <w:pStyle w:val="E3tabletext1"/>
              <w:rPr>
                <w:rFonts w:ascii="Helvetica" w:hAnsi="Helvetica" w:cs="Helvetica"/>
              </w:rPr>
            </w:pPr>
            <w:r w:rsidRPr="0041262C">
              <w:rPr>
                <w:rFonts w:ascii="Helvetica" w:hAnsi="Helvetica" w:cs="Helvetica"/>
              </w:rPr>
              <w:t>Service Cabinet, Freezer, Horizontal with solid door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162FB7"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73188F9" w14:textId="77777777" w:rsidR="006C0C1F" w:rsidRPr="0041262C" w:rsidRDefault="006C0C1F" w:rsidP="006C0C1F">
            <w:pPr>
              <w:pStyle w:val="E3tabletext1"/>
              <w:rPr>
                <w:rFonts w:ascii="Helvetica" w:hAnsi="Helvetica" w:cs="Helvetica"/>
              </w:rPr>
            </w:pPr>
            <w:r w:rsidRPr="0041262C">
              <w:rPr>
                <w:rFonts w:ascii="Helvetica" w:hAnsi="Helvetica" w:cs="Helvetica"/>
              </w:rPr>
              <w:t>Freezer</w:t>
            </w:r>
          </w:p>
        </w:tc>
        <w:tc>
          <w:tcPr>
            <w:tcW w:w="987" w:type="dxa"/>
            <w:tcBorders>
              <w:top w:val="single" w:sz="4" w:space="0" w:color="auto"/>
              <w:left w:val="single" w:sz="4" w:space="0" w:color="auto"/>
              <w:bottom w:val="single" w:sz="4" w:space="0" w:color="auto"/>
              <w:right w:val="single" w:sz="4" w:space="0" w:color="auto"/>
            </w:tcBorders>
            <w:vAlign w:val="center"/>
            <w:hideMark/>
          </w:tcPr>
          <w:p w14:paraId="22609E49" w14:textId="77777777" w:rsidR="006C0C1F" w:rsidRPr="0041262C" w:rsidRDefault="006C0C1F" w:rsidP="006C0C1F">
            <w:pPr>
              <w:pStyle w:val="E3tabletext1"/>
              <w:rPr>
                <w:rFonts w:ascii="Helvetica" w:hAnsi="Helvetica" w:cs="Helvetica"/>
              </w:rPr>
            </w:pPr>
            <w:r w:rsidRPr="0041262C">
              <w:rPr>
                <w:rFonts w:ascii="Helvetica" w:hAnsi="Helvetica" w:cs="Helvetica"/>
              </w:rPr>
              <w:t>Counter (Horizontal)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6FA52A96" w14:textId="77777777" w:rsidR="006C0C1F" w:rsidRPr="0041262C" w:rsidRDefault="006C0C1F" w:rsidP="006C0C1F">
            <w:pPr>
              <w:pStyle w:val="E3tabletext1"/>
              <w:rPr>
                <w:rFonts w:ascii="Helvetica" w:hAnsi="Helvetica" w:cs="Helvetica"/>
              </w:rPr>
            </w:pPr>
            <w:r w:rsidRPr="0041262C">
              <w:rPr>
                <w:rFonts w:ascii="Helvetica" w:hAnsi="Helvetica" w:cs="Helvetica"/>
              </w:rPr>
              <w:t>No equivalent registered</w:t>
            </w: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2E5FB50E"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850" w:type="dxa"/>
            <w:tcBorders>
              <w:top w:val="single" w:sz="4" w:space="0" w:color="auto"/>
              <w:left w:val="single" w:sz="4" w:space="0" w:color="auto"/>
              <w:bottom w:val="single" w:sz="4" w:space="0" w:color="auto"/>
              <w:right w:val="single" w:sz="4" w:space="0" w:color="auto"/>
            </w:tcBorders>
            <w:vAlign w:val="center"/>
          </w:tcPr>
          <w:p w14:paraId="28B1979B" w14:textId="77777777" w:rsidR="006C0C1F" w:rsidRPr="0041262C" w:rsidRDefault="006C0C1F" w:rsidP="006C0C1F">
            <w:pPr>
              <w:pStyle w:val="E3tabletext1"/>
              <w:rPr>
                <w:rFonts w:ascii="Helvetica" w:hAnsi="Helvetica" w:cs="Helvetica"/>
              </w:rPr>
            </w:pPr>
            <w:r>
              <w:rPr>
                <w:rFonts w:ascii="Helvetica" w:hAnsi="Helvetica" w:cs="Helvetica"/>
              </w:rPr>
              <w:t>NA</w:t>
            </w:r>
          </w:p>
        </w:tc>
        <w:tc>
          <w:tcPr>
            <w:tcW w:w="856" w:type="dxa"/>
            <w:tcBorders>
              <w:top w:val="single" w:sz="4" w:space="0" w:color="auto"/>
              <w:left w:val="single" w:sz="4" w:space="0" w:color="auto"/>
              <w:bottom w:val="single" w:sz="4" w:space="0" w:color="auto"/>
              <w:right w:val="single" w:sz="4" w:space="0" w:color="auto"/>
            </w:tcBorders>
            <w:vAlign w:val="center"/>
          </w:tcPr>
          <w:p w14:paraId="4011CDA8" w14:textId="77777777" w:rsidR="006C0C1F" w:rsidRPr="0041262C" w:rsidRDefault="006C0C1F" w:rsidP="006C0C1F">
            <w:pPr>
              <w:pStyle w:val="E3tabletext1"/>
              <w:rPr>
                <w:rFonts w:ascii="Helvetica" w:hAnsi="Helvetica" w:cs="Helvetica"/>
              </w:rPr>
            </w:pPr>
            <w:r w:rsidRPr="0041262C">
              <w:rPr>
                <w:rFonts w:ascii="Helvetica" w:hAnsi="Helvetica" w:cs="Helvetica"/>
              </w:rPr>
              <w:t>NA</w:t>
            </w:r>
          </w:p>
        </w:tc>
      </w:tr>
      <w:tr w:rsidR="006C0C1F" w14:paraId="6908BF63" w14:textId="77777777" w:rsidTr="006C0C1F">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7FDF7A94" w14:textId="77777777" w:rsidR="006C0C1F" w:rsidRPr="0041262C" w:rsidRDefault="006C0C1F" w:rsidP="006C0C1F">
            <w:pPr>
              <w:pStyle w:val="E3tabletext1"/>
              <w:rPr>
                <w:rFonts w:ascii="Helvetica" w:hAnsi="Helvetica" w:cs="Helvetica"/>
              </w:rPr>
            </w:pPr>
            <w:r w:rsidRPr="0041262C">
              <w:rPr>
                <w:rFonts w:ascii="Helvetica" w:hAnsi="Helvetica" w:cs="Helvetica"/>
              </w:rPr>
              <w:t>15</w:t>
            </w:r>
          </w:p>
        </w:tc>
        <w:tc>
          <w:tcPr>
            <w:tcW w:w="1564" w:type="dxa"/>
            <w:tcBorders>
              <w:top w:val="single" w:sz="4" w:space="0" w:color="auto"/>
              <w:left w:val="single" w:sz="4" w:space="0" w:color="auto"/>
              <w:bottom w:val="single" w:sz="4" w:space="0" w:color="auto"/>
              <w:right w:val="single" w:sz="4" w:space="0" w:color="auto"/>
            </w:tcBorders>
            <w:vAlign w:val="center"/>
            <w:hideMark/>
          </w:tcPr>
          <w:p w14:paraId="3B6E8CB5" w14:textId="77777777" w:rsidR="006C0C1F" w:rsidRPr="0041262C" w:rsidRDefault="006C0C1F" w:rsidP="006C0C1F">
            <w:pPr>
              <w:pStyle w:val="E3tabletext1"/>
              <w:rPr>
                <w:rFonts w:ascii="Helvetica" w:hAnsi="Helvetica" w:cs="Helvetica"/>
              </w:rPr>
            </w:pPr>
            <w:r w:rsidRPr="0041262C">
              <w:rPr>
                <w:rFonts w:ascii="Helvetica" w:hAnsi="Helvetica" w:cs="Helvetica"/>
              </w:rPr>
              <w:t>SFV</w:t>
            </w:r>
          </w:p>
          <w:p w14:paraId="1B18C8DC" w14:textId="77777777" w:rsidR="006C0C1F" w:rsidRPr="0041262C" w:rsidRDefault="006C0C1F" w:rsidP="006C0C1F">
            <w:pPr>
              <w:pStyle w:val="E3tabletext1"/>
              <w:rPr>
                <w:rFonts w:ascii="Helvetica" w:hAnsi="Helvetica" w:cs="Helvetica"/>
              </w:rPr>
            </w:pPr>
            <w:r w:rsidRPr="0041262C">
              <w:rPr>
                <w:rFonts w:ascii="Helvetica" w:hAnsi="Helvetica" w:cs="Helvetica"/>
              </w:rPr>
              <w:t>Service Cabinet Freezer, Vertical with solid door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0DE4FE1"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BAB27CF"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4022E519" w14:textId="77777777" w:rsidR="006C0C1F" w:rsidRPr="0041262C" w:rsidRDefault="006C0C1F" w:rsidP="006C0C1F">
            <w:pPr>
              <w:pStyle w:val="E3tabletext1"/>
              <w:rPr>
                <w:rFonts w:ascii="Helvetica" w:hAnsi="Helvetica" w:cs="Helvetica"/>
              </w:rPr>
            </w:pPr>
            <w:r w:rsidRPr="0041262C">
              <w:rPr>
                <w:rFonts w:ascii="Helvetica" w:hAnsi="Helvetica" w:cs="Helvetica"/>
              </w:rPr>
              <w:t>Vertical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5BBD311" w14:textId="77777777" w:rsidR="006C0C1F" w:rsidRPr="0041262C" w:rsidRDefault="006C0C1F" w:rsidP="006C0C1F">
            <w:pPr>
              <w:pStyle w:val="E3tabletext1"/>
              <w:rPr>
                <w:rFonts w:ascii="Helvetica" w:hAnsi="Helvetica" w:cs="Helvetica"/>
              </w:rPr>
            </w:pPr>
            <w:r w:rsidRPr="0041262C">
              <w:rPr>
                <w:rFonts w:ascii="Helvetica" w:hAnsi="Helvetica" w:cs="Helvetica"/>
              </w:rPr>
              <w:t xml:space="preserve">IVF4 Solid doors </w:t>
            </w:r>
            <w:r w:rsidRPr="0041262C">
              <w:rPr>
                <w:rFonts w:ascii="Helvetica" w:hAnsi="Helvetica" w:cs="Helvetica"/>
              </w:rPr>
              <w:br/>
              <w:t>L1 &amp; L2</w:t>
            </w:r>
            <w:r w:rsidRPr="0041262C">
              <w:rPr>
                <w:rFonts w:ascii="Helvetica" w:hAnsi="Helvetica" w:cs="Helvetica"/>
              </w:rPr>
              <w:br/>
            </w: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619CE4A0" w14:textId="77777777" w:rsidR="006C0C1F" w:rsidRPr="0041262C" w:rsidRDefault="006C0C1F" w:rsidP="006C0C1F">
            <w:pPr>
              <w:spacing w:after="0" w:line="240" w:lineRule="auto"/>
              <w:rPr>
                <w:rFonts w:ascii="Helvetica" w:eastAsia="Times New Roman" w:hAnsi="Helvetica" w:cs="Helvetica"/>
                <w:sz w:val="14"/>
                <w:szCs w:val="14"/>
                <w:lang w:eastAsia="en-AU"/>
              </w:rPr>
            </w:pPr>
          </w:p>
        </w:tc>
        <w:tc>
          <w:tcPr>
            <w:tcW w:w="850" w:type="dxa"/>
            <w:tcBorders>
              <w:top w:val="single" w:sz="4" w:space="0" w:color="auto"/>
              <w:left w:val="single" w:sz="4" w:space="0" w:color="auto"/>
              <w:bottom w:val="single" w:sz="4" w:space="0" w:color="auto"/>
              <w:right w:val="single" w:sz="4" w:space="0" w:color="auto"/>
            </w:tcBorders>
            <w:vAlign w:val="center"/>
          </w:tcPr>
          <w:p w14:paraId="5AFBC9D5" w14:textId="77777777" w:rsidR="006C0C1F" w:rsidRPr="0041262C" w:rsidRDefault="006C0C1F" w:rsidP="006C0C1F">
            <w:pPr>
              <w:pStyle w:val="E3tabletext1"/>
              <w:rPr>
                <w:rFonts w:ascii="Helvetica" w:hAnsi="Helvetica" w:cs="Helvetica"/>
              </w:rPr>
            </w:pPr>
            <w:r>
              <w:rPr>
                <w:rFonts w:ascii="Helvetica" w:hAnsi="Helvetica" w:cs="Helvetica"/>
              </w:rPr>
              <w:t>NA</w:t>
            </w:r>
          </w:p>
        </w:tc>
        <w:tc>
          <w:tcPr>
            <w:tcW w:w="856" w:type="dxa"/>
            <w:tcBorders>
              <w:top w:val="single" w:sz="4" w:space="0" w:color="auto"/>
              <w:left w:val="single" w:sz="4" w:space="0" w:color="auto"/>
              <w:bottom w:val="single" w:sz="4" w:space="0" w:color="auto"/>
              <w:right w:val="single" w:sz="4" w:space="0" w:color="auto"/>
            </w:tcBorders>
            <w:vAlign w:val="center"/>
          </w:tcPr>
          <w:p w14:paraId="087AC5F3" w14:textId="77777777" w:rsidR="006C0C1F" w:rsidRPr="0041262C" w:rsidRDefault="006C0C1F" w:rsidP="006C0C1F">
            <w:pPr>
              <w:pStyle w:val="E3tabletext1"/>
              <w:rPr>
                <w:rFonts w:ascii="Helvetica" w:hAnsi="Helvetica" w:cs="Helvetica"/>
              </w:rPr>
            </w:pPr>
            <w:r w:rsidRPr="0041262C">
              <w:rPr>
                <w:rFonts w:ascii="Helvetica" w:hAnsi="Helvetica" w:cs="Helvetica"/>
              </w:rPr>
              <w:t>NA</w:t>
            </w:r>
          </w:p>
        </w:tc>
      </w:tr>
      <w:tr w:rsidR="006C0C1F" w14:paraId="6ED56554" w14:textId="77777777" w:rsidTr="006C0C1F">
        <w:trPr>
          <w:jc w:val="center"/>
        </w:trPr>
        <w:tc>
          <w:tcPr>
            <w:tcW w:w="7650" w:type="dxa"/>
            <w:gridSpan w:val="9"/>
            <w:tcBorders>
              <w:top w:val="single" w:sz="4" w:space="0" w:color="auto"/>
              <w:left w:val="single" w:sz="4" w:space="0" w:color="auto"/>
              <w:bottom w:val="single" w:sz="4" w:space="0" w:color="auto"/>
              <w:right w:val="single" w:sz="4" w:space="0" w:color="auto"/>
            </w:tcBorders>
            <w:vAlign w:val="center"/>
            <w:hideMark/>
          </w:tcPr>
          <w:p w14:paraId="0FA31714" w14:textId="77777777" w:rsidR="006C0C1F" w:rsidRPr="0041262C" w:rsidRDefault="006C0C1F" w:rsidP="006C0C1F">
            <w:pPr>
              <w:pStyle w:val="E3tabletext1"/>
              <w:rPr>
                <w:rFonts w:ascii="Helvetica" w:hAnsi="Helvetica" w:cs="Helvetica"/>
              </w:rPr>
            </w:pPr>
            <w:r w:rsidRPr="0041262C">
              <w:rPr>
                <w:rFonts w:ascii="Helvetica" w:hAnsi="Helvetica" w:cs="Helvetica"/>
              </w:rPr>
              <w:t>Overall effect (Groups 1 to 11)</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B91322" w14:textId="77777777" w:rsidR="006C0C1F" w:rsidRPr="0041262C" w:rsidRDefault="006C0C1F" w:rsidP="006C0C1F">
            <w:pPr>
              <w:pStyle w:val="E3tabletext1"/>
              <w:rPr>
                <w:rFonts w:ascii="Helvetica" w:hAnsi="Helvetica" w:cs="Helvetica"/>
              </w:rPr>
            </w:pPr>
            <w:r>
              <w:rPr>
                <w:rFonts w:ascii="Helvetica" w:hAnsi="Helvetica" w:cs="Helvetica"/>
              </w:rPr>
              <w:t>25%</w:t>
            </w:r>
          </w:p>
        </w:tc>
        <w:tc>
          <w:tcPr>
            <w:tcW w:w="856" w:type="dxa"/>
            <w:tcBorders>
              <w:top w:val="single" w:sz="4" w:space="0" w:color="auto"/>
              <w:left w:val="single" w:sz="4" w:space="0" w:color="auto"/>
              <w:bottom w:val="single" w:sz="4" w:space="0" w:color="auto"/>
              <w:right w:val="single" w:sz="4" w:space="0" w:color="auto"/>
            </w:tcBorders>
            <w:vAlign w:val="center"/>
            <w:hideMark/>
          </w:tcPr>
          <w:p w14:paraId="1D1FFA63" w14:textId="77777777" w:rsidR="006C0C1F" w:rsidRPr="0041262C" w:rsidRDefault="006C0C1F" w:rsidP="006C0C1F">
            <w:pPr>
              <w:pStyle w:val="E3tabletext1"/>
              <w:rPr>
                <w:rFonts w:ascii="Helvetica" w:hAnsi="Helvetica" w:cs="Helvetica"/>
              </w:rPr>
            </w:pPr>
            <w:r>
              <w:rPr>
                <w:rFonts w:ascii="Helvetica" w:hAnsi="Helvetica" w:cs="Helvetica"/>
              </w:rPr>
              <w:t>19.5%</w:t>
            </w:r>
          </w:p>
        </w:tc>
      </w:tr>
    </w:tbl>
    <w:p w14:paraId="0B9D3EA8" w14:textId="77777777" w:rsidR="006C0C1F" w:rsidRDefault="006C0C1F" w:rsidP="006C0C1F">
      <w:pPr>
        <w:pStyle w:val="E3BodyText"/>
      </w:pPr>
    </w:p>
    <w:p w14:paraId="7A6A4D70" w14:textId="021EBE9A" w:rsidR="006C0C1F" w:rsidRPr="00CF127B" w:rsidRDefault="006C0C1F" w:rsidP="00CF127B">
      <w:pPr>
        <w:pStyle w:val="E3Heading4"/>
      </w:pPr>
      <w:r w:rsidRPr="00CF127B">
        <w:lastRenderedPageBreak/>
        <w:t xml:space="preserve">Costs and Benefits </w:t>
      </w:r>
    </w:p>
    <w:p w14:paraId="6A9E8968" w14:textId="77777777" w:rsidR="006C0C1F" w:rsidRDefault="006C0C1F" w:rsidP="004E162B">
      <w:pPr>
        <w:pStyle w:val="E3Bullets"/>
        <w:numPr>
          <w:ilvl w:val="0"/>
          <w:numId w:val="0"/>
        </w:numPr>
        <w:spacing w:before="240" w:line="276" w:lineRule="auto"/>
        <w:contextualSpacing w:val="0"/>
        <w:jc w:val="both"/>
      </w:pPr>
      <w:r>
        <w:rPr>
          <w:b/>
        </w:rPr>
        <w:t>Figure 16</w:t>
      </w:r>
      <w:r w:rsidRPr="00F0477C">
        <w:rPr>
          <w:b/>
        </w:rPr>
        <w:t xml:space="preserve"> </w:t>
      </w:r>
      <w:r>
        <w:t>shows the reduction in energy consumption over time due to Option 4, there is also a corresponding greenhouse gas emissions when compared with BAU. Option 4 provides the highest net present value of all options considered and is the preferred option.</w:t>
      </w:r>
    </w:p>
    <w:p w14:paraId="5F0A3C56" w14:textId="77777777" w:rsidR="006C0C1F" w:rsidRPr="00A929F6" w:rsidRDefault="006C0C1F" w:rsidP="00A929F6">
      <w:pPr>
        <w:pStyle w:val="E3Figuretitles"/>
      </w:pPr>
      <w:r w:rsidRPr="00A929F6">
        <w:t>Figure 16: Annual energy consumption from Option 4.</w:t>
      </w:r>
    </w:p>
    <w:p w14:paraId="26B99C1D" w14:textId="77777777" w:rsidR="006C0C1F" w:rsidRDefault="006C0C1F" w:rsidP="006C0C1F">
      <w:pPr>
        <w:pStyle w:val="E3BodyText"/>
      </w:pPr>
      <w:r>
        <w:rPr>
          <w:noProof/>
          <w:lang w:val="en-AU" w:eastAsia="en-AU"/>
        </w:rPr>
        <w:drawing>
          <wp:inline distT="0" distB="0" distL="0" distR="0" wp14:anchorId="53DF601B" wp14:editId="3694EE31">
            <wp:extent cx="5905500" cy="4007633"/>
            <wp:effectExtent l="0" t="0" r="0" b="0"/>
            <wp:docPr id="25" name="Picture 25" descr="Option 4 is the same as options 2 and 3 but would align Australian and New Zealand MEPS with European levels. This would affect different models to different degrees. This is the recomeended option." title="Forecast annual energy consumption under op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10165" cy="4010799"/>
                    </a:xfrm>
                    <a:prstGeom prst="rect">
                      <a:avLst/>
                    </a:prstGeom>
                    <a:noFill/>
                    <a:ln>
                      <a:noFill/>
                    </a:ln>
                  </pic:spPr>
                </pic:pic>
              </a:graphicData>
            </a:graphic>
          </wp:inline>
        </w:drawing>
      </w:r>
    </w:p>
    <w:p w14:paraId="513DBF97" w14:textId="0C3ECC81" w:rsidR="006C0C1F" w:rsidRDefault="006C0C1F" w:rsidP="00CF127B">
      <w:pPr>
        <w:pStyle w:val="E3Bullets"/>
        <w:numPr>
          <w:ilvl w:val="0"/>
          <w:numId w:val="0"/>
        </w:numPr>
        <w:spacing w:before="120" w:line="276" w:lineRule="auto"/>
        <w:jc w:val="both"/>
      </w:pPr>
      <w:r w:rsidRPr="00FF4799">
        <w:rPr>
          <w:b/>
        </w:rPr>
        <w:t xml:space="preserve">Table </w:t>
      </w:r>
      <w:r>
        <w:rPr>
          <w:b/>
        </w:rPr>
        <w:t>16</w:t>
      </w:r>
      <w:r>
        <w:t xml:space="preserve"> shows the modelled impacts of Option 4 and indicates the ne</w:t>
      </w:r>
      <w:r w:rsidR="009F00B5">
        <w:t xml:space="preserve">t benefits to Australia of AU $1340 million </w:t>
      </w:r>
      <w:r>
        <w:t xml:space="preserve">and to New Zealand of NZ$87 million and the benefit to cost ratios are 7.9:1 and 4.7:1 respectively. </w:t>
      </w:r>
    </w:p>
    <w:p w14:paraId="1CAA5B92" w14:textId="70D5C17E" w:rsidR="006C0C1F" w:rsidRPr="00594069" w:rsidRDefault="006C0C1F" w:rsidP="004E162B">
      <w:pPr>
        <w:pStyle w:val="E3TableTitles"/>
        <w:spacing w:before="120"/>
      </w:pPr>
      <w:bookmarkStart w:id="237" w:name="_Toc500159667"/>
      <w:r w:rsidRPr="00594069">
        <w:t>Table 16 Evaluation of impacts – Option 4</w:t>
      </w:r>
      <w:r>
        <w:t>.</w:t>
      </w:r>
      <w:bookmarkEnd w:id="237"/>
    </w:p>
    <w:tbl>
      <w:tblPr>
        <w:tblStyle w:val="TableGrid"/>
        <w:tblW w:w="0" w:type="auto"/>
        <w:tblLook w:val="04A0" w:firstRow="1" w:lastRow="0" w:firstColumn="1" w:lastColumn="0" w:noHBand="0" w:noVBand="1"/>
      </w:tblPr>
      <w:tblGrid>
        <w:gridCol w:w="3209"/>
        <w:gridCol w:w="3210"/>
        <w:gridCol w:w="3210"/>
      </w:tblGrid>
      <w:tr w:rsidR="006C0C1F" w14:paraId="29837999" w14:textId="77777777" w:rsidTr="00CF127B">
        <w:tc>
          <w:tcPr>
            <w:tcW w:w="3209" w:type="dxa"/>
            <w:vAlign w:val="center"/>
          </w:tcPr>
          <w:p w14:paraId="4E87ABAE" w14:textId="77777777" w:rsidR="006C0C1F" w:rsidRPr="00594069" w:rsidRDefault="006C0C1F" w:rsidP="004E162B">
            <w:pPr>
              <w:pStyle w:val="E3Bullets"/>
              <w:numPr>
                <w:ilvl w:val="0"/>
                <w:numId w:val="0"/>
              </w:numPr>
              <w:spacing w:before="60" w:after="60" w:line="276" w:lineRule="auto"/>
              <w:contextualSpacing w:val="0"/>
              <w:jc w:val="center"/>
              <w:rPr>
                <w:rFonts w:ascii="Helvetica" w:hAnsi="Helvetica" w:cs="Helvetica"/>
                <w:b/>
                <w:sz w:val="16"/>
              </w:rPr>
            </w:pPr>
            <w:r w:rsidRPr="00594069">
              <w:rPr>
                <w:rFonts w:ascii="Helvetica" w:hAnsi="Helvetica" w:cs="Helvetica"/>
                <w:b/>
                <w:sz w:val="16"/>
              </w:rPr>
              <w:t>Indicator</w:t>
            </w:r>
          </w:p>
        </w:tc>
        <w:tc>
          <w:tcPr>
            <w:tcW w:w="6420" w:type="dxa"/>
            <w:gridSpan w:val="2"/>
            <w:vAlign w:val="center"/>
          </w:tcPr>
          <w:p w14:paraId="45D22287" w14:textId="77777777" w:rsidR="006C0C1F" w:rsidRPr="00594069" w:rsidRDefault="006C0C1F" w:rsidP="004E162B">
            <w:pPr>
              <w:pStyle w:val="E3Bullets"/>
              <w:numPr>
                <w:ilvl w:val="0"/>
                <w:numId w:val="0"/>
              </w:numPr>
              <w:spacing w:before="60" w:after="60" w:line="276" w:lineRule="auto"/>
              <w:contextualSpacing w:val="0"/>
              <w:jc w:val="center"/>
              <w:rPr>
                <w:rFonts w:ascii="Helvetica" w:hAnsi="Helvetica" w:cs="Helvetica"/>
                <w:b/>
                <w:sz w:val="16"/>
              </w:rPr>
            </w:pPr>
            <w:r w:rsidRPr="00594069">
              <w:rPr>
                <w:rFonts w:ascii="Helvetica" w:hAnsi="Helvetica" w:cs="Helvetica"/>
                <w:b/>
                <w:sz w:val="16"/>
              </w:rPr>
              <w:t>Appliances installed 2017 - 2035</w:t>
            </w:r>
          </w:p>
        </w:tc>
      </w:tr>
      <w:tr w:rsidR="006C0C1F" w14:paraId="175710FA" w14:textId="77777777" w:rsidTr="00CF127B">
        <w:tc>
          <w:tcPr>
            <w:tcW w:w="3209" w:type="dxa"/>
            <w:vAlign w:val="center"/>
          </w:tcPr>
          <w:p w14:paraId="33DCB348" w14:textId="77777777" w:rsidR="006C0C1F" w:rsidRPr="00594069" w:rsidRDefault="006C0C1F" w:rsidP="004E162B">
            <w:pPr>
              <w:pStyle w:val="E3Bullets"/>
              <w:numPr>
                <w:ilvl w:val="0"/>
                <w:numId w:val="0"/>
              </w:numPr>
              <w:spacing w:before="60" w:after="60" w:line="276" w:lineRule="auto"/>
              <w:contextualSpacing w:val="0"/>
              <w:jc w:val="center"/>
              <w:rPr>
                <w:rFonts w:ascii="Helvetica" w:hAnsi="Helvetica" w:cs="Helvetica"/>
                <w:b/>
                <w:sz w:val="16"/>
              </w:rPr>
            </w:pPr>
          </w:p>
        </w:tc>
        <w:tc>
          <w:tcPr>
            <w:tcW w:w="3210" w:type="dxa"/>
            <w:vAlign w:val="center"/>
          </w:tcPr>
          <w:p w14:paraId="34D69CAF" w14:textId="77777777" w:rsidR="006C0C1F" w:rsidRPr="00594069" w:rsidRDefault="006C0C1F" w:rsidP="004E162B">
            <w:pPr>
              <w:pStyle w:val="E3Bullets"/>
              <w:numPr>
                <w:ilvl w:val="0"/>
                <w:numId w:val="0"/>
              </w:numPr>
              <w:spacing w:before="60" w:after="60" w:line="276" w:lineRule="auto"/>
              <w:contextualSpacing w:val="0"/>
              <w:jc w:val="center"/>
              <w:rPr>
                <w:rFonts w:ascii="Helvetica" w:hAnsi="Helvetica" w:cs="Helvetica"/>
                <w:b/>
                <w:sz w:val="16"/>
              </w:rPr>
            </w:pPr>
            <w:r w:rsidRPr="00594069">
              <w:rPr>
                <w:rFonts w:ascii="Helvetica" w:hAnsi="Helvetica" w:cs="Helvetica"/>
                <w:b/>
                <w:sz w:val="16"/>
              </w:rPr>
              <w:t>Australia</w:t>
            </w:r>
          </w:p>
        </w:tc>
        <w:tc>
          <w:tcPr>
            <w:tcW w:w="3210" w:type="dxa"/>
            <w:vAlign w:val="center"/>
          </w:tcPr>
          <w:p w14:paraId="2845C303" w14:textId="77777777" w:rsidR="006C0C1F" w:rsidRPr="00594069" w:rsidRDefault="006C0C1F" w:rsidP="004E162B">
            <w:pPr>
              <w:pStyle w:val="E3Bullets"/>
              <w:numPr>
                <w:ilvl w:val="0"/>
                <w:numId w:val="0"/>
              </w:numPr>
              <w:spacing w:before="60" w:after="60" w:line="276" w:lineRule="auto"/>
              <w:contextualSpacing w:val="0"/>
              <w:jc w:val="center"/>
              <w:rPr>
                <w:rFonts w:ascii="Helvetica" w:hAnsi="Helvetica" w:cs="Helvetica"/>
                <w:b/>
                <w:sz w:val="16"/>
              </w:rPr>
            </w:pPr>
            <w:r w:rsidRPr="00594069">
              <w:rPr>
                <w:rFonts w:ascii="Helvetica" w:hAnsi="Helvetica" w:cs="Helvetica"/>
                <w:b/>
                <w:sz w:val="16"/>
              </w:rPr>
              <w:t>New Zealand</w:t>
            </w:r>
          </w:p>
        </w:tc>
      </w:tr>
      <w:tr w:rsidR="006C0C1F" w14:paraId="75B8A4A6" w14:textId="77777777" w:rsidTr="00CF127B">
        <w:tc>
          <w:tcPr>
            <w:tcW w:w="3209" w:type="dxa"/>
            <w:vAlign w:val="center"/>
          </w:tcPr>
          <w:p w14:paraId="0232F3DB" w14:textId="77777777" w:rsidR="006C0C1F" w:rsidRPr="00594069"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594069">
              <w:rPr>
                <w:rFonts w:ascii="Helvetica" w:hAnsi="Helvetica" w:cs="Helvetica"/>
                <w:sz w:val="16"/>
              </w:rPr>
              <w:t>Energy Savings</w:t>
            </w:r>
          </w:p>
        </w:tc>
        <w:tc>
          <w:tcPr>
            <w:tcW w:w="3210" w:type="dxa"/>
            <w:vAlign w:val="center"/>
          </w:tcPr>
          <w:p w14:paraId="77C1D266" w14:textId="77777777" w:rsidR="006C0C1F" w:rsidRPr="00594069"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594069">
              <w:rPr>
                <w:rFonts w:ascii="Helvetica" w:hAnsi="Helvetica" w:cs="Helvetica"/>
                <w:sz w:val="16"/>
              </w:rPr>
              <w:t>11,099GWh</w:t>
            </w:r>
          </w:p>
        </w:tc>
        <w:tc>
          <w:tcPr>
            <w:tcW w:w="3210" w:type="dxa"/>
            <w:vAlign w:val="center"/>
          </w:tcPr>
          <w:p w14:paraId="61B19BF3" w14:textId="77777777" w:rsidR="006C0C1F" w:rsidRPr="00594069"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594069">
              <w:rPr>
                <w:rFonts w:ascii="Helvetica" w:hAnsi="Helvetica" w:cs="Helvetica"/>
                <w:sz w:val="16"/>
              </w:rPr>
              <w:t>1,986GWh</w:t>
            </w:r>
          </w:p>
        </w:tc>
      </w:tr>
      <w:tr w:rsidR="006C0C1F" w14:paraId="50FA5889" w14:textId="77777777" w:rsidTr="00CF127B">
        <w:tc>
          <w:tcPr>
            <w:tcW w:w="3209" w:type="dxa"/>
            <w:vAlign w:val="center"/>
          </w:tcPr>
          <w:p w14:paraId="4791594F" w14:textId="77777777" w:rsidR="006C0C1F" w:rsidRPr="00594069"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594069">
              <w:rPr>
                <w:rFonts w:ascii="Helvetica" w:hAnsi="Helvetica" w:cs="Helvetica"/>
                <w:sz w:val="16"/>
              </w:rPr>
              <w:t>Emissions savings (CO2-e cumulative)</w:t>
            </w:r>
          </w:p>
        </w:tc>
        <w:tc>
          <w:tcPr>
            <w:tcW w:w="3210" w:type="dxa"/>
            <w:vAlign w:val="center"/>
          </w:tcPr>
          <w:p w14:paraId="2E1BFFD8" w14:textId="77777777" w:rsidR="006C0C1F" w:rsidRPr="00594069"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594069">
              <w:rPr>
                <w:rFonts w:ascii="Helvetica" w:hAnsi="Helvetica" w:cs="Helvetica"/>
                <w:sz w:val="16"/>
              </w:rPr>
              <w:t>8.26MtMt</w:t>
            </w:r>
          </w:p>
        </w:tc>
        <w:tc>
          <w:tcPr>
            <w:tcW w:w="3210" w:type="dxa"/>
            <w:vAlign w:val="center"/>
          </w:tcPr>
          <w:p w14:paraId="0332DAA3" w14:textId="77777777" w:rsidR="006C0C1F" w:rsidRPr="00594069"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594069">
              <w:rPr>
                <w:rFonts w:ascii="Helvetica" w:hAnsi="Helvetica" w:cs="Helvetica"/>
                <w:sz w:val="16"/>
              </w:rPr>
              <w:t>256kt</w:t>
            </w:r>
          </w:p>
        </w:tc>
      </w:tr>
      <w:tr w:rsidR="006C0C1F" w14:paraId="7E09A37D" w14:textId="77777777" w:rsidTr="00CF127B">
        <w:tc>
          <w:tcPr>
            <w:tcW w:w="3209" w:type="dxa"/>
            <w:vAlign w:val="center"/>
          </w:tcPr>
          <w:p w14:paraId="2F2357E4" w14:textId="77777777" w:rsidR="006C0C1F" w:rsidRPr="00594069"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594069">
              <w:rPr>
                <w:rFonts w:ascii="Helvetica" w:hAnsi="Helvetica" w:cs="Helvetica"/>
                <w:sz w:val="16"/>
              </w:rPr>
              <w:t>Benefits</w:t>
            </w:r>
          </w:p>
        </w:tc>
        <w:tc>
          <w:tcPr>
            <w:tcW w:w="3210" w:type="dxa"/>
            <w:vAlign w:val="center"/>
          </w:tcPr>
          <w:p w14:paraId="79EF8151" w14:textId="77777777" w:rsidR="006C0C1F" w:rsidRPr="00594069"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594069">
              <w:rPr>
                <w:rFonts w:ascii="Helvetica" w:hAnsi="Helvetica" w:cs="Helvetica"/>
                <w:sz w:val="16"/>
              </w:rPr>
              <w:t>$AU1,532 million</w:t>
            </w:r>
          </w:p>
        </w:tc>
        <w:tc>
          <w:tcPr>
            <w:tcW w:w="3210" w:type="dxa"/>
            <w:vAlign w:val="center"/>
          </w:tcPr>
          <w:p w14:paraId="7441092B" w14:textId="77777777" w:rsidR="006C0C1F" w:rsidRPr="00594069"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594069">
              <w:rPr>
                <w:rFonts w:ascii="Helvetica" w:hAnsi="Helvetica" w:cs="Helvetica"/>
                <w:sz w:val="16"/>
              </w:rPr>
              <w:t>$NZ111 million</w:t>
            </w:r>
          </w:p>
        </w:tc>
      </w:tr>
      <w:tr w:rsidR="006C0C1F" w14:paraId="3E2B22DA" w14:textId="77777777" w:rsidTr="00CF127B">
        <w:tc>
          <w:tcPr>
            <w:tcW w:w="3209" w:type="dxa"/>
            <w:vAlign w:val="center"/>
          </w:tcPr>
          <w:p w14:paraId="52D1EFC4" w14:textId="77777777" w:rsidR="006C0C1F" w:rsidRPr="00594069"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594069">
              <w:rPr>
                <w:rFonts w:ascii="Helvetica" w:hAnsi="Helvetica" w:cs="Helvetica"/>
                <w:sz w:val="16"/>
              </w:rPr>
              <w:t>Costs</w:t>
            </w:r>
          </w:p>
        </w:tc>
        <w:tc>
          <w:tcPr>
            <w:tcW w:w="3210" w:type="dxa"/>
            <w:vAlign w:val="center"/>
          </w:tcPr>
          <w:p w14:paraId="5AE807B2" w14:textId="77777777" w:rsidR="006C0C1F" w:rsidRPr="00594069"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594069">
              <w:rPr>
                <w:rFonts w:ascii="Helvetica" w:hAnsi="Helvetica" w:cs="Helvetica"/>
                <w:sz w:val="16"/>
              </w:rPr>
              <w:t>$AU193 million</w:t>
            </w:r>
          </w:p>
        </w:tc>
        <w:tc>
          <w:tcPr>
            <w:tcW w:w="3210" w:type="dxa"/>
            <w:vAlign w:val="center"/>
          </w:tcPr>
          <w:p w14:paraId="127C1B2C" w14:textId="77777777" w:rsidR="006C0C1F" w:rsidRPr="00594069"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594069">
              <w:rPr>
                <w:rFonts w:ascii="Helvetica" w:hAnsi="Helvetica" w:cs="Helvetica"/>
                <w:sz w:val="16"/>
              </w:rPr>
              <w:t>$NZ24 million</w:t>
            </w:r>
          </w:p>
        </w:tc>
      </w:tr>
      <w:tr w:rsidR="006C0C1F" w14:paraId="31A361C6" w14:textId="77777777" w:rsidTr="00CF127B">
        <w:tc>
          <w:tcPr>
            <w:tcW w:w="3209" w:type="dxa"/>
            <w:vAlign w:val="center"/>
          </w:tcPr>
          <w:p w14:paraId="17E4E40F" w14:textId="77777777" w:rsidR="006C0C1F" w:rsidRPr="00594069"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594069">
              <w:rPr>
                <w:rFonts w:ascii="Helvetica" w:hAnsi="Helvetica" w:cs="Helvetica"/>
                <w:sz w:val="16"/>
              </w:rPr>
              <w:t>Net Present Value</w:t>
            </w:r>
          </w:p>
        </w:tc>
        <w:tc>
          <w:tcPr>
            <w:tcW w:w="3210" w:type="dxa"/>
            <w:vAlign w:val="center"/>
          </w:tcPr>
          <w:p w14:paraId="430DC547" w14:textId="77777777" w:rsidR="006C0C1F" w:rsidRPr="00594069"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594069">
              <w:rPr>
                <w:rFonts w:ascii="Helvetica" w:hAnsi="Helvetica" w:cs="Helvetica"/>
                <w:sz w:val="16"/>
              </w:rPr>
              <w:t>$AU1,339 million</w:t>
            </w:r>
          </w:p>
        </w:tc>
        <w:tc>
          <w:tcPr>
            <w:tcW w:w="3210" w:type="dxa"/>
            <w:vAlign w:val="center"/>
          </w:tcPr>
          <w:p w14:paraId="0256069E" w14:textId="77777777" w:rsidR="006C0C1F" w:rsidRPr="00594069"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594069">
              <w:rPr>
                <w:rFonts w:ascii="Helvetica" w:hAnsi="Helvetica" w:cs="Helvetica"/>
                <w:sz w:val="16"/>
              </w:rPr>
              <w:t>$NZ87 million</w:t>
            </w:r>
            <w:r w:rsidRPr="00594069">
              <w:rPr>
                <w:rStyle w:val="FootnoteReference"/>
                <w:rFonts w:ascii="Helvetica" w:hAnsi="Helvetica" w:cs="Helvetica"/>
                <w:sz w:val="16"/>
              </w:rPr>
              <w:footnoteReference w:id="43"/>
            </w:r>
          </w:p>
        </w:tc>
      </w:tr>
      <w:tr w:rsidR="006C0C1F" w14:paraId="071FF3CB" w14:textId="77777777" w:rsidTr="00CF127B">
        <w:tc>
          <w:tcPr>
            <w:tcW w:w="3209" w:type="dxa"/>
            <w:vAlign w:val="center"/>
          </w:tcPr>
          <w:p w14:paraId="63EAA612" w14:textId="77777777" w:rsidR="006C0C1F" w:rsidRPr="00594069"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594069">
              <w:rPr>
                <w:rFonts w:ascii="Helvetica" w:hAnsi="Helvetica" w:cs="Helvetica"/>
                <w:sz w:val="16"/>
              </w:rPr>
              <w:t>Benefit cost ratio</w:t>
            </w:r>
          </w:p>
        </w:tc>
        <w:tc>
          <w:tcPr>
            <w:tcW w:w="3210" w:type="dxa"/>
            <w:vAlign w:val="center"/>
          </w:tcPr>
          <w:p w14:paraId="3BF1E2C5" w14:textId="77777777" w:rsidR="006C0C1F" w:rsidRPr="00594069"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594069">
              <w:rPr>
                <w:rFonts w:ascii="Helvetica" w:hAnsi="Helvetica" w:cs="Helvetica"/>
                <w:sz w:val="16"/>
              </w:rPr>
              <w:t>7.9:1</w:t>
            </w:r>
          </w:p>
        </w:tc>
        <w:tc>
          <w:tcPr>
            <w:tcW w:w="3210" w:type="dxa"/>
            <w:vAlign w:val="center"/>
          </w:tcPr>
          <w:p w14:paraId="49957E6D" w14:textId="77777777" w:rsidR="006C0C1F" w:rsidRPr="00594069"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594069">
              <w:rPr>
                <w:rFonts w:ascii="Helvetica" w:hAnsi="Helvetica" w:cs="Helvetica"/>
                <w:sz w:val="16"/>
              </w:rPr>
              <w:t>4.7:1</w:t>
            </w:r>
          </w:p>
        </w:tc>
      </w:tr>
    </w:tbl>
    <w:p w14:paraId="5AA2D837" w14:textId="0399B5BD" w:rsidR="006C0C1F" w:rsidRDefault="006C0C1F" w:rsidP="00CF127B">
      <w:pPr>
        <w:pStyle w:val="E3Bullets"/>
        <w:numPr>
          <w:ilvl w:val="0"/>
          <w:numId w:val="0"/>
        </w:numPr>
        <w:spacing w:before="120" w:line="276" w:lineRule="auto"/>
        <w:jc w:val="both"/>
      </w:pPr>
      <w:r>
        <w:lastRenderedPageBreak/>
        <w:t xml:space="preserve">Further details of the modelling and assumptions are at </w:t>
      </w:r>
      <w:r w:rsidR="00803448">
        <w:rPr>
          <w:b/>
        </w:rPr>
        <w:t>Attachment C</w:t>
      </w:r>
      <w:r>
        <w:t>.</w:t>
      </w:r>
    </w:p>
    <w:p w14:paraId="344DA267" w14:textId="77777777" w:rsidR="006C0C1F" w:rsidRPr="001A43CF" w:rsidRDefault="006C0C1F" w:rsidP="006C0C1F">
      <w:pPr>
        <w:pStyle w:val="E3Heading2"/>
        <w:spacing w:line="360" w:lineRule="auto"/>
        <w:rPr>
          <w:rFonts w:ascii="Georgia" w:hAnsi="Georgia"/>
          <w:sz w:val="22"/>
        </w:rPr>
      </w:pPr>
      <w:bookmarkStart w:id="238" w:name="_Toc494897980"/>
      <w:bookmarkStart w:id="239" w:name="_Toc494955772"/>
      <w:bookmarkStart w:id="240" w:name="_Toc494959580"/>
      <w:bookmarkStart w:id="241" w:name="_Toc494972706"/>
      <w:bookmarkStart w:id="242" w:name="_Toc494973893"/>
      <w:bookmarkStart w:id="243" w:name="_Toc494974582"/>
      <w:bookmarkStart w:id="244" w:name="_Toc500151815"/>
      <w:r w:rsidRPr="001A43CF">
        <w:rPr>
          <w:rFonts w:ascii="Georgia" w:hAnsi="Georgia"/>
          <w:sz w:val="24"/>
          <w:szCs w:val="32"/>
        </w:rPr>
        <w:t>Value of online energy rating information</w:t>
      </w:r>
      <w:bookmarkEnd w:id="238"/>
      <w:bookmarkEnd w:id="239"/>
      <w:bookmarkEnd w:id="240"/>
      <w:bookmarkEnd w:id="241"/>
      <w:bookmarkEnd w:id="242"/>
      <w:bookmarkEnd w:id="243"/>
      <w:bookmarkEnd w:id="244"/>
    </w:p>
    <w:p w14:paraId="215C1CE4" w14:textId="77777777" w:rsidR="006C0C1F" w:rsidRDefault="006C0C1F" w:rsidP="00CF127B">
      <w:pPr>
        <w:pStyle w:val="E3Bullets"/>
        <w:numPr>
          <w:ilvl w:val="0"/>
          <w:numId w:val="0"/>
        </w:numPr>
        <w:jc w:val="both"/>
        <w:rPr>
          <w:lang w:val="en-NZ" w:eastAsia="en-NZ"/>
        </w:rPr>
      </w:pPr>
      <w:r>
        <w:rPr>
          <w:lang w:val="en-NZ" w:eastAsia="en-NZ"/>
        </w:rPr>
        <w:t>The original proposal was for mandatory labelling to be added to all regulatory options.  This proposal was modified following feedback on the Consultation RIS which provided support for online labelling rather than physical labelling.  Currently online labelling can only occur on a voluntary basis.</w:t>
      </w:r>
    </w:p>
    <w:p w14:paraId="65CD17A4" w14:textId="77777777" w:rsidR="006C0C1F" w:rsidRDefault="006C0C1F" w:rsidP="00CF127B">
      <w:pPr>
        <w:pStyle w:val="E3Bullets"/>
        <w:numPr>
          <w:ilvl w:val="0"/>
          <w:numId w:val="0"/>
        </w:numPr>
        <w:jc w:val="both"/>
        <w:rPr>
          <w:lang w:val="en-NZ" w:eastAsia="en-NZ"/>
        </w:rPr>
      </w:pPr>
    </w:p>
    <w:p w14:paraId="0810CCFE" w14:textId="77777777" w:rsidR="006C0C1F" w:rsidRDefault="006C0C1F" w:rsidP="00CF127B">
      <w:pPr>
        <w:pStyle w:val="E3Bullets"/>
        <w:numPr>
          <w:ilvl w:val="0"/>
          <w:numId w:val="0"/>
        </w:numPr>
        <w:jc w:val="both"/>
      </w:pPr>
      <w:r>
        <w:rPr>
          <w:lang w:val="en-NZ" w:eastAsia="en-NZ"/>
        </w:rPr>
        <w:t>The benefit of online energy rating information is highlighted by identifying the percentage contribution that labelling makes to the overall cost-benefit analysis</w:t>
      </w:r>
      <w:r>
        <w:t>. Without labelling the energy use and greenhouse gas production increases by more than a fifth.</w:t>
      </w:r>
    </w:p>
    <w:p w14:paraId="74952337" w14:textId="258FAC85" w:rsidR="006C0C1F" w:rsidRPr="00D252AB" w:rsidRDefault="006C0C1F" w:rsidP="004E162B">
      <w:pPr>
        <w:pStyle w:val="E3TableTitles"/>
        <w:spacing w:after="120"/>
      </w:pPr>
      <w:bookmarkStart w:id="245" w:name="_Toc500159668"/>
      <w:r w:rsidRPr="004C3E41">
        <w:t>Table 17: The percentage contribution to the overall cost-benefit analysis, that labelling makes. The scenario is for Option 4 EC MEPS from 2019</w:t>
      </w:r>
      <w:r>
        <w:t>.</w:t>
      </w:r>
      <w:bookmarkEnd w:id="245"/>
      <w:r>
        <w:t xml:space="preserve"> </w:t>
      </w:r>
    </w:p>
    <w:tbl>
      <w:tblPr>
        <w:tblStyle w:val="TableGrid"/>
        <w:tblW w:w="0" w:type="auto"/>
        <w:tblLook w:val="04A0" w:firstRow="1" w:lastRow="0" w:firstColumn="1" w:lastColumn="0" w:noHBand="0" w:noVBand="1"/>
      </w:tblPr>
      <w:tblGrid>
        <w:gridCol w:w="3209"/>
        <w:gridCol w:w="3210"/>
        <w:gridCol w:w="3210"/>
      </w:tblGrid>
      <w:tr w:rsidR="006C0C1F" w14:paraId="4C2EE53A" w14:textId="77777777" w:rsidTr="00CF127B">
        <w:tc>
          <w:tcPr>
            <w:tcW w:w="3209" w:type="dxa"/>
            <w:vAlign w:val="center"/>
          </w:tcPr>
          <w:p w14:paraId="1874DA10" w14:textId="77777777" w:rsidR="006C0C1F" w:rsidRPr="006D0D3C" w:rsidRDefault="006C0C1F" w:rsidP="004E162B">
            <w:pPr>
              <w:pStyle w:val="E3Bullets"/>
              <w:numPr>
                <w:ilvl w:val="0"/>
                <w:numId w:val="0"/>
              </w:numPr>
              <w:spacing w:before="60" w:after="60" w:line="276" w:lineRule="auto"/>
              <w:contextualSpacing w:val="0"/>
              <w:jc w:val="center"/>
              <w:rPr>
                <w:rFonts w:ascii="Helvetica" w:hAnsi="Helvetica" w:cs="Helvetica"/>
                <w:b/>
                <w:sz w:val="16"/>
              </w:rPr>
            </w:pPr>
            <w:r w:rsidRPr="006D0D3C">
              <w:rPr>
                <w:rFonts w:ascii="Helvetica" w:hAnsi="Helvetica" w:cs="Helvetica"/>
                <w:b/>
                <w:sz w:val="16"/>
              </w:rPr>
              <w:t>Indicator</w:t>
            </w:r>
          </w:p>
        </w:tc>
        <w:tc>
          <w:tcPr>
            <w:tcW w:w="6420" w:type="dxa"/>
            <w:gridSpan w:val="2"/>
            <w:vAlign w:val="center"/>
          </w:tcPr>
          <w:p w14:paraId="55DE4CA3" w14:textId="77777777" w:rsidR="006C0C1F" w:rsidRPr="006D0D3C" w:rsidRDefault="006C0C1F" w:rsidP="004E162B">
            <w:pPr>
              <w:pStyle w:val="E3Bullets"/>
              <w:numPr>
                <w:ilvl w:val="0"/>
                <w:numId w:val="0"/>
              </w:numPr>
              <w:spacing w:before="60" w:after="60" w:line="276" w:lineRule="auto"/>
              <w:contextualSpacing w:val="0"/>
              <w:jc w:val="center"/>
              <w:rPr>
                <w:rFonts w:ascii="Helvetica" w:hAnsi="Helvetica" w:cs="Helvetica"/>
                <w:b/>
                <w:sz w:val="16"/>
              </w:rPr>
            </w:pPr>
            <w:r w:rsidRPr="006D0D3C">
              <w:rPr>
                <w:rFonts w:ascii="Helvetica" w:hAnsi="Helvetica" w:cs="Helvetica"/>
                <w:b/>
                <w:sz w:val="16"/>
              </w:rPr>
              <w:t>Appliances installed 2017 - 2035</w:t>
            </w:r>
          </w:p>
        </w:tc>
      </w:tr>
      <w:tr w:rsidR="006C0C1F" w14:paraId="28EEB4E8" w14:textId="77777777" w:rsidTr="00CF127B">
        <w:tc>
          <w:tcPr>
            <w:tcW w:w="3209" w:type="dxa"/>
            <w:vAlign w:val="center"/>
          </w:tcPr>
          <w:p w14:paraId="3E1CBE02" w14:textId="77777777" w:rsidR="006C0C1F" w:rsidRPr="006D0D3C" w:rsidRDefault="006C0C1F" w:rsidP="004E162B">
            <w:pPr>
              <w:pStyle w:val="E3Bullets"/>
              <w:numPr>
                <w:ilvl w:val="0"/>
                <w:numId w:val="0"/>
              </w:numPr>
              <w:spacing w:before="60" w:after="60" w:line="276" w:lineRule="auto"/>
              <w:contextualSpacing w:val="0"/>
              <w:rPr>
                <w:rFonts w:ascii="Helvetica" w:hAnsi="Helvetica" w:cs="Helvetica"/>
                <w:b/>
                <w:sz w:val="16"/>
              </w:rPr>
            </w:pPr>
          </w:p>
        </w:tc>
        <w:tc>
          <w:tcPr>
            <w:tcW w:w="3210" w:type="dxa"/>
            <w:vAlign w:val="center"/>
          </w:tcPr>
          <w:p w14:paraId="6FB227B1" w14:textId="77777777" w:rsidR="006C0C1F" w:rsidRPr="006D0D3C" w:rsidRDefault="006C0C1F" w:rsidP="004E162B">
            <w:pPr>
              <w:pStyle w:val="E3Bullets"/>
              <w:numPr>
                <w:ilvl w:val="0"/>
                <w:numId w:val="0"/>
              </w:numPr>
              <w:spacing w:before="60" w:after="60" w:line="276" w:lineRule="auto"/>
              <w:contextualSpacing w:val="0"/>
              <w:jc w:val="center"/>
              <w:rPr>
                <w:rFonts w:ascii="Helvetica" w:hAnsi="Helvetica" w:cs="Helvetica"/>
                <w:b/>
                <w:sz w:val="16"/>
              </w:rPr>
            </w:pPr>
            <w:r w:rsidRPr="006D0D3C">
              <w:rPr>
                <w:rFonts w:ascii="Helvetica" w:hAnsi="Helvetica" w:cs="Helvetica"/>
                <w:b/>
                <w:sz w:val="16"/>
              </w:rPr>
              <w:t>Australia</w:t>
            </w:r>
          </w:p>
        </w:tc>
        <w:tc>
          <w:tcPr>
            <w:tcW w:w="3210" w:type="dxa"/>
            <w:vAlign w:val="center"/>
          </w:tcPr>
          <w:p w14:paraId="20A9B0C2" w14:textId="77777777" w:rsidR="006C0C1F" w:rsidRPr="006D0D3C" w:rsidRDefault="006C0C1F" w:rsidP="004E162B">
            <w:pPr>
              <w:pStyle w:val="E3Bullets"/>
              <w:numPr>
                <w:ilvl w:val="0"/>
                <w:numId w:val="0"/>
              </w:numPr>
              <w:spacing w:before="60" w:after="60" w:line="276" w:lineRule="auto"/>
              <w:contextualSpacing w:val="0"/>
              <w:jc w:val="center"/>
              <w:rPr>
                <w:rFonts w:ascii="Helvetica" w:hAnsi="Helvetica" w:cs="Helvetica"/>
                <w:b/>
                <w:sz w:val="16"/>
              </w:rPr>
            </w:pPr>
            <w:r w:rsidRPr="006D0D3C">
              <w:rPr>
                <w:rFonts w:ascii="Helvetica" w:hAnsi="Helvetica" w:cs="Helvetica"/>
                <w:b/>
                <w:sz w:val="16"/>
              </w:rPr>
              <w:t>New Zealand</w:t>
            </w:r>
          </w:p>
        </w:tc>
      </w:tr>
      <w:tr w:rsidR="006C0C1F" w14:paraId="52203FBC" w14:textId="77777777" w:rsidTr="00CF127B">
        <w:tc>
          <w:tcPr>
            <w:tcW w:w="3209" w:type="dxa"/>
          </w:tcPr>
          <w:p w14:paraId="689EE51F" w14:textId="77777777" w:rsidR="006C0C1F" w:rsidRPr="006D0D3C" w:rsidRDefault="006C0C1F" w:rsidP="004E162B">
            <w:pPr>
              <w:pStyle w:val="E3Bullets"/>
              <w:numPr>
                <w:ilvl w:val="0"/>
                <w:numId w:val="0"/>
              </w:numPr>
              <w:spacing w:before="60" w:after="60" w:line="276" w:lineRule="auto"/>
              <w:contextualSpacing w:val="0"/>
              <w:rPr>
                <w:rFonts w:ascii="Helvetica" w:hAnsi="Helvetica" w:cs="Helvetica"/>
                <w:sz w:val="16"/>
              </w:rPr>
            </w:pPr>
            <w:r w:rsidRPr="006D0D3C">
              <w:rPr>
                <w:rFonts w:ascii="Helvetica" w:hAnsi="Helvetica" w:cs="Helvetica"/>
                <w:sz w:val="16"/>
              </w:rPr>
              <w:t>Energy Savings</w:t>
            </w:r>
          </w:p>
        </w:tc>
        <w:tc>
          <w:tcPr>
            <w:tcW w:w="3210" w:type="dxa"/>
            <w:vAlign w:val="center"/>
          </w:tcPr>
          <w:p w14:paraId="32C8C2FC" w14:textId="77777777" w:rsidR="006C0C1F" w:rsidRPr="006D0D3C"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6D0D3C">
              <w:rPr>
                <w:rFonts w:ascii="Helvetica" w:hAnsi="Helvetica" w:cs="Helvetica"/>
                <w:sz w:val="16"/>
              </w:rPr>
              <w:t>9%</w:t>
            </w:r>
          </w:p>
        </w:tc>
        <w:tc>
          <w:tcPr>
            <w:tcW w:w="3210" w:type="dxa"/>
            <w:vAlign w:val="center"/>
          </w:tcPr>
          <w:p w14:paraId="5AED0687" w14:textId="77777777" w:rsidR="006C0C1F" w:rsidRPr="006D0D3C"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6D0D3C">
              <w:rPr>
                <w:rFonts w:ascii="Helvetica" w:hAnsi="Helvetica" w:cs="Helvetica"/>
                <w:sz w:val="16"/>
              </w:rPr>
              <w:t>9%</w:t>
            </w:r>
          </w:p>
        </w:tc>
      </w:tr>
      <w:tr w:rsidR="006C0C1F" w14:paraId="0E7081B6" w14:textId="77777777" w:rsidTr="00CF127B">
        <w:tc>
          <w:tcPr>
            <w:tcW w:w="3209" w:type="dxa"/>
          </w:tcPr>
          <w:p w14:paraId="3A39EF35" w14:textId="77777777" w:rsidR="006C0C1F" w:rsidRPr="006D0D3C" w:rsidRDefault="006C0C1F" w:rsidP="004E162B">
            <w:pPr>
              <w:pStyle w:val="E3Bullets"/>
              <w:numPr>
                <w:ilvl w:val="0"/>
                <w:numId w:val="0"/>
              </w:numPr>
              <w:spacing w:before="60" w:after="60" w:line="276" w:lineRule="auto"/>
              <w:contextualSpacing w:val="0"/>
              <w:rPr>
                <w:rFonts w:ascii="Helvetica" w:hAnsi="Helvetica" w:cs="Helvetica"/>
                <w:sz w:val="16"/>
              </w:rPr>
            </w:pPr>
            <w:r w:rsidRPr="006D0D3C">
              <w:rPr>
                <w:rFonts w:ascii="Helvetica" w:hAnsi="Helvetica" w:cs="Helvetica"/>
                <w:sz w:val="16"/>
              </w:rPr>
              <w:t>Emissions savings (CO2-e cumulative)</w:t>
            </w:r>
          </w:p>
        </w:tc>
        <w:tc>
          <w:tcPr>
            <w:tcW w:w="3210" w:type="dxa"/>
            <w:vAlign w:val="center"/>
          </w:tcPr>
          <w:p w14:paraId="5B9A8AE9" w14:textId="77777777" w:rsidR="006C0C1F" w:rsidRPr="006D0D3C"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6D0D3C">
              <w:rPr>
                <w:rFonts w:ascii="Helvetica" w:hAnsi="Helvetica" w:cs="Helvetica"/>
                <w:sz w:val="16"/>
              </w:rPr>
              <w:t>9%</w:t>
            </w:r>
          </w:p>
        </w:tc>
        <w:tc>
          <w:tcPr>
            <w:tcW w:w="3210" w:type="dxa"/>
            <w:vAlign w:val="center"/>
          </w:tcPr>
          <w:p w14:paraId="52CFF17F" w14:textId="77777777" w:rsidR="006C0C1F" w:rsidRPr="006D0D3C"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6D0D3C">
              <w:rPr>
                <w:rFonts w:ascii="Helvetica" w:hAnsi="Helvetica" w:cs="Helvetica"/>
                <w:sz w:val="16"/>
              </w:rPr>
              <w:t>9%</w:t>
            </w:r>
          </w:p>
        </w:tc>
      </w:tr>
      <w:tr w:rsidR="006C0C1F" w14:paraId="6C17D10C" w14:textId="77777777" w:rsidTr="00CF127B">
        <w:tc>
          <w:tcPr>
            <w:tcW w:w="3209" w:type="dxa"/>
          </w:tcPr>
          <w:p w14:paraId="0D2CDE2A" w14:textId="77777777" w:rsidR="006C0C1F" w:rsidRPr="006D0D3C" w:rsidRDefault="006C0C1F" w:rsidP="004E162B">
            <w:pPr>
              <w:pStyle w:val="E3Bullets"/>
              <w:numPr>
                <w:ilvl w:val="0"/>
                <w:numId w:val="0"/>
              </w:numPr>
              <w:spacing w:before="60" w:after="60" w:line="276" w:lineRule="auto"/>
              <w:contextualSpacing w:val="0"/>
              <w:rPr>
                <w:rFonts w:ascii="Helvetica" w:hAnsi="Helvetica" w:cs="Helvetica"/>
                <w:sz w:val="16"/>
              </w:rPr>
            </w:pPr>
            <w:r w:rsidRPr="006D0D3C">
              <w:rPr>
                <w:rFonts w:ascii="Helvetica" w:hAnsi="Helvetica" w:cs="Helvetica"/>
                <w:sz w:val="16"/>
              </w:rPr>
              <w:t>Benefits</w:t>
            </w:r>
          </w:p>
        </w:tc>
        <w:tc>
          <w:tcPr>
            <w:tcW w:w="3210" w:type="dxa"/>
            <w:vAlign w:val="center"/>
          </w:tcPr>
          <w:p w14:paraId="0D53A9D5" w14:textId="77777777" w:rsidR="006C0C1F" w:rsidRPr="006D0D3C"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6D0D3C">
              <w:rPr>
                <w:rFonts w:ascii="Helvetica" w:hAnsi="Helvetica" w:cs="Helvetica"/>
                <w:sz w:val="16"/>
              </w:rPr>
              <w:t>11%</w:t>
            </w:r>
          </w:p>
        </w:tc>
        <w:tc>
          <w:tcPr>
            <w:tcW w:w="3210" w:type="dxa"/>
            <w:vAlign w:val="center"/>
          </w:tcPr>
          <w:p w14:paraId="5DA7092C" w14:textId="77777777" w:rsidR="006C0C1F" w:rsidRPr="006D0D3C"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6D0D3C">
              <w:rPr>
                <w:rFonts w:ascii="Helvetica" w:hAnsi="Helvetica" w:cs="Helvetica"/>
                <w:sz w:val="16"/>
              </w:rPr>
              <w:t>11%</w:t>
            </w:r>
          </w:p>
        </w:tc>
      </w:tr>
      <w:tr w:rsidR="006C0C1F" w14:paraId="0605E91D" w14:textId="77777777" w:rsidTr="00CF127B">
        <w:tc>
          <w:tcPr>
            <w:tcW w:w="3209" w:type="dxa"/>
          </w:tcPr>
          <w:p w14:paraId="68BBA10F" w14:textId="77777777" w:rsidR="006C0C1F" w:rsidRPr="006D0D3C" w:rsidRDefault="006C0C1F" w:rsidP="004E162B">
            <w:pPr>
              <w:pStyle w:val="E3Bullets"/>
              <w:numPr>
                <w:ilvl w:val="0"/>
                <w:numId w:val="0"/>
              </w:numPr>
              <w:spacing w:before="60" w:after="60" w:line="276" w:lineRule="auto"/>
              <w:contextualSpacing w:val="0"/>
              <w:rPr>
                <w:rFonts w:ascii="Helvetica" w:hAnsi="Helvetica" w:cs="Helvetica"/>
                <w:sz w:val="16"/>
              </w:rPr>
            </w:pPr>
            <w:r w:rsidRPr="006D0D3C">
              <w:rPr>
                <w:rFonts w:ascii="Helvetica" w:hAnsi="Helvetica" w:cs="Helvetica"/>
                <w:sz w:val="16"/>
              </w:rPr>
              <w:t>Costs</w:t>
            </w:r>
          </w:p>
        </w:tc>
        <w:tc>
          <w:tcPr>
            <w:tcW w:w="3210" w:type="dxa"/>
            <w:vAlign w:val="center"/>
          </w:tcPr>
          <w:p w14:paraId="011EA547" w14:textId="77777777" w:rsidR="006C0C1F" w:rsidRPr="006D0D3C"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6D0D3C">
              <w:rPr>
                <w:rFonts w:ascii="Helvetica" w:hAnsi="Helvetica" w:cs="Helvetica"/>
                <w:sz w:val="16"/>
              </w:rPr>
              <w:t>2%</w:t>
            </w:r>
          </w:p>
        </w:tc>
        <w:tc>
          <w:tcPr>
            <w:tcW w:w="3210" w:type="dxa"/>
            <w:vAlign w:val="center"/>
          </w:tcPr>
          <w:p w14:paraId="0FB74CB1" w14:textId="77777777" w:rsidR="006C0C1F" w:rsidRPr="006D0D3C"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6D0D3C">
              <w:rPr>
                <w:rFonts w:ascii="Helvetica" w:hAnsi="Helvetica" w:cs="Helvetica"/>
                <w:sz w:val="16"/>
              </w:rPr>
              <w:t>2%</w:t>
            </w:r>
          </w:p>
        </w:tc>
      </w:tr>
      <w:tr w:rsidR="006C0C1F" w14:paraId="10D60B74" w14:textId="77777777" w:rsidTr="00CF127B">
        <w:tc>
          <w:tcPr>
            <w:tcW w:w="3209" w:type="dxa"/>
          </w:tcPr>
          <w:p w14:paraId="2BCCAF1A" w14:textId="77777777" w:rsidR="006C0C1F" w:rsidRPr="006D0D3C" w:rsidRDefault="006C0C1F" w:rsidP="004E162B">
            <w:pPr>
              <w:pStyle w:val="E3Bullets"/>
              <w:numPr>
                <w:ilvl w:val="0"/>
                <w:numId w:val="0"/>
              </w:numPr>
              <w:spacing w:before="60" w:after="60" w:line="276" w:lineRule="auto"/>
              <w:contextualSpacing w:val="0"/>
              <w:rPr>
                <w:rFonts w:ascii="Helvetica" w:hAnsi="Helvetica" w:cs="Helvetica"/>
                <w:sz w:val="16"/>
              </w:rPr>
            </w:pPr>
            <w:r w:rsidRPr="006D0D3C">
              <w:rPr>
                <w:rFonts w:ascii="Helvetica" w:hAnsi="Helvetica" w:cs="Helvetica"/>
                <w:sz w:val="16"/>
              </w:rPr>
              <w:t>Net Present Value</w:t>
            </w:r>
          </w:p>
        </w:tc>
        <w:tc>
          <w:tcPr>
            <w:tcW w:w="3210" w:type="dxa"/>
            <w:vAlign w:val="center"/>
          </w:tcPr>
          <w:p w14:paraId="6666450F" w14:textId="77777777" w:rsidR="006C0C1F" w:rsidRPr="006D0D3C"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6D0D3C">
              <w:rPr>
                <w:rFonts w:ascii="Helvetica" w:hAnsi="Helvetica" w:cs="Helvetica"/>
                <w:sz w:val="16"/>
              </w:rPr>
              <w:t>13%</w:t>
            </w:r>
          </w:p>
        </w:tc>
        <w:tc>
          <w:tcPr>
            <w:tcW w:w="3210" w:type="dxa"/>
            <w:vAlign w:val="center"/>
          </w:tcPr>
          <w:p w14:paraId="7C743304" w14:textId="77777777" w:rsidR="006C0C1F" w:rsidRPr="006D0D3C"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6D0D3C">
              <w:rPr>
                <w:rFonts w:ascii="Helvetica" w:hAnsi="Helvetica" w:cs="Helvetica"/>
                <w:sz w:val="16"/>
              </w:rPr>
              <w:t>13%</w:t>
            </w:r>
          </w:p>
        </w:tc>
      </w:tr>
      <w:tr w:rsidR="006C0C1F" w14:paraId="5B803A2B" w14:textId="77777777" w:rsidTr="00CF127B">
        <w:tc>
          <w:tcPr>
            <w:tcW w:w="3209" w:type="dxa"/>
          </w:tcPr>
          <w:p w14:paraId="7E82234C" w14:textId="77777777" w:rsidR="006C0C1F" w:rsidRPr="006D0D3C" w:rsidRDefault="006C0C1F" w:rsidP="004E162B">
            <w:pPr>
              <w:pStyle w:val="E3Bullets"/>
              <w:numPr>
                <w:ilvl w:val="0"/>
                <w:numId w:val="0"/>
              </w:numPr>
              <w:spacing w:before="60" w:after="60" w:line="276" w:lineRule="auto"/>
              <w:contextualSpacing w:val="0"/>
              <w:rPr>
                <w:rFonts w:ascii="Helvetica" w:hAnsi="Helvetica" w:cs="Helvetica"/>
                <w:sz w:val="16"/>
              </w:rPr>
            </w:pPr>
            <w:r w:rsidRPr="006D0D3C">
              <w:rPr>
                <w:rFonts w:ascii="Helvetica" w:hAnsi="Helvetica" w:cs="Helvetica"/>
                <w:sz w:val="16"/>
              </w:rPr>
              <w:t>Benefit cost ratio</w:t>
            </w:r>
          </w:p>
        </w:tc>
        <w:tc>
          <w:tcPr>
            <w:tcW w:w="3210" w:type="dxa"/>
            <w:vAlign w:val="center"/>
          </w:tcPr>
          <w:p w14:paraId="619129B8" w14:textId="77777777" w:rsidR="006C0C1F" w:rsidRPr="006D0D3C"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6D0D3C">
              <w:rPr>
                <w:rFonts w:ascii="Helvetica" w:hAnsi="Helvetica" w:cs="Helvetica"/>
                <w:sz w:val="16"/>
              </w:rPr>
              <w:t>8.8%</w:t>
            </w:r>
          </w:p>
        </w:tc>
        <w:tc>
          <w:tcPr>
            <w:tcW w:w="3210" w:type="dxa"/>
            <w:vAlign w:val="center"/>
          </w:tcPr>
          <w:p w14:paraId="18FA75A7" w14:textId="77777777" w:rsidR="006C0C1F" w:rsidRPr="006D0D3C" w:rsidRDefault="006C0C1F" w:rsidP="004E162B">
            <w:pPr>
              <w:pStyle w:val="E3Bullets"/>
              <w:numPr>
                <w:ilvl w:val="0"/>
                <w:numId w:val="0"/>
              </w:numPr>
              <w:spacing w:before="60" w:after="60" w:line="276" w:lineRule="auto"/>
              <w:contextualSpacing w:val="0"/>
              <w:jc w:val="center"/>
              <w:rPr>
                <w:rFonts w:ascii="Helvetica" w:hAnsi="Helvetica" w:cs="Helvetica"/>
                <w:sz w:val="16"/>
              </w:rPr>
            </w:pPr>
            <w:r w:rsidRPr="006D0D3C">
              <w:rPr>
                <w:rFonts w:ascii="Helvetica" w:hAnsi="Helvetica" w:cs="Helvetica"/>
                <w:sz w:val="16"/>
              </w:rPr>
              <w:t>8.6%</w:t>
            </w:r>
          </w:p>
        </w:tc>
      </w:tr>
    </w:tbl>
    <w:p w14:paraId="61446DCB" w14:textId="77777777" w:rsidR="006C0C1F" w:rsidRDefault="006C0C1F" w:rsidP="00CF127B">
      <w:pPr>
        <w:pStyle w:val="E3Bullets"/>
        <w:numPr>
          <w:ilvl w:val="0"/>
          <w:numId w:val="0"/>
        </w:numPr>
        <w:spacing w:before="240" w:after="240"/>
        <w:jc w:val="both"/>
      </w:pPr>
      <w:r>
        <w:t>Although MEPS revision alone has a positive benefit, adding labelling to MEPS revision creates a greater, combined benefit –for a comparatively minimal cost, the benefits from the addition of labelling are significant. Labelling works best as an additional measure, supported by the regulatory structure that a MEPS scheme provides.</w:t>
      </w:r>
    </w:p>
    <w:p w14:paraId="1934ED59" w14:textId="77777777" w:rsidR="006C0C1F" w:rsidRDefault="006C0C1F" w:rsidP="00CF127B">
      <w:pPr>
        <w:pStyle w:val="E3Bullets"/>
        <w:numPr>
          <w:ilvl w:val="0"/>
          <w:numId w:val="0"/>
        </w:numPr>
        <w:jc w:val="both"/>
      </w:pPr>
    </w:p>
    <w:p w14:paraId="1E8238B0" w14:textId="77777777" w:rsidR="006C0C1F" w:rsidRDefault="006C0C1F" w:rsidP="004E162B">
      <w:pPr>
        <w:pStyle w:val="E3Bullets"/>
        <w:numPr>
          <w:ilvl w:val="0"/>
          <w:numId w:val="0"/>
        </w:numPr>
        <w:spacing w:after="60"/>
        <w:contextualSpacing w:val="0"/>
        <w:jc w:val="both"/>
      </w:pPr>
      <w:r>
        <w:t>The value of online energy rating information, added to MEPS revision, includes:</w:t>
      </w:r>
    </w:p>
    <w:p w14:paraId="29767C7A" w14:textId="77777777" w:rsidR="006C0C1F" w:rsidRDefault="006C0C1F" w:rsidP="004E162B">
      <w:pPr>
        <w:pStyle w:val="E3Bullets"/>
        <w:autoSpaceDE/>
        <w:autoSpaceDN/>
        <w:adjustRightInd/>
        <w:spacing w:after="60" w:line="276" w:lineRule="auto"/>
        <w:ind w:left="714" w:hanging="357"/>
        <w:contextualSpacing w:val="0"/>
        <w:jc w:val="both"/>
      </w:pPr>
      <w:r>
        <w:t>Adding another level of information about new and currently registered and approved models (which would apply to all cabinet models).</w:t>
      </w:r>
      <w:r>
        <w:rPr>
          <w:rStyle w:val="FootnoteReference"/>
        </w:rPr>
        <w:footnoteReference w:id="44"/>
      </w:r>
    </w:p>
    <w:p w14:paraId="1D69AA71" w14:textId="77777777" w:rsidR="006C0C1F" w:rsidRDefault="006C0C1F" w:rsidP="004E162B">
      <w:pPr>
        <w:pStyle w:val="E3Bullets"/>
        <w:autoSpaceDE/>
        <w:autoSpaceDN/>
        <w:adjustRightInd/>
        <w:spacing w:after="60" w:line="276" w:lineRule="auto"/>
        <w:ind w:left="714" w:hanging="357"/>
        <w:contextualSpacing w:val="0"/>
        <w:jc w:val="both"/>
      </w:pPr>
      <w:r>
        <w:rPr>
          <w:lang w:val="en-NZ" w:eastAsia="en-NZ"/>
        </w:rPr>
        <w:t>Addressing current information failures and barriers in the cabinet market which prevent buyers from obtaining information about the relative energy efficiency of different cabinet models.</w:t>
      </w:r>
      <w:r>
        <w:t xml:space="preserve"> Online energy rating information could assist buyers to make more informed choices where energy use is perceived as being important.  The star rating style label is already readily identifiable by consumers and would provide an effective means of assessing the energy efficiency of products.</w:t>
      </w:r>
    </w:p>
    <w:p w14:paraId="79BC8352" w14:textId="77777777" w:rsidR="006C0C1F" w:rsidRDefault="006C0C1F" w:rsidP="006C0C1F">
      <w:pPr>
        <w:pStyle w:val="E3Bullets"/>
        <w:autoSpaceDE/>
        <w:autoSpaceDN/>
        <w:adjustRightInd/>
        <w:spacing w:before="240" w:line="276" w:lineRule="auto"/>
        <w:ind w:left="714" w:hanging="357"/>
        <w:jc w:val="both"/>
      </w:pPr>
      <w:r>
        <w:lastRenderedPageBreak/>
        <w:t>Generating con</w:t>
      </w:r>
      <w:r>
        <w:rPr>
          <w:lang w:val="en-NZ" w:eastAsia="en-NZ"/>
        </w:rPr>
        <w:t>sumer awareness of energy efficiency.</w:t>
      </w:r>
      <w:r>
        <w:t xml:space="preserve"> Because of the way that cabinets are marketed (not through major retail on-floor comparisons), online energy rating information would be an effective additional measure to drive efficiency improvements in commercial refrigerated cabinets. </w:t>
      </w:r>
    </w:p>
    <w:p w14:paraId="5006CB90" w14:textId="77777777" w:rsidR="006C0C1F" w:rsidRDefault="006C0C1F" w:rsidP="006C0C1F">
      <w:pPr>
        <w:spacing w:before="240"/>
        <w:jc w:val="both"/>
        <w:rPr>
          <w:sz w:val="24"/>
        </w:rPr>
      </w:pPr>
      <w:r>
        <w:rPr>
          <w:sz w:val="24"/>
        </w:rPr>
        <w:t>Mandatory labelling was not supported by industry when consulted on the Consultation RIS proposals. The main industry concern was that physical labels added cost but were of little benefit when making a purchasing decision or product comparison about refrigerated commercial cabinets (which generally does not occur in a showroom).  The general opinion was best expressed by this submitter:</w:t>
      </w:r>
    </w:p>
    <w:p w14:paraId="2FBC2702" w14:textId="77777777" w:rsidR="006C0C1F" w:rsidRDefault="006C0C1F" w:rsidP="006C0C1F">
      <w:pPr>
        <w:jc w:val="both"/>
        <w:rPr>
          <w:i/>
          <w:sz w:val="24"/>
        </w:rPr>
      </w:pPr>
      <w:r>
        <w:rPr>
          <w:i/>
          <w:sz w:val="24"/>
        </w:rPr>
        <w:t>“It is another cost and for a commercial product we see no benefit. It must be remembered that these cabinets are not purchased from a showroom.  The purchase order issuer generally never physically interacts with these cabinets, and once installed any label would be covered by the displayed merchandise products.”</w:t>
      </w:r>
    </w:p>
    <w:p w14:paraId="60314D71" w14:textId="77777777" w:rsidR="006C0C1F" w:rsidRDefault="006C0C1F" w:rsidP="006C0C1F">
      <w:pPr>
        <w:spacing w:before="240"/>
        <w:jc w:val="both"/>
        <w:rPr>
          <w:sz w:val="24"/>
        </w:rPr>
      </w:pPr>
      <w:r>
        <w:rPr>
          <w:sz w:val="24"/>
        </w:rPr>
        <w:t>However, it was also acknowledged that:</w:t>
      </w:r>
    </w:p>
    <w:p w14:paraId="5E74E076" w14:textId="77777777" w:rsidR="006C0C1F" w:rsidRDefault="006C0C1F" w:rsidP="006C0C1F">
      <w:pPr>
        <w:spacing w:before="240"/>
        <w:jc w:val="both"/>
        <w:rPr>
          <w:i/>
          <w:sz w:val="24"/>
        </w:rPr>
      </w:pPr>
      <w:r>
        <w:rPr>
          <w:i/>
          <w:sz w:val="24"/>
        </w:rPr>
        <w:t>“…labelling may bring cultural change in small scale buyers who can at least make a relative judgment using the label information when they are not prepared to make full engineering analysis of energy impact like the large scale buyers.”</w:t>
      </w:r>
    </w:p>
    <w:p w14:paraId="44D3E4BC" w14:textId="77777777" w:rsidR="006C0C1F" w:rsidRDefault="006C0C1F" w:rsidP="006C0C1F">
      <w:pPr>
        <w:spacing w:before="240"/>
        <w:jc w:val="both"/>
        <w:rPr>
          <w:sz w:val="24"/>
        </w:rPr>
      </w:pPr>
      <w:r>
        <w:rPr>
          <w:sz w:val="24"/>
        </w:rPr>
        <w:t xml:space="preserve">There was also acceptance that labelling could be approached differently depending on the circumstances.  If a product was on display in a showroom then a label must be fixed to the product to assist consumers in their selection.  However, with commercial products a developer may buy based on low upfront cost. Physically labelling an item in these circumstances will not reach the payer of the electricity bill, and the labels will likely be removed once the fridge is installed.  </w:t>
      </w:r>
    </w:p>
    <w:p w14:paraId="0FFAE049" w14:textId="77777777" w:rsidR="006C0C1F" w:rsidRDefault="006C0C1F" w:rsidP="006C0C1F">
      <w:pPr>
        <w:spacing w:before="240"/>
        <w:jc w:val="both"/>
        <w:rPr>
          <w:sz w:val="24"/>
        </w:rPr>
      </w:pPr>
      <w:r>
        <w:rPr>
          <w:sz w:val="24"/>
        </w:rPr>
        <w:t xml:space="preserve">Under the regulations that enact the MEPS and labelling requirements in both Australia and New Zealand, mandatory labelling is required on the appliance itself, or nearby.  </w:t>
      </w:r>
    </w:p>
    <w:p w14:paraId="61C5C545" w14:textId="6C5FDBAB" w:rsidR="00D1677D" w:rsidRPr="004E162B" w:rsidRDefault="006C0C1F" w:rsidP="004E162B">
      <w:pPr>
        <w:spacing w:before="240"/>
        <w:jc w:val="both"/>
        <w:rPr>
          <w:sz w:val="24"/>
        </w:rPr>
      </w:pPr>
      <w:r>
        <w:rPr>
          <w:sz w:val="24"/>
        </w:rPr>
        <w:t>Use of labels in literature, websites or apps, is voluntary, at this stage. A trial is underway in Australia for voluntary disclosure of labels in literature and online media, for domestic appliances such as TVs and whitegoods.   If the decision is made to add labelling to refrigerated display and storage cabinets, an option might be for companies to sign a partnership agreement with government. This would mean that the labels are voluntarily displayed online according to specifications set out in each agreement.</w:t>
      </w:r>
      <w:r>
        <w:rPr>
          <w:rStyle w:val="FootnoteReference"/>
          <w:sz w:val="24"/>
        </w:rPr>
        <w:footnoteReference w:id="45"/>
      </w:r>
      <w:r w:rsidR="004E162B">
        <w:rPr>
          <w:sz w:val="24"/>
        </w:rPr>
        <w:t xml:space="preserve"> </w:t>
      </w:r>
    </w:p>
    <w:p w14:paraId="4DDEEFF6" w14:textId="77777777" w:rsidR="004E162B" w:rsidRDefault="004E162B">
      <w:pPr>
        <w:spacing w:after="0" w:line="240" w:lineRule="auto"/>
        <w:rPr>
          <w:rFonts w:ascii="Helvetica" w:eastAsia="Calibri" w:hAnsi="Helvetica" w:cs="Arial"/>
          <w:b/>
          <w:color w:val="000000" w:themeColor="text1"/>
          <w:sz w:val="32"/>
          <w:szCs w:val="26"/>
          <w:lang w:val="en-US"/>
        </w:rPr>
      </w:pPr>
      <w:r>
        <w:br w:type="page"/>
      </w:r>
    </w:p>
    <w:p w14:paraId="1DC986EA" w14:textId="4885BE36" w:rsidR="006C0C1F" w:rsidRPr="006D0D3C" w:rsidRDefault="006C0C1F" w:rsidP="00CF127B">
      <w:pPr>
        <w:pStyle w:val="E3Heading2"/>
      </w:pPr>
      <w:bookmarkStart w:id="246" w:name="_Toc500151816"/>
      <w:r w:rsidRPr="006D0D3C">
        <w:lastRenderedPageBreak/>
        <w:t>Discussion of Non-Regulatory Options</w:t>
      </w:r>
      <w:bookmarkEnd w:id="246"/>
    </w:p>
    <w:p w14:paraId="57497687" w14:textId="77777777" w:rsidR="006C0C1F" w:rsidRDefault="006C0C1F" w:rsidP="002759B7">
      <w:pPr>
        <w:pStyle w:val="E3BodyText"/>
        <w:jc w:val="both"/>
      </w:pPr>
      <w:r>
        <w:t xml:space="preserve">In general, non-regulatory intervention is not considered to be effective enough in conjunction with existing MEPS regulations, to resolve all the issues that present themselves in the market. </w:t>
      </w:r>
    </w:p>
    <w:p w14:paraId="385509BC" w14:textId="77777777" w:rsidR="006C0C1F" w:rsidRDefault="006C0C1F" w:rsidP="002759B7">
      <w:pPr>
        <w:pStyle w:val="E3BodyText"/>
        <w:jc w:val="both"/>
      </w:pPr>
      <w:r>
        <w:t xml:space="preserve">Voluntary codes for </w:t>
      </w:r>
      <w:r>
        <w:rPr>
          <w:i/>
        </w:rPr>
        <w:t>industry</w:t>
      </w:r>
      <w:r>
        <w:t xml:space="preserve"> will not change </w:t>
      </w:r>
      <w:r>
        <w:rPr>
          <w:i/>
        </w:rPr>
        <w:t>buyer</w:t>
      </w:r>
      <w:r>
        <w:t xml:space="preserve"> behaviour unless the whole of industry agrees to adopt them. As seen in other product markets, efficient models tend to be advertised with efficiency factors or qualities highlighted, but less efficient products tend to be advertised using other features.</w:t>
      </w:r>
    </w:p>
    <w:p w14:paraId="31635255" w14:textId="77777777" w:rsidR="006C0C1F" w:rsidRDefault="006C0C1F" w:rsidP="002759B7">
      <w:pPr>
        <w:pStyle w:val="E3BodyText"/>
        <w:jc w:val="both"/>
      </w:pPr>
      <w:r>
        <w:t>The European and Australian incentive schemes are underpinned by legislation, energy efficiency standards and/ or databases.  They are run by regulatory agencies with auditing programmes and are only as ‘good’ as the associated efficiency standards.</w:t>
      </w:r>
    </w:p>
    <w:p w14:paraId="4A5A42F9" w14:textId="77777777" w:rsidR="006C0C1F" w:rsidRDefault="006C0C1F" w:rsidP="002759B7">
      <w:pPr>
        <w:pStyle w:val="E3BodyText"/>
        <w:jc w:val="both"/>
      </w:pPr>
      <w:r>
        <w:t>Improving the energy efficiency standard for refrigerated cabinets and assigning new HEPS levels would improve the Australian Emissions Reduction Fund scheme (for example) and overcome the existing deficiencies with AS 1731 – where approx. 20% of the market is ineligible to take part in the scheme because they are excluded from AS 1731.</w:t>
      </w:r>
    </w:p>
    <w:p w14:paraId="03C817DD" w14:textId="77777777" w:rsidR="006C0C1F" w:rsidRDefault="006C0C1F" w:rsidP="002759B7">
      <w:pPr>
        <w:pStyle w:val="E3BodyText"/>
        <w:jc w:val="both"/>
      </w:pPr>
      <w:r>
        <w:t xml:space="preserve">For the Australian scheme, there is typically a time lag (about a year) for applicants to learn of and appreciate the possible returns from upgrading equipment and being part of the scheme. Amalgamating many small returns could make it worthwhile for smaller companies to amalgamate their savings potential and sell within the scheme. Otherwise the scheme is likely to only attract larger companies who can justify the returns for their efforts to engage with the process. </w:t>
      </w:r>
    </w:p>
    <w:p w14:paraId="2E481EC0" w14:textId="77777777" w:rsidR="006C0C1F" w:rsidRDefault="006C0C1F" w:rsidP="002759B7">
      <w:pPr>
        <w:pStyle w:val="E3BodyText"/>
        <w:jc w:val="both"/>
      </w:pPr>
      <w:r>
        <w:t>New Zealand would have to update its processes to implement a similar scheme rather than focus on changing the existing MEPS regime and establishing eligibility criteria.</w:t>
      </w:r>
    </w:p>
    <w:p w14:paraId="1E6A405E" w14:textId="24C3AA3A" w:rsidR="002759B7" w:rsidRDefault="006C0C1F" w:rsidP="004E162B">
      <w:pPr>
        <w:pStyle w:val="E3BodyText"/>
        <w:jc w:val="both"/>
      </w:pPr>
      <w:r>
        <w:t>Voluntary codes could change buyer behaviour if there are sufficient incentives and if buyers could successfully be targeted by a buyer education campaign. It requires a robust compliance regime to be effective, with the potential for cost to members of the in</w:t>
      </w:r>
      <w:r w:rsidR="002759B7">
        <w:t>dustry who choose to take part.</w:t>
      </w:r>
    </w:p>
    <w:p w14:paraId="28A032A5" w14:textId="77777777" w:rsidR="004E162B" w:rsidRDefault="004E162B">
      <w:pPr>
        <w:spacing w:after="0" w:line="240" w:lineRule="auto"/>
        <w:rPr>
          <w:rFonts w:ascii="Helvetica" w:eastAsia="Calibri" w:hAnsi="Helvetica" w:cs="Arial"/>
          <w:b/>
          <w:color w:val="000000" w:themeColor="text1"/>
          <w:sz w:val="32"/>
          <w:szCs w:val="26"/>
          <w:lang w:val="en-US"/>
        </w:rPr>
      </w:pPr>
      <w:r>
        <w:br w:type="page"/>
      </w:r>
    </w:p>
    <w:p w14:paraId="4088DD7E" w14:textId="27D4C542" w:rsidR="006C0C1F" w:rsidRPr="00CF127B" w:rsidRDefault="006C0C1F" w:rsidP="002759B7">
      <w:pPr>
        <w:pStyle w:val="E3Heading2"/>
      </w:pPr>
      <w:bookmarkStart w:id="247" w:name="_Toc500151817"/>
      <w:r w:rsidRPr="00CF127B">
        <w:lastRenderedPageBreak/>
        <w:t>Summary of impacts, costs and benefits</w:t>
      </w:r>
      <w:bookmarkEnd w:id="247"/>
    </w:p>
    <w:p w14:paraId="5DA5FCE5" w14:textId="3E8C58DE" w:rsidR="006C0C1F" w:rsidRDefault="006C0C1F" w:rsidP="002759B7">
      <w:pPr>
        <w:pStyle w:val="E3BodyText"/>
        <w:jc w:val="both"/>
      </w:pPr>
      <w:r>
        <w:t>This Cost Benefit Analysis has considered the five policy options.</w:t>
      </w:r>
      <w:r>
        <w:rPr>
          <w:rStyle w:val="FootnoteReference"/>
        </w:rPr>
        <w:footnoteReference w:id="46"/>
      </w:r>
    </w:p>
    <w:p w14:paraId="12647A68" w14:textId="77777777" w:rsidR="006C0C1F" w:rsidRDefault="006C0C1F" w:rsidP="002759B7">
      <w:pPr>
        <w:pStyle w:val="E3BodyText"/>
        <w:jc w:val="both"/>
      </w:pPr>
      <w:r>
        <w:t xml:space="preserve">The first option is BAU. </w:t>
      </w:r>
    </w:p>
    <w:p w14:paraId="33B8B5C8" w14:textId="77777777" w:rsidR="006C0C1F" w:rsidRDefault="006C0C1F" w:rsidP="002759B7">
      <w:pPr>
        <w:pStyle w:val="E3BodyText"/>
        <w:jc w:val="both"/>
      </w:pPr>
      <w:r>
        <w:t xml:space="preserve">Three regulatory options have been considered – options 2, 3 and 4, each of which include adopting the ISO 23953 for display cabinets and related standards for sub-sets of display types (and EN 16825 for storage cabinets but with different MEPS scenarios). </w:t>
      </w:r>
    </w:p>
    <w:p w14:paraId="502296DE" w14:textId="77777777" w:rsidR="006C0C1F" w:rsidRDefault="006C0C1F" w:rsidP="002759B7">
      <w:pPr>
        <w:pStyle w:val="E3BodyText"/>
        <w:jc w:val="both"/>
      </w:pPr>
      <w:r>
        <w:t>Non-regulatory option 5 was also considered as a possible alternative to regulatory intervention.</w:t>
      </w:r>
    </w:p>
    <w:p w14:paraId="5A029AFD" w14:textId="77777777" w:rsidR="006C0C1F" w:rsidRDefault="006C0C1F" w:rsidP="002759B7">
      <w:pPr>
        <w:pStyle w:val="E3BodyText"/>
        <w:jc w:val="both"/>
      </w:pPr>
      <w:r>
        <w:t xml:space="preserve">The analysis compared the BAU scenario with three regulatory options, each of which showed gains in energy emissions when compared with existing regulation. </w:t>
      </w:r>
    </w:p>
    <w:p w14:paraId="3100BBAB" w14:textId="77777777" w:rsidR="006C0C1F" w:rsidRDefault="006C0C1F" w:rsidP="002759B7">
      <w:pPr>
        <w:pStyle w:val="E3BodyText"/>
        <w:jc w:val="both"/>
      </w:pPr>
      <w:r>
        <w:t xml:space="preserve">The modelling was revised as a result of the consultation process to include the total compliance costs, including the cost of registration. </w:t>
      </w:r>
    </w:p>
    <w:p w14:paraId="042C6E36" w14:textId="77777777" w:rsidR="006C0C1F" w:rsidRDefault="006C0C1F" w:rsidP="002759B7">
      <w:pPr>
        <w:pStyle w:val="E3BodyText"/>
        <w:jc w:val="both"/>
      </w:pPr>
      <w:r>
        <w:t>Each of the regulatory options analysed – starting with a 10% increase in Australasian MEPS levels in option 2 through to adopting EC MEPS in option 4 – achieved gains incrementally from the previous options.</w:t>
      </w:r>
    </w:p>
    <w:p w14:paraId="378CADFD" w14:textId="77777777" w:rsidR="006C0C1F" w:rsidRDefault="006C0C1F" w:rsidP="002759B7">
      <w:pPr>
        <w:pStyle w:val="E3BodyText"/>
        <w:jc w:val="both"/>
      </w:pPr>
      <w:r>
        <w:t>The updated analysis indicates that options 3 and 4 would achieve the greatest overall net benefit, with option 4 resulting in the most significant improvements in energy savings and greenhouse gas deductions.</w:t>
      </w:r>
    </w:p>
    <w:p w14:paraId="2AFB885F" w14:textId="6BB41E49" w:rsidR="006C0C1F" w:rsidRDefault="006C0C1F" w:rsidP="002759B7">
      <w:pPr>
        <w:pStyle w:val="E3BodyText"/>
        <w:jc w:val="both"/>
      </w:pPr>
      <w:r>
        <w:t xml:space="preserve">See </w:t>
      </w:r>
      <w:r>
        <w:rPr>
          <w:b/>
        </w:rPr>
        <w:t xml:space="preserve">Attachment </w:t>
      </w:r>
      <w:r w:rsidR="00803448">
        <w:rPr>
          <w:b/>
        </w:rPr>
        <w:t>C</w:t>
      </w:r>
      <w:r>
        <w:rPr>
          <w:b/>
        </w:rPr>
        <w:t xml:space="preserve"> </w:t>
      </w:r>
      <w:r>
        <w:t>for further details as to the cost/benefit results and methodology, including stock modelling and assumptions and sensitivity tests.</w:t>
      </w:r>
    </w:p>
    <w:p w14:paraId="3FB40F8A" w14:textId="77777777" w:rsidR="002759B7" w:rsidRDefault="002759B7" w:rsidP="002759B7">
      <w:pPr>
        <w:pStyle w:val="E3BodyText"/>
        <w:jc w:val="both"/>
      </w:pPr>
    </w:p>
    <w:p w14:paraId="0EAB669A" w14:textId="694E6B95" w:rsidR="004E162B" w:rsidRDefault="006C0C1F" w:rsidP="002759B7">
      <w:pPr>
        <w:pStyle w:val="E3BodyText"/>
      </w:pPr>
      <w:r>
        <w:t xml:space="preserve">A summary of the estimated impacts of each policy option is shown in </w:t>
      </w:r>
      <w:r>
        <w:rPr>
          <w:b/>
          <w:sz w:val="22"/>
          <w:szCs w:val="22"/>
        </w:rPr>
        <w:t>Table 18</w:t>
      </w:r>
      <w:r>
        <w:t xml:space="preserve"> below.</w:t>
      </w:r>
    </w:p>
    <w:p w14:paraId="00822F24" w14:textId="77777777" w:rsidR="004E162B" w:rsidRDefault="004E162B">
      <w:pPr>
        <w:spacing w:after="0" w:line="240" w:lineRule="auto"/>
        <w:rPr>
          <w:rFonts w:eastAsia="Calibri" w:cs="Georgia"/>
          <w:color w:val="000000"/>
          <w:sz w:val="24"/>
          <w:szCs w:val="19"/>
          <w:lang w:val="en-US"/>
        </w:rPr>
      </w:pPr>
      <w:r>
        <w:br w:type="page"/>
      </w:r>
    </w:p>
    <w:p w14:paraId="47E6C3A6" w14:textId="527E4F96" w:rsidR="006C0C1F" w:rsidRPr="004C3E41" w:rsidRDefault="006C0C1F" w:rsidP="004C3E41">
      <w:pPr>
        <w:pStyle w:val="E3TableTitles"/>
      </w:pPr>
      <w:bookmarkStart w:id="248" w:name="_Toc500159669"/>
      <w:r w:rsidRPr="004C3E41">
        <w:lastRenderedPageBreak/>
        <w:t>Table 18: Summary of cost-benefit analysis of regulatory options for Australia and New Zealand (from 2019 to 2035).</w:t>
      </w:r>
      <w:bookmarkEnd w:id="248"/>
    </w:p>
    <w:tbl>
      <w:tblPr>
        <w:tblW w:w="10462" w:type="dxa"/>
        <w:tblInd w:w="-289" w:type="dxa"/>
        <w:tblLayout w:type="fixed"/>
        <w:tblLook w:val="04A0" w:firstRow="1" w:lastRow="0" w:firstColumn="1" w:lastColumn="0" w:noHBand="0" w:noVBand="1"/>
      </w:tblPr>
      <w:tblGrid>
        <w:gridCol w:w="1135"/>
        <w:gridCol w:w="709"/>
        <w:gridCol w:w="708"/>
        <w:gridCol w:w="709"/>
        <w:gridCol w:w="855"/>
        <w:gridCol w:w="676"/>
        <w:gridCol w:w="708"/>
        <w:gridCol w:w="993"/>
        <w:gridCol w:w="708"/>
        <w:gridCol w:w="567"/>
        <w:gridCol w:w="709"/>
        <w:gridCol w:w="738"/>
        <w:gridCol w:w="567"/>
        <w:gridCol w:w="680"/>
      </w:tblGrid>
      <w:tr w:rsidR="006C0C1F" w14:paraId="45C3A288" w14:textId="77777777" w:rsidTr="006C0C1F">
        <w:trPr>
          <w:trHeight w:val="292"/>
        </w:trPr>
        <w:tc>
          <w:tcPr>
            <w:tcW w:w="1135" w:type="dxa"/>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7AEC8E71" w14:textId="77777777" w:rsidR="006C0C1F" w:rsidRPr="0041262C" w:rsidRDefault="006C0C1F" w:rsidP="006C0C1F">
            <w:pPr>
              <w:pStyle w:val="E3TableHeading"/>
              <w:spacing w:line="256" w:lineRule="auto"/>
              <w:rPr>
                <w:sz w:val="14"/>
              </w:rPr>
            </w:pPr>
            <w:r w:rsidRPr="0041262C">
              <w:rPr>
                <w:sz w:val="14"/>
              </w:rPr>
              <w:t>AUSTRALIA</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60218EC4" w14:textId="77777777" w:rsidR="006C0C1F" w:rsidRPr="0041262C" w:rsidRDefault="006C0C1F" w:rsidP="006C0C1F">
            <w:pPr>
              <w:pStyle w:val="E3TableHeading"/>
              <w:spacing w:line="256" w:lineRule="auto"/>
              <w:jc w:val="center"/>
              <w:rPr>
                <w:sz w:val="14"/>
              </w:rPr>
            </w:pPr>
            <w:r w:rsidRPr="0041262C">
              <w:rPr>
                <w:sz w:val="14"/>
              </w:rPr>
              <w:t>Option 2</w:t>
            </w:r>
          </w:p>
        </w:tc>
        <w:tc>
          <w:tcPr>
            <w:tcW w:w="1564"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026EF004" w14:textId="77777777" w:rsidR="006C0C1F" w:rsidRPr="0041262C" w:rsidRDefault="006C0C1F" w:rsidP="006C0C1F">
            <w:pPr>
              <w:pStyle w:val="E3TableHeading"/>
              <w:spacing w:line="256" w:lineRule="auto"/>
              <w:jc w:val="center"/>
              <w:rPr>
                <w:sz w:val="14"/>
              </w:rPr>
            </w:pPr>
            <w:r w:rsidRPr="0041262C">
              <w:rPr>
                <w:sz w:val="14"/>
              </w:rPr>
              <w:t>3</w:t>
            </w:r>
          </w:p>
        </w:tc>
        <w:tc>
          <w:tcPr>
            <w:tcW w:w="1384"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74FA71C3" w14:textId="77777777" w:rsidR="006C0C1F" w:rsidRPr="0041262C" w:rsidRDefault="006C0C1F" w:rsidP="006C0C1F">
            <w:pPr>
              <w:pStyle w:val="E3TableHeading"/>
              <w:spacing w:line="256" w:lineRule="auto"/>
              <w:jc w:val="center"/>
              <w:rPr>
                <w:sz w:val="14"/>
              </w:rPr>
            </w:pPr>
            <w:r w:rsidRPr="0041262C">
              <w:rPr>
                <w:sz w:val="14"/>
              </w:rPr>
              <w:t>4</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46EB3B68" w14:textId="77777777" w:rsidR="006C0C1F" w:rsidRPr="0041262C" w:rsidRDefault="006C0C1F" w:rsidP="006C0C1F">
            <w:pPr>
              <w:pStyle w:val="E3TableHeading"/>
              <w:spacing w:line="256" w:lineRule="auto"/>
              <w:rPr>
                <w:sz w:val="14"/>
              </w:rPr>
            </w:pPr>
            <w:r w:rsidRPr="0041262C">
              <w:rPr>
                <w:sz w:val="14"/>
              </w:rPr>
              <w:t>NEW ZEALAND</w:t>
            </w:r>
          </w:p>
        </w:tc>
        <w:tc>
          <w:tcPr>
            <w:tcW w:w="1275"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4952CF09" w14:textId="77777777" w:rsidR="006C0C1F" w:rsidRPr="0041262C" w:rsidRDefault="006C0C1F" w:rsidP="006C0C1F">
            <w:pPr>
              <w:pStyle w:val="E3TableHeading"/>
              <w:spacing w:line="256" w:lineRule="auto"/>
              <w:jc w:val="center"/>
              <w:rPr>
                <w:sz w:val="14"/>
              </w:rPr>
            </w:pPr>
            <w:r w:rsidRPr="0041262C">
              <w:rPr>
                <w:sz w:val="14"/>
              </w:rPr>
              <w:t>2</w:t>
            </w:r>
          </w:p>
        </w:tc>
        <w:tc>
          <w:tcPr>
            <w:tcW w:w="1447"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08DD6656" w14:textId="77777777" w:rsidR="006C0C1F" w:rsidRPr="0041262C" w:rsidRDefault="006C0C1F" w:rsidP="006C0C1F">
            <w:pPr>
              <w:pStyle w:val="E3TableHeading"/>
              <w:spacing w:line="256" w:lineRule="auto"/>
              <w:jc w:val="center"/>
              <w:rPr>
                <w:sz w:val="14"/>
              </w:rPr>
            </w:pPr>
            <w:r w:rsidRPr="0041262C">
              <w:rPr>
                <w:sz w:val="14"/>
              </w:rPr>
              <w:t>3</w:t>
            </w:r>
          </w:p>
        </w:tc>
        <w:tc>
          <w:tcPr>
            <w:tcW w:w="1247"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30ABB175" w14:textId="77777777" w:rsidR="006C0C1F" w:rsidRPr="0041262C" w:rsidRDefault="006C0C1F" w:rsidP="006C0C1F">
            <w:pPr>
              <w:pStyle w:val="E3TableHeading"/>
              <w:spacing w:line="256" w:lineRule="auto"/>
              <w:jc w:val="center"/>
              <w:rPr>
                <w:sz w:val="14"/>
              </w:rPr>
            </w:pPr>
            <w:r w:rsidRPr="0041262C">
              <w:rPr>
                <w:sz w:val="14"/>
              </w:rPr>
              <w:t>4</w:t>
            </w:r>
          </w:p>
        </w:tc>
      </w:tr>
      <w:tr w:rsidR="006C0C1F" w14:paraId="5C4D6090" w14:textId="77777777" w:rsidTr="006C0C1F">
        <w:trPr>
          <w:trHeight w:val="481"/>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7D3F0AC0" w14:textId="77777777" w:rsidR="006C0C1F" w:rsidRPr="0041262C" w:rsidRDefault="006C0C1F" w:rsidP="006C0C1F">
            <w:pPr>
              <w:spacing w:after="0" w:line="256" w:lineRule="auto"/>
              <w:rPr>
                <w:rFonts w:ascii="Helvetica" w:eastAsia="Times New Roman" w:hAnsi="Helvetica" w:cs="Helvetica"/>
                <w:b/>
                <w:sz w:val="14"/>
                <w:szCs w:val="14"/>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768C75A9" w14:textId="77777777" w:rsidR="006C0C1F" w:rsidRPr="0041262C" w:rsidRDefault="006C0C1F" w:rsidP="006C0C1F">
            <w:pPr>
              <w:spacing w:after="0" w:line="256" w:lineRule="auto"/>
              <w:rPr>
                <w:rFonts w:ascii="Helvetica" w:eastAsia="Times New Roman" w:hAnsi="Helvetica" w:cs="Helvetica"/>
                <w:b/>
                <w:sz w:val="14"/>
                <w:szCs w:val="14"/>
              </w:rPr>
            </w:pPr>
          </w:p>
        </w:tc>
        <w:tc>
          <w:tcPr>
            <w:tcW w:w="1564" w:type="dxa"/>
            <w:gridSpan w:val="2"/>
            <w:vMerge/>
            <w:tcBorders>
              <w:top w:val="single" w:sz="4" w:space="0" w:color="auto"/>
              <w:left w:val="single" w:sz="4" w:space="0" w:color="auto"/>
              <w:bottom w:val="single" w:sz="4" w:space="0" w:color="auto"/>
              <w:right w:val="single" w:sz="4" w:space="0" w:color="auto"/>
            </w:tcBorders>
            <w:vAlign w:val="center"/>
            <w:hideMark/>
          </w:tcPr>
          <w:p w14:paraId="058AD5CD" w14:textId="77777777" w:rsidR="006C0C1F" w:rsidRPr="0041262C" w:rsidRDefault="006C0C1F" w:rsidP="006C0C1F">
            <w:pPr>
              <w:spacing w:after="0" w:line="256" w:lineRule="auto"/>
              <w:rPr>
                <w:rFonts w:ascii="Helvetica" w:eastAsia="Times New Roman" w:hAnsi="Helvetica" w:cs="Helvetica"/>
                <w:b/>
                <w:sz w:val="14"/>
                <w:szCs w:val="14"/>
              </w:rPr>
            </w:pPr>
          </w:p>
        </w:tc>
        <w:tc>
          <w:tcPr>
            <w:tcW w:w="1384" w:type="dxa"/>
            <w:gridSpan w:val="2"/>
            <w:vMerge/>
            <w:tcBorders>
              <w:top w:val="single" w:sz="4" w:space="0" w:color="auto"/>
              <w:left w:val="single" w:sz="4" w:space="0" w:color="auto"/>
              <w:bottom w:val="single" w:sz="4" w:space="0" w:color="auto"/>
              <w:right w:val="single" w:sz="4" w:space="0" w:color="auto"/>
            </w:tcBorders>
            <w:vAlign w:val="center"/>
            <w:hideMark/>
          </w:tcPr>
          <w:p w14:paraId="3A38C143" w14:textId="77777777" w:rsidR="006C0C1F" w:rsidRPr="0041262C" w:rsidRDefault="006C0C1F" w:rsidP="006C0C1F">
            <w:pPr>
              <w:spacing w:after="0" w:line="256" w:lineRule="auto"/>
              <w:rPr>
                <w:rFonts w:ascii="Helvetica" w:eastAsia="Times New Roman" w:hAnsi="Helvetica" w:cs="Helvetica"/>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E5AEC20" w14:textId="77777777" w:rsidR="006C0C1F" w:rsidRPr="0041262C" w:rsidRDefault="006C0C1F" w:rsidP="006C0C1F">
            <w:pPr>
              <w:spacing w:after="0" w:line="256" w:lineRule="auto"/>
              <w:rPr>
                <w:rFonts w:ascii="Helvetica" w:eastAsia="Times New Roman" w:hAnsi="Helvetica" w:cs="Helvetica"/>
                <w:b/>
                <w:sz w:val="14"/>
                <w:szCs w:val="14"/>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14:paraId="712157B8" w14:textId="77777777" w:rsidR="006C0C1F" w:rsidRPr="0041262C" w:rsidRDefault="006C0C1F" w:rsidP="006C0C1F">
            <w:pPr>
              <w:spacing w:after="0" w:line="256" w:lineRule="auto"/>
              <w:rPr>
                <w:rFonts w:ascii="Helvetica" w:eastAsia="Times New Roman" w:hAnsi="Helvetica" w:cs="Helvetica"/>
                <w:b/>
                <w:sz w:val="14"/>
                <w:szCs w:val="14"/>
              </w:rPr>
            </w:pPr>
          </w:p>
        </w:tc>
        <w:tc>
          <w:tcPr>
            <w:tcW w:w="1447" w:type="dxa"/>
            <w:gridSpan w:val="2"/>
            <w:vMerge/>
            <w:tcBorders>
              <w:top w:val="single" w:sz="4" w:space="0" w:color="auto"/>
              <w:left w:val="single" w:sz="4" w:space="0" w:color="auto"/>
              <w:bottom w:val="single" w:sz="4" w:space="0" w:color="auto"/>
              <w:right w:val="single" w:sz="4" w:space="0" w:color="auto"/>
            </w:tcBorders>
            <w:vAlign w:val="center"/>
            <w:hideMark/>
          </w:tcPr>
          <w:p w14:paraId="272F34B7" w14:textId="77777777" w:rsidR="006C0C1F" w:rsidRPr="0041262C" w:rsidRDefault="006C0C1F" w:rsidP="006C0C1F">
            <w:pPr>
              <w:spacing w:after="0" w:line="256" w:lineRule="auto"/>
              <w:rPr>
                <w:rFonts w:ascii="Helvetica" w:eastAsia="Times New Roman" w:hAnsi="Helvetica" w:cs="Helvetica"/>
                <w:b/>
                <w:sz w:val="14"/>
                <w:szCs w:val="14"/>
              </w:rPr>
            </w:pPr>
          </w:p>
        </w:tc>
        <w:tc>
          <w:tcPr>
            <w:tcW w:w="1247" w:type="dxa"/>
            <w:gridSpan w:val="2"/>
            <w:vMerge/>
            <w:tcBorders>
              <w:top w:val="single" w:sz="4" w:space="0" w:color="auto"/>
              <w:left w:val="single" w:sz="4" w:space="0" w:color="auto"/>
              <w:bottom w:val="single" w:sz="4" w:space="0" w:color="auto"/>
              <w:right w:val="single" w:sz="4" w:space="0" w:color="auto"/>
            </w:tcBorders>
            <w:vAlign w:val="center"/>
            <w:hideMark/>
          </w:tcPr>
          <w:p w14:paraId="59062885" w14:textId="77777777" w:rsidR="006C0C1F" w:rsidRPr="0041262C" w:rsidRDefault="006C0C1F" w:rsidP="006C0C1F">
            <w:pPr>
              <w:spacing w:after="0" w:line="256" w:lineRule="auto"/>
              <w:rPr>
                <w:rFonts w:ascii="Helvetica" w:eastAsia="Times New Roman" w:hAnsi="Helvetica" w:cs="Helvetica"/>
                <w:b/>
                <w:sz w:val="14"/>
                <w:szCs w:val="14"/>
              </w:rPr>
            </w:pPr>
          </w:p>
        </w:tc>
      </w:tr>
      <w:tr w:rsidR="006C0C1F" w14:paraId="4C362479" w14:textId="77777777" w:rsidTr="006C0C1F">
        <w:trPr>
          <w:trHeight w:val="304"/>
        </w:trPr>
        <w:tc>
          <w:tcPr>
            <w:tcW w:w="1135" w:type="dxa"/>
            <w:vMerge w:val="restart"/>
            <w:tcBorders>
              <w:top w:val="single" w:sz="4" w:space="0" w:color="auto"/>
              <w:left w:val="single" w:sz="4" w:space="0" w:color="auto"/>
              <w:bottom w:val="single" w:sz="4" w:space="0" w:color="auto"/>
              <w:right w:val="single" w:sz="4" w:space="0" w:color="auto"/>
            </w:tcBorders>
            <w:shd w:val="clear" w:color="auto" w:fill="0C0C0C"/>
            <w:vAlign w:val="center"/>
          </w:tcPr>
          <w:p w14:paraId="1F7E63E2" w14:textId="77777777" w:rsidR="006C0C1F" w:rsidRPr="0041262C" w:rsidRDefault="006C0C1F" w:rsidP="006C0C1F">
            <w:pPr>
              <w:pStyle w:val="E3TableHeading"/>
              <w:spacing w:line="256" w:lineRule="auto"/>
              <w:rPr>
                <w:sz w:val="14"/>
              </w:rPr>
            </w:pP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4ECA9A56" w14:textId="77777777" w:rsidR="006C0C1F" w:rsidRPr="0041262C" w:rsidRDefault="006C0C1F" w:rsidP="006C0C1F">
            <w:pPr>
              <w:pStyle w:val="E3TableHeading"/>
              <w:spacing w:line="256" w:lineRule="auto"/>
              <w:rPr>
                <w:sz w:val="14"/>
              </w:rPr>
            </w:pPr>
            <w:r w:rsidRPr="0041262C">
              <w:rPr>
                <w:sz w:val="14"/>
              </w:rPr>
              <w:t>10% + vol labelling from 2019</w:t>
            </w:r>
          </w:p>
        </w:tc>
        <w:tc>
          <w:tcPr>
            <w:tcW w:w="1564"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4D8FA8C9" w14:textId="77777777" w:rsidR="006C0C1F" w:rsidRPr="0041262C" w:rsidRDefault="006C0C1F" w:rsidP="006C0C1F">
            <w:pPr>
              <w:pStyle w:val="E3TableHeading"/>
              <w:spacing w:line="256" w:lineRule="auto"/>
              <w:rPr>
                <w:sz w:val="14"/>
              </w:rPr>
            </w:pPr>
            <w:r w:rsidRPr="0041262C">
              <w:rPr>
                <w:sz w:val="14"/>
              </w:rPr>
              <w:t>Au/NZ MEPS 30% + vol labelling from 2019</w:t>
            </w:r>
          </w:p>
        </w:tc>
        <w:tc>
          <w:tcPr>
            <w:tcW w:w="1384"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1B4B152B" w14:textId="77777777" w:rsidR="006C0C1F" w:rsidRPr="0041262C" w:rsidRDefault="006C0C1F" w:rsidP="006C0C1F">
            <w:pPr>
              <w:pStyle w:val="E3TableHeading"/>
              <w:spacing w:line="256" w:lineRule="auto"/>
              <w:rPr>
                <w:sz w:val="14"/>
              </w:rPr>
            </w:pPr>
            <w:r w:rsidRPr="0041262C">
              <w:rPr>
                <w:sz w:val="14"/>
              </w:rPr>
              <w:t>EC from 2019+ vol labelling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0C0C0C"/>
            <w:vAlign w:val="center"/>
          </w:tcPr>
          <w:p w14:paraId="2A77C68C" w14:textId="77777777" w:rsidR="006C0C1F" w:rsidRPr="0041262C" w:rsidRDefault="006C0C1F" w:rsidP="006C0C1F">
            <w:pPr>
              <w:pStyle w:val="E3TableHeading"/>
              <w:spacing w:line="256" w:lineRule="auto"/>
              <w:rPr>
                <w:sz w:val="14"/>
              </w:rPr>
            </w:pPr>
          </w:p>
        </w:tc>
        <w:tc>
          <w:tcPr>
            <w:tcW w:w="1275"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5008BDFA" w14:textId="77777777" w:rsidR="006C0C1F" w:rsidRPr="0041262C" w:rsidRDefault="006C0C1F" w:rsidP="006C0C1F">
            <w:pPr>
              <w:pStyle w:val="E3TableHeading"/>
              <w:spacing w:line="256" w:lineRule="auto"/>
              <w:rPr>
                <w:sz w:val="14"/>
              </w:rPr>
            </w:pPr>
            <w:r w:rsidRPr="0041262C">
              <w:rPr>
                <w:sz w:val="14"/>
              </w:rPr>
              <w:t>10% + vol labelling from 2019</w:t>
            </w:r>
          </w:p>
        </w:tc>
        <w:tc>
          <w:tcPr>
            <w:tcW w:w="1447"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7A6D06D8" w14:textId="77777777" w:rsidR="006C0C1F" w:rsidRPr="0041262C" w:rsidRDefault="006C0C1F" w:rsidP="006C0C1F">
            <w:pPr>
              <w:pStyle w:val="E3TableHeading"/>
              <w:spacing w:line="256" w:lineRule="auto"/>
              <w:rPr>
                <w:sz w:val="14"/>
              </w:rPr>
            </w:pPr>
            <w:r w:rsidRPr="0041262C">
              <w:rPr>
                <w:sz w:val="14"/>
              </w:rPr>
              <w:t>Au/NZ MEPS 30% + vol labelling from 2019</w:t>
            </w:r>
          </w:p>
        </w:tc>
        <w:tc>
          <w:tcPr>
            <w:tcW w:w="1247"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43AC834E" w14:textId="77777777" w:rsidR="006C0C1F" w:rsidRPr="0041262C" w:rsidRDefault="006C0C1F" w:rsidP="006C0C1F">
            <w:pPr>
              <w:pStyle w:val="E3TableHeading"/>
              <w:spacing w:line="256" w:lineRule="auto"/>
              <w:rPr>
                <w:sz w:val="14"/>
              </w:rPr>
            </w:pPr>
            <w:r w:rsidRPr="0041262C">
              <w:rPr>
                <w:sz w:val="14"/>
              </w:rPr>
              <w:t>EC from 2019+ vol labelling</w:t>
            </w:r>
          </w:p>
        </w:tc>
      </w:tr>
      <w:tr w:rsidR="006C0C1F" w14:paraId="05B56492" w14:textId="77777777" w:rsidTr="006C0C1F">
        <w:trPr>
          <w:trHeight w:val="481"/>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54220754" w14:textId="77777777" w:rsidR="006C0C1F" w:rsidRPr="0041262C" w:rsidRDefault="006C0C1F" w:rsidP="006C0C1F">
            <w:pPr>
              <w:spacing w:after="0" w:line="256" w:lineRule="auto"/>
              <w:rPr>
                <w:rFonts w:ascii="Helvetica" w:eastAsia="Times New Roman" w:hAnsi="Helvetica" w:cs="Helvetica"/>
                <w:b/>
                <w:sz w:val="14"/>
                <w:szCs w:val="14"/>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38800565" w14:textId="77777777" w:rsidR="006C0C1F" w:rsidRPr="0041262C" w:rsidRDefault="006C0C1F" w:rsidP="006C0C1F">
            <w:pPr>
              <w:spacing w:after="0" w:line="256" w:lineRule="auto"/>
              <w:rPr>
                <w:rFonts w:ascii="Helvetica" w:eastAsia="Times New Roman" w:hAnsi="Helvetica" w:cs="Helvetica"/>
                <w:b/>
                <w:sz w:val="14"/>
                <w:szCs w:val="14"/>
              </w:rPr>
            </w:pPr>
          </w:p>
        </w:tc>
        <w:tc>
          <w:tcPr>
            <w:tcW w:w="1564" w:type="dxa"/>
            <w:gridSpan w:val="2"/>
            <w:vMerge/>
            <w:tcBorders>
              <w:top w:val="single" w:sz="4" w:space="0" w:color="auto"/>
              <w:left w:val="single" w:sz="4" w:space="0" w:color="auto"/>
              <w:bottom w:val="single" w:sz="4" w:space="0" w:color="auto"/>
              <w:right w:val="single" w:sz="4" w:space="0" w:color="auto"/>
            </w:tcBorders>
            <w:vAlign w:val="center"/>
            <w:hideMark/>
          </w:tcPr>
          <w:p w14:paraId="225BD267" w14:textId="77777777" w:rsidR="006C0C1F" w:rsidRPr="0041262C" w:rsidRDefault="006C0C1F" w:rsidP="006C0C1F">
            <w:pPr>
              <w:spacing w:after="0" w:line="256" w:lineRule="auto"/>
              <w:rPr>
                <w:rFonts w:ascii="Helvetica" w:eastAsia="Times New Roman" w:hAnsi="Helvetica" w:cs="Helvetica"/>
                <w:b/>
                <w:sz w:val="14"/>
                <w:szCs w:val="14"/>
              </w:rPr>
            </w:pPr>
          </w:p>
        </w:tc>
        <w:tc>
          <w:tcPr>
            <w:tcW w:w="1384" w:type="dxa"/>
            <w:gridSpan w:val="2"/>
            <w:vMerge/>
            <w:tcBorders>
              <w:top w:val="single" w:sz="4" w:space="0" w:color="auto"/>
              <w:left w:val="single" w:sz="4" w:space="0" w:color="auto"/>
              <w:bottom w:val="single" w:sz="4" w:space="0" w:color="auto"/>
              <w:right w:val="single" w:sz="4" w:space="0" w:color="auto"/>
            </w:tcBorders>
            <w:vAlign w:val="center"/>
            <w:hideMark/>
          </w:tcPr>
          <w:p w14:paraId="37A383AC" w14:textId="77777777" w:rsidR="006C0C1F" w:rsidRPr="0041262C" w:rsidRDefault="006C0C1F" w:rsidP="006C0C1F">
            <w:pPr>
              <w:spacing w:after="0" w:line="256" w:lineRule="auto"/>
              <w:rPr>
                <w:rFonts w:ascii="Helvetica" w:eastAsia="Times New Roman" w:hAnsi="Helvetica" w:cs="Helvetica"/>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6FF378D" w14:textId="77777777" w:rsidR="006C0C1F" w:rsidRPr="0041262C" w:rsidRDefault="006C0C1F" w:rsidP="006C0C1F">
            <w:pPr>
              <w:spacing w:after="0" w:line="256" w:lineRule="auto"/>
              <w:rPr>
                <w:rFonts w:ascii="Helvetica" w:eastAsia="Times New Roman" w:hAnsi="Helvetica" w:cs="Helvetica"/>
                <w:b/>
                <w:sz w:val="14"/>
                <w:szCs w:val="14"/>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14:paraId="5802DC6F" w14:textId="77777777" w:rsidR="006C0C1F" w:rsidRPr="0041262C" w:rsidRDefault="006C0C1F" w:rsidP="006C0C1F">
            <w:pPr>
              <w:spacing w:after="0" w:line="256" w:lineRule="auto"/>
              <w:rPr>
                <w:rFonts w:ascii="Helvetica" w:eastAsia="Times New Roman" w:hAnsi="Helvetica" w:cs="Helvetica"/>
                <w:b/>
                <w:sz w:val="14"/>
                <w:szCs w:val="14"/>
              </w:rPr>
            </w:pPr>
          </w:p>
        </w:tc>
        <w:tc>
          <w:tcPr>
            <w:tcW w:w="1447" w:type="dxa"/>
            <w:gridSpan w:val="2"/>
            <w:vMerge/>
            <w:tcBorders>
              <w:top w:val="single" w:sz="4" w:space="0" w:color="auto"/>
              <w:left w:val="single" w:sz="4" w:space="0" w:color="auto"/>
              <w:bottom w:val="single" w:sz="4" w:space="0" w:color="auto"/>
              <w:right w:val="single" w:sz="4" w:space="0" w:color="auto"/>
            </w:tcBorders>
            <w:vAlign w:val="center"/>
            <w:hideMark/>
          </w:tcPr>
          <w:p w14:paraId="00CF81B8" w14:textId="77777777" w:rsidR="006C0C1F" w:rsidRPr="0041262C" w:rsidRDefault="006C0C1F" w:rsidP="006C0C1F">
            <w:pPr>
              <w:spacing w:after="0" w:line="256" w:lineRule="auto"/>
              <w:rPr>
                <w:rFonts w:ascii="Helvetica" w:eastAsia="Times New Roman" w:hAnsi="Helvetica" w:cs="Helvetica"/>
                <w:b/>
                <w:sz w:val="14"/>
                <w:szCs w:val="14"/>
              </w:rPr>
            </w:pPr>
          </w:p>
        </w:tc>
        <w:tc>
          <w:tcPr>
            <w:tcW w:w="1247" w:type="dxa"/>
            <w:gridSpan w:val="2"/>
            <w:vMerge/>
            <w:tcBorders>
              <w:top w:val="single" w:sz="4" w:space="0" w:color="auto"/>
              <w:left w:val="single" w:sz="4" w:space="0" w:color="auto"/>
              <w:bottom w:val="single" w:sz="4" w:space="0" w:color="auto"/>
              <w:right w:val="single" w:sz="4" w:space="0" w:color="auto"/>
            </w:tcBorders>
            <w:vAlign w:val="center"/>
            <w:hideMark/>
          </w:tcPr>
          <w:p w14:paraId="33B018D5" w14:textId="77777777" w:rsidR="006C0C1F" w:rsidRPr="0041262C" w:rsidRDefault="006C0C1F" w:rsidP="006C0C1F">
            <w:pPr>
              <w:spacing w:after="0" w:line="256" w:lineRule="auto"/>
              <w:rPr>
                <w:rFonts w:ascii="Helvetica" w:eastAsia="Times New Roman" w:hAnsi="Helvetica" w:cs="Helvetica"/>
                <w:b/>
                <w:sz w:val="14"/>
                <w:szCs w:val="14"/>
              </w:rPr>
            </w:pPr>
          </w:p>
        </w:tc>
      </w:tr>
      <w:tr w:rsidR="006C0C1F" w14:paraId="5EB0A836" w14:textId="77777777" w:rsidTr="006C0C1F">
        <w:trPr>
          <w:trHeight w:val="376"/>
        </w:trPr>
        <w:tc>
          <w:tcPr>
            <w:tcW w:w="1135" w:type="dxa"/>
            <w:tcBorders>
              <w:top w:val="nil"/>
              <w:left w:val="single" w:sz="8" w:space="0" w:color="auto"/>
              <w:bottom w:val="single" w:sz="8" w:space="0" w:color="auto"/>
              <w:right w:val="double" w:sz="6" w:space="0" w:color="auto"/>
            </w:tcBorders>
            <w:vAlign w:val="center"/>
            <w:hideMark/>
          </w:tcPr>
          <w:p w14:paraId="1ADFF511"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Costs ($M)</w:t>
            </w:r>
            <w:r w:rsidRPr="0041262C">
              <w:rPr>
                <w:rStyle w:val="FootnoteReference"/>
                <w:rFonts w:ascii="Helvetica" w:hAnsi="Helvetica" w:cs="Helvetica"/>
                <w:color w:val="000000"/>
                <w:lang w:val="en-NZ"/>
              </w:rPr>
              <w:footnoteReference w:id="47"/>
            </w:r>
          </w:p>
        </w:tc>
        <w:tc>
          <w:tcPr>
            <w:tcW w:w="1417" w:type="dxa"/>
            <w:gridSpan w:val="2"/>
            <w:tcBorders>
              <w:top w:val="single" w:sz="8" w:space="0" w:color="auto"/>
              <w:left w:val="nil"/>
              <w:bottom w:val="single" w:sz="8" w:space="0" w:color="auto"/>
              <w:right w:val="double" w:sz="6" w:space="0" w:color="000000"/>
            </w:tcBorders>
            <w:hideMark/>
          </w:tcPr>
          <w:p w14:paraId="73D9D933"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rPr>
              <w:t>$31</w:t>
            </w:r>
          </w:p>
        </w:tc>
        <w:tc>
          <w:tcPr>
            <w:tcW w:w="1564" w:type="dxa"/>
            <w:gridSpan w:val="2"/>
            <w:tcBorders>
              <w:top w:val="single" w:sz="8" w:space="0" w:color="auto"/>
              <w:left w:val="nil"/>
              <w:bottom w:val="single" w:sz="8" w:space="0" w:color="auto"/>
              <w:right w:val="double" w:sz="6" w:space="0" w:color="000000"/>
            </w:tcBorders>
            <w:vAlign w:val="center"/>
            <w:hideMark/>
          </w:tcPr>
          <w:p w14:paraId="076E6025"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$115</w:t>
            </w:r>
          </w:p>
        </w:tc>
        <w:tc>
          <w:tcPr>
            <w:tcW w:w="1384" w:type="dxa"/>
            <w:gridSpan w:val="2"/>
            <w:tcBorders>
              <w:top w:val="single" w:sz="8" w:space="0" w:color="auto"/>
              <w:left w:val="nil"/>
              <w:bottom w:val="single" w:sz="8" w:space="0" w:color="auto"/>
              <w:right w:val="double" w:sz="6" w:space="0" w:color="000000"/>
            </w:tcBorders>
            <w:vAlign w:val="center"/>
            <w:hideMark/>
          </w:tcPr>
          <w:p w14:paraId="306B28CF"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$193</w:t>
            </w:r>
          </w:p>
        </w:tc>
        <w:tc>
          <w:tcPr>
            <w:tcW w:w="993" w:type="dxa"/>
            <w:tcBorders>
              <w:top w:val="nil"/>
              <w:left w:val="single" w:sz="8" w:space="0" w:color="auto"/>
              <w:bottom w:val="single" w:sz="8" w:space="0" w:color="auto"/>
              <w:right w:val="double" w:sz="6" w:space="0" w:color="auto"/>
            </w:tcBorders>
            <w:vAlign w:val="center"/>
            <w:hideMark/>
          </w:tcPr>
          <w:p w14:paraId="1A095DF9"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Costs ($M)</w:t>
            </w:r>
          </w:p>
        </w:tc>
        <w:tc>
          <w:tcPr>
            <w:tcW w:w="1275" w:type="dxa"/>
            <w:gridSpan w:val="2"/>
            <w:tcBorders>
              <w:top w:val="single" w:sz="8" w:space="0" w:color="auto"/>
              <w:left w:val="nil"/>
              <w:bottom w:val="single" w:sz="8" w:space="0" w:color="auto"/>
              <w:right w:val="double" w:sz="6" w:space="0" w:color="000000"/>
            </w:tcBorders>
            <w:vAlign w:val="center"/>
            <w:hideMark/>
          </w:tcPr>
          <w:p w14:paraId="7466EBF3"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$4.9</w:t>
            </w:r>
          </w:p>
        </w:tc>
        <w:tc>
          <w:tcPr>
            <w:tcW w:w="1447" w:type="dxa"/>
            <w:gridSpan w:val="2"/>
            <w:tcBorders>
              <w:top w:val="single" w:sz="8" w:space="0" w:color="auto"/>
              <w:left w:val="nil"/>
              <w:bottom w:val="single" w:sz="8" w:space="0" w:color="auto"/>
              <w:right w:val="double" w:sz="6" w:space="0" w:color="000000"/>
            </w:tcBorders>
            <w:vAlign w:val="center"/>
            <w:hideMark/>
          </w:tcPr>
          <w:p w14:paraId="2B76C8F5"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$14.6</w:t>
            </w:r>
          </w:p>
        </w:tc>
        <w:tc>
          <w:tcPr>
            <w:tcW w:w="1247" w:type="dxa"/>
            <w:gridSpan w:val="2"/>
            <w:tcBorders>
              <w:top w:val="single" w:sz="8" w:space="0" w:color="auto"/>
              <w:left w:val="nil"/>
              <w:bottom w:val="single" w:sz="8" w:space="0" w:color="auto"/>
              <w:right w:val="double" w:sz="6" w:space="0" w:color="000000"/>
            </w:tcBorders>
            <w:vAlign w:val="center"/>
            <w:hideMark/>
          </w:tcPr>
          <w:p w14:paraId="07082644"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$23.7</w:t>
            </w:r>
          </w:p>
        </w:tc>
      </w:tr>
      <w:tr w:rsidR="006C0C1F" w14:paraId="3B7969E8" w14:textId="77777777" w:rsidTr="006C0C1F">
        <w:trPr>
          <w:trHeight w:val="376"/>
        </w:trPr>
        <w:tc>
          <w:tcPr>
            <w:tcW w:w="1135" w:type="dxa"/>
            <w:tcBorders>
              <w:top w:val="nil"/>
              <w:left w:val="single" w:sz="8" w:space="0" w:color="auto"/>
              <w:bottom w:val="single" w:sz="8" w:space="0" w:color="auto"/>
              <w:right w:val="double" w:sz="6" w:space="0" w:color="auto"/>
            </w:tcBorders>
            <w:vAlign w:val="center"/>
            <w:hideMark/>
          </w:tcPr>
          <w:p w14:paraId="3A321195"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Benefits ($M)</w:t>
            </w:r>
          </w:p>
        </w:tc>
        <w:tc>
          <w:tcPr>
            <w:tcW w:w="1417" w:type="dxa"/>
            <w:gridSpan w:val="2"/>
            <w:tcBorders>
              <w:top w:val="single" w:sz="8" w:space="0" w:color="auto"/>
              <w:left w:val="nil"/>
              <w:bottom w:val="single" w:sz="8" w:space="0" w:color="auto"/>
              <w:right w:val="double" w:sz="6" w:space="0" w:color="000000"/>
            </w:tcBorders>
            <w:hideMark/>
          </w:tcPr>
          <w:p w14:paraId="2DD96589"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rPr>
              <w:t>$340</w:t>
            </w:r>
          </w:p>
        </w:tc>
        <w:tc>
          <w:tcPr>
            <w:tcW w:w="1564" w:type="dxa"/>
            <w:gridSpan w:val="2"/>
            <w:tcBorders>
              <w:top w:val="single" w:sz="8" w:space="0" w:color="auto"/>
              <w:left w:val="nil"/>
              <w:bottom w:val="single" w:sz="8" w:space="0" w:color="auto"/>
              <w:right w:val="double" w:sz="6" w:space="0" w:color="000000"/>
            </w:tcBorders>
            <w:vAlign w:val="center"/>
            <w:hideMark/>
          </w:tcPr>
          <w:p w14:paraId="0818FB89"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$912</w:t>
            </w:r>
          </w:p>
        </w:tc>
        <w:tc>
          <w:tcPr>
            <w:tcW w:w="1384" w:type="dxa"/>
            <w:gridSpan w:val="2"/>
            <w:tcBorders>
              <w:top w:val="single" w:sz="8" w:space="0" w:color="auto"/>
              <w:left w:val="nil"/>
              <w:bottom w:val="single" w:sz="8" w:space="0" w:color="auto"/>
              <w:right w:val="double" w:sz="6" w:space="0" w:color="000000"/>
            </w:tcBorders>
            <w:vAlign w:val="center"/>
            <w:hideMark/>
          </w:tcPr>
          <w:p w14:paraId="4176642D"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$1,532</w:t>
            </w:r>
          </w:p>
        </w:tc>
        <w:tc>
          <w:tcPr>
            <w:tcW w:w="993" w:type="dxa"/>
            <w:tcBorders>
              <w:top w:val="nil"/>
              <w:left w:val="single" w:sz="8" w:space="0" w:color="auto"/>
              <w:bottom w:val="single" w:sz="8" w:space="0" w:color="auto"/>
              <w:right w:val="double" w:sz="6" w:space="0" w:color="auto"/>
            </w:tcBorders>
            <w:vAlign w:val="center"/>
            <w:hideMark/>
          </w:tcPr>
          <w:p w14:paraId="75EDEF08"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Benefits ($M)</w:t>
            </w:r>
          </w:p>
        </w:tc>
        <w:tc>
          <w:tcPr>
            <w:tcW w:w="1275" w:type="dxa"/>
            <w:gridSpan w:val="2"/>
            <w:tcBorders>
              <w:top w:val="single" w:sz="8" w:space="0" w:color="auto"/>
              <w:left w:val="nil"/>
              <w:bottom w:val="single" w:sz="8" w:space="0" w:color="auto"/>
              <w:right w:val="double" w:sz="6" w:space="0" w:color="000000"/>
            </w:tcBorders>
            <w:vAlign w:val="center"/>
            <w:hideMark/>
          </w:tcPr>
          <w:p w14:paraId="43F7FA32"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$24.5</w:t>
            </w:r>
          </w:p>
        </w:tc>
        <w:tc>
          <w:tcPr>
            <w:tcW w:w="1447" w:type="dxa"/>
            <w:gridSpan w:val="2"/>
            <w:tcBorders>
              <w:top w:val="single" w:sz="8" w:space="0" w:color="auto"/>
              <w:left w:val="nil"/>
              <w:bottom w:val="single" w:sz="8" w:space="0" w:color="auto"/>
              <w:right w:val="double" w:sz="6" w:space="0" w:color="000000"/>
            </w:tcBorders>
            <w:vAlign w:val="center"/>
            <w:hideMark/>
          </w:tcPr>
          <w:p w14:paraId="1B462669"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$65.9</w:t>
            </w:r>
          </w:p>
        </w:tc>
        <w:tc>
          <w:tcPr>
            <w:tcW w:w="1247" w:type="dxa"/>
            <w:gridSpan w:val="2"/>
            <w:tcBorders>
              <w:top w:val="single" w:sz="8" w:space="0" w:color="auto"/>
              <w:left w:val="nil"/>
              <w:bottom w:val="single" w:sz="8" w:space="0" w:color="auto"/>
              <w:right w:val="double" w:sz="6" w:space="0" w:color="000000"/>
            </w:tcBorders>
            <w:vAlign w:val="center"/>
            <w:hideMark/>
          </w:tcPr>
          <w:p w14:paraId="6D3C403E"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$111.1</w:t>
            </w:r>
          </w:p>
        </w:tc>
      </w:tr>
      <w:tr w:rsidR="006C0C1F" w14:paraId="0CA08F38" w14:textId="77777777" w:rsidTr="006C0C1F">
        <w:trPr>
          <w:trHeight w:val="317"/>
        </w:trPr>
        <w:tc>
          <w:tcPr>
            <w:tcW w:w="1135" w:type="dxa"/>
            <w:tcBorders>
              <w:top w:val="nil"/>
              <w:left w:val="single" w:sz="8" w:space="0" w:color="auto"/>
              <w:bottom w:val="single" w:sz="8" w:space="0" w:color="auto"/>
              <w:right w:val="double" w:sz="6" w:space="0" w:color="auto"/>
            </w:tcBorders>
            <w:vAlign w:val="center"/>
            <w:hideMark/>
          </w:tcPr>
          <w:p w14:paraId="3BE0CBF6"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NPV ($M)</w:t>
            </w:r>
          </w:p>
        </w:tc>
        <w:tc>
          <w:tcPr>
            <w:tcW w:w="1417" w:type="dxa"/>
            <w:gridSpan w:val="2"/>
            <w:tcBorders>
              <w:top w:val="single" w:sz="8" w:space="0" w:color="auto"/>
              <w:left w:val="nil"/>
              <w:bottom w:val="single" w:sz="8" w:space="0" w:color="auto"/>
              <w:right w:val="double" w:sz="6" w:space="0" w:color="000000"/>
            </w:tcBorders>
            <w:hideMark/>
          </w:tcPr>
          <w:p w14:paraId="39FD7EAC"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rPr>
              <w:t>$309</w:t>
            </w:r>
          </w:p>
        </w:tc>
        <w:tc>
          <w:tcPr>
            <w:tcW w:w="1564" w:type="dxa"/>
            <w:gridSpan w:val="2"/>
            <w:tcBorders>
              <w:top w:val="single" w:sz="8" w:space="0" w:color="auto"/>
              <w:left w:val="nil"/>
              <w:bottom w:val="single" w:sz="8" w:space="0" w:color="auto"/>
              <w:right w:val="double" w:sz="6" w:space="0" w:color="000000"/>
            </w:tcBorders>
            <w:vAlign w:val="center"/>
            <w:hideMark/>
          </w:tcPr>
          <w:p w14:paraId="4CF17250"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$798</w:t>
            </w:r>
          </w:p>
        </w:tc>
        <w:tc>
          <w:tcPr>
            <w:tcW w:w="1384" w:type="dxa"/>
            <w:gridSpan w:val="2"/>
            <w:tcBorders>
              <w:top w:val="single" w:sz="8" w:space="0" w:color="auto"/>
              <w:left w:val="nil"/>
              <w:bottom w:val="single" w:sz="8" w:space="0" w:color="auto"/>
              <w:right w:val="double" w:sz="6" w:space="0" w:color="000000"/>
            </w:tcBorders>
            <w:vAlign w:val="center"/>
            <w:hideMark/>
          </w:tcPr>
          <w:p w14:paraId="65BB3B21"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$1,339</w:t>
            </w:r>
          </w:p>
        </w:tc>
        <w:tc>
          <w:tcPr>
            <w:tcW w:w="993" w:type="dxa"/>
            <w:tcBorders>
              <w:top w:val="nil"/>
              <w:left w:val="single" w:sz="8" w:space="0" w:color="auto"/>
              <w:bottom w:val="single" w:sz="8" w:space="0" w:color="auto"/>
              <w:right w:val="double" w:sz="6" w:space="0" w:color="auto"/>
            </w:tcBorders>
            <w:vAlign w:val="center"/>
            <w:hideMark/>
          </w:tcPr>
          <w:p w14:paraId="5AD8598C"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NPV ($M)</w:t>
            </w:r>
          </w:p>
        </w:tc>
        <w:tc>
          <w:tcPr>
            <w:tcW w:w="1275" w:type="dxa"/>
            <w:gridSpan w:val="2"/>
            <w:tcBorders>
              <w:top w:val="single" w:sz="8" w:space="0" w:color="auto"/>
              <w:left w:val="nil"/>
              <w:bottom w:val="single" w:sz="8" w:space="0" w:color="auto"/>
              <w:right w:val="double" w:sz="6" w:space="0" w:color="000000"/>
            </w:tcBorders>
            <w:vAlign w:val="center"/>
            <w:hideMark/>
          </w:tcPr>
          <w:p w14:paraId="38F033AA"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$19.6</w:t>
            </w:r>
          </w:p>
        </w:tc>
        <w:tc>
          <w:tcPr>
            <w:tcW w:w="1447" w:type="dxa"/>
            <w:gridSpan w:val="2"/>
            <w:tcBorders>
              <w:top w:val="single" w:sz="8" w:space="0" w:color="auto"/>
              <w:left w:val="nil"/>
              <w:bottom w:val="single" w:sz="8" w:space="0" w:color="auto"/>
              <w:right w:val="double" w:sz="6" w:space="0" w:color="000000"/>
            </w:tcBorders>
            <w:vAlign w:val="center"/>
            <w:hideMark/>
          </w:tcPr>
          <w:p w14:paraId="71FAD87F"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$51.3</w:t>
            </w:r>
          </w:p>
        </w:tc>
        <w:tc>
          <w:tcPr>
            <w:tcW w:w="1247" w:type="dxa"/>
            <w:gridSpan w:val="2"/>
            <w:tcBorders>
              <w:top w:val="single" w:sz="8" w:space="0" w:color="auto"/>
              <w:left w:val="nil"/>
              <w:bottom w:val="single" w:sz="8" w:space="0" w:color="auto"/>
              <w:right w:val="double" w:sz="6" w:space="0" w:color="000000"/>
            </w:tcBorders>
            <w:vAlign w:val="center"/>
            <w:hideMark/>
          </w:tcPr>
          <w:p w14:paraId="3F5074E0"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$87.4</w:t>
            </w:r>
          </w:p>
        </w:tc>
      </w:tr>
      <w:tr w:rsidR="006C0C1F" w14:paraId="7D29EA87" w14:textId="77777777" w:rsidTr="006C0C1F">
        <w:trPr>
          <w:trHeight w:val="317"/>
        </w:trPr>
        <w:tc>
          <w:tcPr>
            <w:tcW w:w="1135" w:type="dxa"/>
            <w:tcBorders>
              <w:top w:val="nil"/>
              <w:left w:val="single" w:sz="8" w:space="0" w:color="auto"/>
              <w:bottom w:val="single" w:sz="8" w:space="0" w:color="auto"/>
              <w:right w:val="double" w:sz="6" w:space="0" w:color="auto"/>
            </w:tcBorders>
            <w:vAlign w:val="center"/>
            <w:hideMark/>
          </w:tcPr>
          <w:p w14:paraId="06A302A8"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BCR</w:t>
            </w:r>
          </w:p>
        </w:tc>
        <w:tc>
          <w:tcPr>
            <w:tcW w:w="1417" w:type="dxa"/>
            <w:gridSpan w:val="2"/>
            <w:tcBorders>
              <w:top w:val="single" w:sz="8" w:space="0" w:color="auto"/>
              <w:left w:val="nil"/>
              <w:bottom w:val="single" w:sz="8" w:space="0" w:color="auto"/>
              <w:right w:val="double" w:sz="6" w:space="0" w:color="000000"/>
            </w:tcBorders>
            <w:hideMark/>
          </w:tcPr>
          <w:p w14:paraId="36A99A0F"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rPr>
              <w:t>11.0</w:t>
            </w:r>
          </w:p>
        </w:tc>
        <w:tc>
          <w:tcPr>
            <w:tcW w:w="1564" w:type="dxa"/>
            <w:gridSpan w:val="2"/>
            <w:tcBorders>
              <w:top w:val="single" w:sz="8" w:space="0" w:color="auto"/>
              <w:left w:val="nil"/>
              <w:bottom w:val="single" w:sz="8" w:space="0" w:color="auto"/>
              <w:right w:val="double" w:sz="6" w:space="0" w:color="000000"/>
            </w:tcBorders>
            <w:vAlign w:val="center"/>
            <w:hideMark/>
          </w:tcPr>
          <w:p w14:paraId="2387FFAD"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8.0</w:t>
            </w:r>
          </w:p>
        </w:tc>
        <w:tc>
          <w:tcPr>
            <w:tcW w:w="1384" w:type="dxa"/>
            <w:gridSpan w:val="2"/>
            <w:tcBorders>
              <w:top w:val="single" w:sz="8" w:space="0" w:color="auto"/>
              <w:left w:val="nil"/>
              <w:bottom w:val="single" w:sz="8" w:space="0" w:color="auto"/>
              <w:right w:val="double" w:sz="6" w:space="0" w:color="000000"/>
            </w:tcBorders>
            <w:vAlign w:val="center"/>
            <w:hideMark/>
          </w:tcPr>
          <w:p w14:paraId="33685B9A"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7.9</w:t>
            </w:r>
          </w:p>
        </w:tc>
        <w:tc>
          <w:tcPr>
            <w:tcW w:w="993" w:type="dxa"/>
            <w:tcBorders>
              <w:top w:val="nil"/>
              <w:left w:val="single" w:sz="8" w:space="0" w:color="auto"/>
              <w:bottom w:val="single" w:sz="8" w:space="0" w:color="auto"/>
              <w:right w:val="double" w:sz="6" w:space="0" w:color="auto"/>
            </w:tcBorders>
            <w:vAlign w:val="center"/>
            <w:hideMark/>
          </w:tcPr>
          <w:p w14:paraId="458EEEEC"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BCR</w:t>
            </w:r>
          </w:p>
        </w:tc>
        <w:tc>
          <w:tcPr>
            <w:tcW w:w="1275" w:type="dxa"/>
            <w:gridSpan w:val="2"/>
            <w:tcBorders>
              <w:top w:val="single" w:sz="8" w:space="0" w:color="auto"/>
              <w:left w:val="nil"/>
              <w:bottom w:val="single" w:sz="8" w:space="0" w:color="auto"/>
              <w:right w:val="double" w:sz="6" w:space="0" w:color="000000"/>
            </w:tcBorders>
            <w:vAlign w:val="center"/>
            <w:hideMark/>
          </w:tcPr>
          <w:p w14:paraId="1770B49F"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5.0</w:t>
            </w:r>
          </w:p>
        </w:tc>
        <w:tc>
          <w:tcPr>
            <w:tcW w:w="1447" w:type="dxa"/>
            <w:gridSpan w:val="2"/>
            <w:tcBorders>
              <w:top w:val="single" w:sz="8" w:space="0" w:color="auto"/>
              <w:left w:val="nil"/>
              <w:bottom w:val="single" w:sz="8" w:space="0" w:color="auto"/>
              <w:right w:val="double" w:sz="6" w:space="0" w:color="000000"/>
            </w:tcBorders>
            <w:vAlign w:val="center"/>
            <w:hideMark/>
          </w:tcPr>
          <w:p w14:paraId="59CDE5EB"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4.5</w:t>
            </w:r>
          </w:p>
        </w:tc>
        <w:tc>
          <w:tcPr>
            <w:tcW w:w="1247" w:type="dxa"/>
            <w:gridSpan w:val="2"/>
            <w:tcBorders>
              <w:top w:val="single" w:sz="8" w:space="0" w:color="auto"/>
              <w:left w:val="nil"/>
              <w:bottom w:val="single" w:sz="8" w:space="0" w:color="auto"/>
              <w:right w:val="double" w:sz="6" w:space="0" w:color="000000"/>
            </w:tcBorders>
            <w:vAlign w:val="center"/>
            <w:hideMark/>
          </w:tcPr>
          <w:p w14:paraId="4AFA3E04"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4.7</w:t>
            </w:r>
          </w:p>
        </w:tc>
      </w:tr>
      <w:tr w:rsidR="006C0C1F" w14:paraId="4C05E990" w14:textId="77777777" w:rsidTr="006C0C1F">
        <w:trPr>
          <w:trHeight w:val="317"/>
        </w:trPr>
        <w:tc>
          <w:tcPr>
            <w:tcW w:w="1135" w:type="dxa"/>
            <w:tcBorders>
              <w:top w:val="nil"/>
              <w:left w:val="single" w:sz="8" w:space="0" w:color="auto"/>
              <w:bottom w:val="single" w:sz="8" w:space="0" w:color="auto"/>
              <w:right w:val="double" w:sz="6" w:space="0" w:color="auto"/>
            </w:tcBorders>
            <w:vAlign w:val="center"/>
            <w:hideMark/>
          </w:tcPr>
          <w:p w14:paraId="4C173D65"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Abatement Cost ($/t CO</w:t>
            </w:r>
            <w:r w:rsidRPr="0041262C">
              <w:rPr>
                <w:rFonts w:ascii="Helvetica" w:hAnsi="Helvetica" w:cs="Helvetica"/>
                <w:color w:val="000000"/>
                <w:vertAlign w:val="subscript"/>
                <w:lang w:val="en-NZ"/>
              </w:rPr>
              <w:t>2</w:t>
            </w:r>
            <w:r w:rsidRPr="0041262C">
              <w:rPr>
                <w:rFonts w:ascii="Helvetica" w:hAnsi="Helvetica" w:cs="Helvetica"/>
                <w:color w:val="000000"/>
                <w:lang w:val="en-NZ"/>
              </w:rPr>
              <w:t>-e )</w:t>
            </w:r>
          </w:p>
        </w:tc>
        <w:tc>
          <w:tcPr>
            <w:tcW w:w="1417" w:type="dxa"/>
            <w:gridSpan w:val="2"/>
            <w:tcBorders>
              <w:top w:val="single" w:sz="8" w:space="0" w:color="auto"/>
              <w:left w:val="nil"/>
              <w:bottom w:val="single" w:sz="8" w:space="0" w:color="auto"/>
              <w:right w:val="double" w:sz="6" w:space="0" w:color="000000"/>
            </w:tcBorders>
            <w:hideMark/>
          </w:tcPr>
          <w:p w14:paraId="527901ED" w14:textId="77777777" w:rsidR="00AF174C" w:rsidRDefault="00AF174C" w:rsidP="006C0C1F">
            <w:pPr>
              <w:pStyle w:val="E3tabletext1"/>
              <w:spacing w:line="256" w:lineRule="auto"/>
              <w:rPr>
                <w:rFonts w:ascii="Helvetica" w:hAnsi="Helvetica" w:cs="Helvetica"/>
              </w:rPr>
            </w:pPr>
          </w:p>
          <w:p w14:paraId="329B2B60" w14:textId="652EE0F5" w:rsidR="006C0C1F" w:rsidRPr="0041262C" w:rsidRDefault="006C0C1F" w:rsidP="006C0C1F">
            <w:pPr>
              <w:pStyle w:val="E3tabletext1"/>
              <w:spacing w:line="256" w:lineRule="auto"/>
              <w:rPr>
                <w:rFonts w:ascii="Helvetica" w:hAnsi="Helvetica" w:cs="Helvetica"/>
                <w:color w:val="000000"/>
                <w:lang w:val="en-NZ"/>
              </w:rPr>
            </w:pPr>
            <w:r w:rsidRPr="00AF174C">
              <w:rPr>
                <w:rFonts w:ascii="Helvetica" w:hAnsi="Helvetica" w:cs="Helvetica"/>
                <w:color w:val="FF0000"/>
              </w:rPr>
              <w:t>-$98</w:t>
            </w:r>
          </w:p>
        </w:tc>
        <w:tc>
          <w:tcPr>
            <w:tcW w:w="1564" w:type="dxa"/>
            <w:gridSpan w:val="2"/>
            <w:tcBorders>
              <w:top w:val="single" w:sz="8" w:space="0" w:color="auto"/>
              <w:left w:val="nil"/>
              <w:bottom w:val="single" w:sz="8" w:space="0" w:color="auto"/>
              <w:right w:val="double" w:sz="6" w:space="0" w:color="000000"/>
            </w:tcBorders>
            <w:vAlign w:val="center"/>
            <w:hideMark/>
          </w:tcPr>
          <w:p w14:paraId="05DBD9FF"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FF0000"/>
              </w:rPr>
              <w:t>-$97</w:t>
            </w:r>
          </w:p>
        </w:tc>
        <w:tc>
          <w:tcPr>
            <w:tcW w:w="1384" w:type="dxa"/>
            <w:gridSpan w:val="2"/>
            <w:tcBorders>
              <w:top w:val="single" w:sz="8" w:space="0" w:color="auto"/>
              <w:left w:val="nil"/>
              <w:bottom w:val="single" w:sz="8" w:space="0" w:color="auto"/>
              <w:right w:val="double" w:sz="6" w:space="0" w:color="000000"/>
            </w:tcBorders>
            <w:vAlign w:val="center"/>
            <w:hideMark/>
          </w:tcPr>
          <w:p w14:paraId="5E46B020"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FF0000"/>
              </w:rPr>
              <w:t>-$100</w:t>
            </w:r>
          </w:p>
        </w:tc>
        <w:tc>
          <w:tcPr>
            <w:tcW w:w="993" w:type="dxa"/>
            <w:tcBorders>
              <w:top w:val="nil"/>
              <w:left w:val="single" w:sz="8" w:space="0" w:color="auto"/>
              <w:bottom w:val="single" w:sz="8" w:space="0" w:color="auto"/>
              <w:right w:val="double" w:sz="6" w:space="0" w:color="auto"/>
            </w:tcBorders>
            <w:vAlign w:val="center"/>
            <w:hideMark/>
          </w:tcPr>
          <w:p w14:paraId="58DFA712"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Abatement Cost ($/t CO</w:t>
            </w:r>
            <w:r w:rsidRPr="0041262C">
              <w:rPr>
                <w:rFonts w:ascii="Helvetica" w:hAnsi="Helvetica" w:cs="Helvetica"/>
                <w:color w:val="000000"/>
                <w:vertAlign w:val="subscript"/>
                <w:lang w:val="en-NZ"/>
              </w:rPr>
              <w:t>2</w:t>
            </w:r>
            <w:r w:rsidRPr="0041262C">
              <w:rPr>
                <w:rFonts w:ascii="Helvetica" w:hAnsi="Helvetica" w:cs="Helvetica"/>
                <w:color w:val="000000"/>
                <w:lang w:val="en-NZ"/>
              </w:rPr>
              <w:t>-e )</w:t>
            </w:r>
          </w:p>
        </w:tc>
        <w:tc>
          <w:tcPr>
            <w:tcW w:w="1275" w:type="dxa"/>
            <w:gridSpan w:val="2"/>
            <w:tcBorders>
              <w:top w:val="single" w:sz="8" w:space="0" w:color="auto"/>
              <w:left w:val="nil"/>
              <w:bottom w:val="single" w:sz="8" w:space="0" w:color="auto"/>
              <w:right w:val="double" w:sz="6" w:space="0" w:color="000000"/>
            </w:tcBorders>
            <w:vAlign w:val="center"/>
            <w:hideMark/>
          </w:tcPr>
          <w:p w14:paraId="17194983"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FF0000"/>
              </w:rPr>
              <w:t>-$235</w:t>
            </w:r>
          </w:p>
        </w:tc>
        <w:tc>
          <w:tcPr>
            <w:tcW w:w="1447" w:type="dxa"/>
            <w:gridSpan w:val="2"/>
            <w:tcBorders>
              <w:top w:val="single" w:sz="8" w:space="0" w:color="auto"/>
              <w:left w:val="nil"/>
              <w:bottom w:val="single" w:sz="8" w:space="0" w:color="auto"/>
              <w:right w:val="double" w:sz="6" w:space="0" w:color="000000"/>
            </w:tcBorders>
            <w:vAlign w:val="center"/>
            <w:hideMark/>
          </w:tcPr>
          <w:p w14:paraId="4025F69D"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FF0000"/>
              </w:rPr>
              <w:t>-$239</w:t>
            </w:r>
          </w:p>
        </w:tc>
        <w:tc>
          <w:tcPr>
            <w:tcW w:w="1247" w:type="dxa"/>
            <w:gridSpan w:val="2"/>
            <w:tcBorders>
              <w:top w:val="single" w:sz="8" w:space="0" w:color="auto"/>
              <w:left w:val="nil"/>
              <w:bottom w:val="single" w:sz="8" w:space="0" w:color="auto"/>
              <w:right w:val="double" w:sz="6" w:space="0" w:color="000000"/>
            </w:tcBorders>
            <w:vAlign w:val="center"/>
            <w:hideMark/>
          </w:tcPr>
          <w:p w14:paraId="0B72BE94"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FF0000"/>
              </w:rPr>
              <w:t>-$238</w:t>
            </w:r>
          </w:p>
        </w:tc>
      </w:tr>
      <w:tr w:rsidR="006C0C1F" w14:paraId="554AE619" w14:textId="77777777" w:rsidTr="006C0C1F">
        <w:trPr>
          <w:trHeight w:val="557"/>
        </w:trPr>
        <w:tc>
          <w:tcPr>
            <w:tcW w:w="5500" w:type="dxa"/>
            <w:gridSpan w:val="7"/>
            <w:tcBorders>
              <w:top w:val="nil"/>
              <w:left w:val="single" w:sz="8" w:space="0" w:color="auto"/>
              <w:bottom w:val="single" w:sz="8" w:space="0" w:color="auto"/>
              <w:right w:val="double" w:sz="6" w:space="0" w:color="auto"/>
            </w:tcBorders>
            <w:vAlign w:val="center"/>
            <w:hideMark/>
          </w:tcPr>
          <w:p w14:paraId="19DE2330"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Energy savings (GWh) </w:t>
            </w:r>
          </w:p>
        </w:tc>
        <w:tc>
          <w:tcPr>
            <w:tcW w:w="4962" w:type="dxa"/>
            <w:gridSpan w:val="7"/>
            <w:tcBorders>
              <w:top w:val="nil"/>
              <w:left w:val="single" w:sz="8" w:space="0" w:color="auto"/>
              <w:bottom w:val="single" w:sz="8" w:space="0" w:color="auto"/>
              <w:right w:val="double" w:sz="6" w:space="0" w:color="auto"/>
            </w:tcBorders>
            <w:vAlign w:val="center"/>
            <w:hideMark/>
          </w:tcPr>
          <w:p w14:paraId="79F8B529"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Energy savings (GWh) </w:t>
            </w:r>
          </w:p>
        </w:tc>
      </w:tr>
      <w:tr w:rsidR="006C0C1F" w14:paraId="1D7F61E6" w14:textId="77777777" w:rsidTr="006C0C1F">
        <w:trPr>
          <w:trHeight w:val="317"/>
        </w:trPr>
        <w:tc>
          <w:tcPr>
            <w:tcW w:w="1135" w:type="dxa"/>
            <w:tcBorders>
              <w:top w:val="nil"/>
              <w:left w:val="single" w:sz="8" w:space="0" w:color="auto"/>
              <w:bottom w:val="single" w:sz="8" w:space="0" w:color="auto"/>
              <w:right w:val="double" w:sz="6" w:space="0" w:color="auto"/>
            </w:tcBorders>
            <w:vAlign w:val="center"/>
            <w:hideMark/>
          </w:tcPr>
          <w:p w14:paraId="356A1ED4"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Year</w:t>
            </w:r>
          </w:p>
        </w:tc>
        <w:tc>
          <w:tcPr>
            <w:tcW w:w="709" w:type="dxa"/>
            <w:tcBorders>
              <w:top w:val="nil"/>
              <w:left w:val="nil"/>
              <w:bottom w:val="single" w:sz="8" w:space="0" w:color="auto"/>
              <w:right w:val="single" w:sz="8" w:space="0" w:color="auto"/>
            </w:tcBorders>
            <w:vAlign w:val="center"/>
            <w:hideMark/>
          </w:tcPr>
          <w:p w14:paraId="432D8B60"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708" w:type="dxa"/>
            <w:tcBorders>
              <w:top w:val="nil"/>
              <w:left w:val="nil"/>
              <w:bottom w:val="single" w:sz="8" w:space="0" w:color="auto"/>
              <w:right w:val="double" w:sz="6" w:space="0" w:color="auto"/>
            </w:tcBorders>
            <w:vAlign w:val="center"/>
            <w:hideMark/>
          </w:tcPr>
          <w:p w14:paraId="4548ABFB"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vAlign w:val="center"/>
            <w:hideMark/>
          </w:tcPr>
          <w:p w14:paraId="0FFA8850"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855" w:type="dxa"/>
            <w:tcBorders>
              <w:top w:val="nil"/>
              <w:left w:val="nil"/>
              <w:bottom w:val="single" w:sz="8" w:space="0" w:color="auto"/>
              <w:right w:val="double" w:sz="6" w:space="0" w:color="auto"/>
            </w:tcBorders>
            <w:vAlign w:val="center"/>
            <w:hideMark/>
          </w:tcPr>
          <w:p w14:paraId="194C2D85"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676" w:type="dxa"/>
            <w:tcBorders>
              <w:top w:val="nil"/>
              <w:left w:val="nil"/>
              <w:bottom w:val="single" w:sz="8" w:space="0" w:color="auto"/>
              <w:right w:val="single" w:sz="8" w:space="0" w:color="auto"/>
            </w:tcBorders>
            <w:vAlign w:val="center"/>
            <w:hideMark/>
          </w:tcPr>
          <w:p w14:paraId="1A7B1399"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708" w:type="dxa"/>
            <w:tcBorders>
              <w:top w:val="nil"/>
              <w:left w:val="nil"/>
              <w:bottom w:val="single" w:sz="8" w:space="0" w:color="auto"/>
              <w:right w:val="double" w:sz="6" w:space="0" w:color="auto"/>
            </w:tcBorders>
            <w:vAlign w:val="center"/>
            <w:hideMark/>
          </w:tcPr>
          <w:p w14:paraId="7EAB849C"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993" w:type="dxa"/>
            <w:tcBorders>
              <w:top w:val="nil"/>
              <w:left w:val="single" w:sz="8" w:space="0" w:color="auto"/>
              <w:bottom w:val="single" w:sz="8" w:space="0" w:color="auto"/>
              <w:right w:val="double" w:sz="6" w:space="0" w:color="auto"/>
            </w:tcBorders>
            <w:vAlign w:val="center"/>
            <w:hideMark/>
          </w:tcPr>
          <w:p w14:paraId="150B3F13"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Year</w:t>
            </w:r>
          </w:p>
        </w:tc>
        <w:tc>
          <w:tcPr>
            <w:tcW w:w="708" w:type="dxa"/>
            <w:tcBorders>
              <w:top w:val="nil"/>
              <w:left w:val="nil"/>
              <w:bottom w:val="single" w:sz="8" w:space="0" w:color="auto"/>
              <w:right w:val="single" w:sz="8" w:space="0" w:color="auto"/>
            </w:tcBorders>
            <w:vAlign w:val="center"/>
            <w:hideMark/>
          </w:tcPr>
          <w:p w14:paraId="6B7F6CAE"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567" w:type="dxa"/>
            <w:tcBorders>
              <w:top w:val="nil"/>
              <w:left w:val="nil"/>
              <w:bottom w:val="single" w:sz="8" w:space="0" w:color="auto"/>
              <w:right w:val="double" w:sz="6" w:space="0" w:color="auto"/>
            </w:tcBorders>
            <w:vAlign w:val="center"/>
            <w:hideMark/>
          </w:tcPr>
          <w:p w14:paraId="12793292"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vAlign w:val="center"/>
            <w:hideMark/>
          </w:tcPr>
          <w:p w14:paraId="4E95B91F"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738" w:type="dxa"/>
            <w:tcBorders>
              <w:top w:val="nil"/>
              <w:left w:val="nil"/>
              <w:bottom w:val="single" w:sz="8" w:space="0" w:color="auto"/>
              <w:right w:val="double" w:sz="6" w:space="0" w:color="auto"/>
            </w:tcBorders>
            <w:vAlign w:val="center"/>
            <w:hideMark/>
          </w:tcPr>
          <w:p w14:paraId="60EBA8EF"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567" w:type="dxa"/>
            <w:tcBorders>
              <w:top w:val="nil"/>
              <w:left w:val="nil"/>
              <w:bottom w:val="single" w:sz="8" w:space="0" w:color="auto"/>
              <w:right w:val="single" w:sz="8" w:space="0" w:color="auto"/>
            </w:tcBorders>
            <w:vAlign w:val="center"/>
            <w:hideMark/>
          </w:tcPr>
          <w:p w14:paraId="4BBCCE63"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680" w:type="dxa"/>
            <w:tcBorders>
              <w:top w:val="nil"/>
              <w:left w:val="nil"/>
              <w:bottom w:val="single" w:sz="8" w:space="0" w:color="auto"/>
              <w:right w:val="double" w:sz="6" w:space="0" w:color="auto"/>
            </w:tcBorders>
            <w:vAlign w:val="center"/>
            <w:hideMark/>
          </w:tcPr>
          <w:p w14:paraId="25468595"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r>
      <w:tr w:rsidR="006C0C1F" w14:paraId="345F74FE" w14:textId="77777777" w:rsidTr="006C0C1F">
        <w:trPr>
          <w:trHeight w:val="317"/>
        </w:trPr>
        <w:tc>
          <w:tcPr>
            <w:tcW w:w="1135" w:type="dxa"/>
            <w:tcBorders>
              <w:top w:val="nil"/>
              <w:left w:val="single" w:sz="8" w:space="0" w:color="auto"/>
              <w:bottom w:val="single" w:sz="8" w:space="0" w:color="auto"/>
              <w:right w:val="double" w:sz="6" w:space="0" w:color="auto"/>
            </w:tcBorders>
            <w:vAlign w:val="center"/>
            <w:hideMark/>
          </w:tcPr>
          <w:p w14:paraId="3ADB73F2"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Annual</w:t>
            </w:r>
          </w:p>
        </w:tc>
        <w:tc>
          <w:tcPr>
            <w:tcW w:w="709" w:type="dxa"/>
            <w:tcBorders>
              <w:top w:val="nil"/>
              <w:left w:val="nil"/>
              <w:bottom w:val="single" w:sz="8" w:space="0" w:color="auto"/>
              <w:right w:val="single" w:sz="8" w:space="0" w:color="auto"/>
            </w:tcBorders>
            <w:vAlign w:val="center"/>
            <w:hideMark/>
          </w:tcPr>
          <w:p w14:paraId="0FFBD805"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86</w:t>
            </w:r>
          </w:p>
        </w:tc>
        <w:tc>
          <w:tcPr>
            <w:tcW w:w="708" w:type="dxa"/>
            <w:tcBorders>
              <w:top w:val="nil"/>
              <w:left w:val="nil"/>
              <w:bottom w:val="single" w:sz="8" w:space="0" w:color="auto"/>
              <w:right w:val="double" w:sz="6" w:space="0" w:color="auto"/>
            </w:tcBorders>
            <w:vAlign w:val="center"/>
            <w:hideMark/>
          </w:tcPr>
          <w:p w14:paraId="4B9AE7C5"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293</w:t>
            </w:r>
          </w:p>
        </w:tc>
        <w:tc>
          <w:tcPr>
            <w:tcW w:w="709" w:type="dxa"/>
            <w:tcBorders>
              <w:top w:val="nil"/>
              <w:left w:val="nil"/>
              <w:bottom w:val="single" w:sz="8" w:space="0" w:color="auto"/>
              <w:right w:val="single" w:sz="8" w:space="0" w:color="auto"/>
            </w:tcBorders>
            <w:vAlign w:val="center"/>
            <w:hideMark/>
          </w:tcPr>
          <w:p w14:paraId="10BA5400"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283</w:t>
            </w:r>
          </w:p>
        </w:tc>
        <w:tc>
          <w:tcPr>
            <w:tcW w:w="855" w:type="dxa"/>
            <w:tcBorders>
              <w:top w:val="nil"/>
              <w:left w:val="nil"/>
              <w:bottom w:val="single" w:sz="8" w:space="0" w:color="auto"/>
              <w:right w:val="double" w:sz="6" w:space="0" w:color="auto"/>
            </w:tcBorders>
            <w:vAlign w:val="center"/>
            <w:hideMark/>
          </w:tcPr>
          <w:p w14:paraId="573538E6"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711</w:t>
            </w:r>
          </w:p>
        </w:tc>
        <w:tc>
          <w:tcPr>
            <w:tcW w:w="676" w:type="dxa"/>
            <w:tcBorders>
              <w:top w:val="nil"/>
              <w:left w:val="nil"/>
              <w:bottom w:val="single" w:sz="8" w:space="0" w:color="auto"/>
              <w:right w:val="single" w:sz="8" w:space="0" w:color="auto"/>
            </w:tcBorders>
            <w:vAlign w:val="center"/>
            <w:hideMark/>
          </w:tcPr>
          <w:p w14:paraId="2FD4B289"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517</w:t>
            </w:r>
          </w:p>
        </w:tc>
        <w:tc>
          <w:tcPr>
            <w:tcW w:w="708" w:type="dxa"/>
            <w:tcBorders>
              <w:top w:val="nil"/>
              <w:left w:val="nil"/>
              <w:bottom w:val="single" w:sz="8" w:space="0" w:color="auto"/>
              <w:right w:val="double" w:sz="6" w:space="0" w:color="auto"/>
            </w:tcBorders>
            <w:vAlign w:val="center"/>
            <w:hideMark/>
          </w:tcPr>
          <w:p w14:paraId="0DD20997"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1,156</w:t>
            </w:r>
          </w:p>
        </w:tc>
        <w:tc>
          <w:tcPr>
            <w:tcW w:w="993" w:type="dxa"/>
            <w:tcBorders>
              <w:top w:val="nil"/>
              <w:left w:val="single" w:sz="8" w:space="0" w:color="auto"/>
              <w:bottom w:val="single" w:sz="8" w:space="0" w:color="auto"/>
              <w:right w:val="double" w:sz="6" w:space="0" w:color="auto"/>
            </w:tcBorders>
            <w:vAlign w:val="center"/>
            <w:hideMark/>
          </w:tcPr>
          <w:p w14:paraId="4DC694D6"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Annual</w:t>
            </w:r>
          </w:p>
        </w:tc>
        <w:tc>
          <w:tcPr>
            <w:tcW w:w="708" w:type="dxa"/>
            <w:tcBorders>
              <w:top w:val="nil"/>
              <w:left w:val="nil"/>
              <w:bottom w:val="single" w:sz="8" w:space="0" w:color="auto"/>
              <w:right w:val="single" w:sz="8" w:space="0" w:color="auto"/>
            </w:tcBorders>
            <w:vAlign w:val="center"/>
            <w:hideMark/>
          </w:tcPr>
          <w:p w14:paraId="5648AB4F"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15</w:t>
            </w:r>
          </w:p>
        </w:tc>
        <w:tc>
          <w:tcPr>
            <w:tcW w:w="567" w:type="dxa"/>
            <w:tcBorders>
              <w:top w:val="nil"/>
              <w:left w:val="nil"/>
              <w:bottom w:val="single" w:sz="8" w:space="0" w:color="auto"/>
              <w:right w:val="double" w:sz="6" w:space="0" w:color="auto"/>
            </w:tcBorders>
            <w:vAlign w:val="center"/>
            <w:hideMark/>
          </w:tcPr>
          <w:p w14:paraId="3CE0E02C"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52</w:t>
            </w:r>
          </w:p>
        </w:tc>
        <w:tc>
          <w:tcPr>
            <w:tcW w:w="709" w:type="dxa"/>
            <w:tcBorders>
              <w:top w:val="nil"/>
              <w:left w:val="nil"/>
              <w:bottom w:val="single" w:sz="8" w:space="0" w:color="auto"/>
              <w:right w:val="single" w:sz="8" w:space="0" w:color="auto"/>
            </w:tcBorders>
            <w:vAlign w:val="center"/>
            <w:hideMark/>
          </w:tcPr>
          <w:p w14:paraId="1A04D619"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51</w:t>
            </w:r>
          </w:p>
        </w:tc>
        <w:tc>
          <w:tcPr>
            <w:tcW w:w="738" w:type="dxa"/>
            <w:tcBorders>
              <w:top w:val="nil"/>
              <w:left w:val="nil"/>
              <w:bottom w:val="single" w:sz="8" w:space="0" w:color="auto"/>
              <w:right w:val="double" w:sz="6" w:space="0" w:color="auto"/>
            </w:tcBorders>
            <w:vAlign w:val="center"/>
            <w:hideMark/>
          </w:tcPr>
          <w:p w14:paraId="469635F4"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126</w:t>
            </w:r>
          </w:p>
        </w:tc>
        <w:tc>
          <w:tcPr>
            <w:tcW w:w="567" w:type="dxa"/>
            <w:tcBorders>
              <w:top w:val="nil"/>
              <w:left w:val="nil"/>
              <w:bottom w:val="single" w:sz="8" w:space="0" w:color="auto"/>
              <w:right w:val="single" w:sz="8" w:space="0" w:color="auto"/>
            </w:tcBorders>
            <w:vAlign w:val="center"/>
            <w:hideMark/>
          </w:tcPr>
          <w:p w14:paraId="0BA0A650"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93</w:t>
            </w:r>
          </w:p>
        </w:tc>
        <w:tc>
          <w:tcPr>
            <w:tcW w:w="680" w:type="dxa"/>
            <w:tcBorders>
              <w:top w:val="nil"/>
              <w:left w:val="nil"/>
              <w:bottom w:val="single" w:sz="8" w:space="0" w:color="auto"/>
              <w:right w:val="double" w:sz="6" w:space="0" w:color="auto"/>
            </w:tcBorders>
            <w:vAlign w:val="center"/>
            <w:hideMark/>
          </w:tcPr>
          <w:p w14:paraId="2D190848"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205</w:t>
            </w:r>
          </w:p>
        </w:tc>
      </w:tr>
      <w:tr w:rsidR="006C0C1F" w14:paraId="34FA9815" w14:textId="77777777" w:rsidTr="006C0C1F">
        <w:trPr>
          <w:trHeight w:val="376"/>
        </w:trPr>
        <w:tc>
          <w:tcPr>
            <w:tcW w:w="1135" w:type="dxa"/>
            <w:tcBorders>
              <w:top w:val="nil"/>
              <w:left w:val="single" w:sz="8" w:space="0" w:color="auto"/>
              <w:bottom w:val="single" w:sz="8" w:space="0" w:color="auto"/>
              <w:right w:val="double" w:sz="6" w:space="0" w:color="auto"/>
            </w:tcBorders>
            <w:vAlign w:val="center"/>
            <w:hideMark/>
          </w:tcPr>
          <w:p w14:paraId="4D180F03"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Cumulative</w:t>
            </w:r>
          </w:p>
        </w:tc>
        <w:tc>
          <w:tcPr>
            <w:tcW w:w="709" w:type="dxa"/>
            <w:tcBorders>
              <w:top w:val="nil"/>
              <w:left w:val="nil"/>
              <w:bottom w:val="single" w:sz="8" w:space="0" w:color="auto"/>
              <w:right w:val="single" w:sz="8" w:space="0" w:color="auto"/>
            </w:tcBorders>
            <w:vAlign w:val="center"/>
            <w:hideMark/>
          </w:tcPr>
          <w:p w14:paraId="2F04BEA8"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270</w:t>
            </w:r>
          </w:p>
        </w:tc>
        <w:tc>
          <w:tcPr>
            <w:tcW w:w="708" w:type="dxa"/>
            <w:tcBorders>
              <w:top w:val="nil"/>
              <w:left w:val="nil"/>
              <w:bottom w:val="single" w:sz="8" w:space="0" w:color="auto"/>
              <w:right w:val="double" w:sz="6" w:space="0" w:color="auto"/>
            </w:tcBorders>
            <w:vAlign w:val="center"/>
            <w:hideMark/>
          </w:tcPr>
          <w:p w14:paraId="64130154"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2,278</w:t>
            </w:r>
          </w:p>
        </w:tc>
        <w:tc>
          <w:tcPr>
            <w:tcW w:w="709" w:type="dxa"/>
            <w:tcBorders>
              <w:top w:val="nil"/>
              <w:left w:val="nil"/>
              <w:bottom w:val="single" w:sz="8" w:space="0" w:color="auto"/>
              <w:right w:val="single" w:sz="8" w:space="0" w:color="auto"/>
            </w:tcBorders>
            <w:vAlign w:val="center"/>
            <w:hideMark/>
          </w:tcPr>
          <w:p w14:paraId="4826EC99"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957</w:t>
            </w:r>
          </w:p>
        </w:tc>
        <w:tc>
          <w:tcPr>
            <w:tcW w:w="855" w:type="dxa"/>
            <w:tcBorders>
              <w:top w:val="nil"/>
              <w:left w:val="nil"/>
              <w:bottom w:val="single" w:sz="8" w:space="0" w:color="auto"/>
              <w:right w:val="double" w:sz="6" w:space="0" w:color="auto"/>
            </w:tcBorders>
            <w:vAlign w:val="center"/>
            <w:hideMark/>
          </w:tcPr>
          <w:p w14:paraId="184F97CE"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6,406</w:t>
            </w:r>
          </w:p>
        </w:tc>
        <w:tc>
          <w:tcPr>
            <w:tcW w:w="676" w:type="dxa"/>
            <w:tcBorders>
              <w:top w:val="nil"/>
              <w:left w:val="nil"/>
              <w:bottom w:val="single" w:sz="8" w:space="0" w:color="auto"/>
              <w:right w:val="single" w:sz="8" w:space="0" w:color="auto"/>
            </w:tcBorders>
            <w:vAlign w:val="center"/>
            <w:hideMark/>
          </w:tcPr>
          <w:p w14:paraId="407F74BB"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1,774</w:t>
            </w:r>
          </w:p>
        </w:tc>
        <w:tc>
          <w:tcPr>
            <w:tcW w:w="708" w:type="dxa"/>
            <w:tcBorders>
              <w:top w:val="nil"/>
              <w:left w:val="nil"/>
              <w:bottom w:val="single" w:sz="8" w:space="0" w:color="auto"/>
              <w:right w:val="double" w:sz="6" w:space="0" w:color="auto"/>
            </w:tcBorders>
            <w:vAlign w:val="center"/>
            <w:hideMark/>
          </w:tcPr>
          <w:p w14:paraId="74ADFAEE"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11,099</w:t>
            </w:r>
          </w:p>
        </w:tc>
        <w:tc>
          <w:tcPr>
            <w:tcW w:w="993" w:type="dxa"/>
            <w:tcBorders>
              <w:top w:val="nil"/>
              <w:left w:val="single" w:sz="8" w:space="0" w:color="auto"/>
              <w:bottom w:val="single" w:sz="8" w:space="0" w:color="auto"/>
              <w:right w:val="double" w:sz="6" w:space="0" w:color="auto"/>
            </w:tcBorders>
            <w:vAlign w:val="center"/>
            <w:hideMark/>
          </w:tcPr>
          <w:p w14:paraId="518063DC"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Cumulative</w:t>
            </w:r>
          </w:p>
        </w:tc>
        <w:tc>
          <w:tcPr>
            <w:tcW w:w="708" w:type="dxa"/>
            <w:tcBorders>
              <w:top w:val="nil"/>
              <w:left w:val="nil"/>
              <w:bottom w:val="single" w:sz="8" w:space="0" w:color="auto"/>
              <w:right w:val="single" w:sz="8" w:space="0" w:color="auto"/>
            </w:tcBorders>
            <w:vAlign w:val="center"/>
            <w:hideMark/>
          </w:tcPr>
          <w:p w14:paraId="4583E23D"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49</w:t>
            </w:r>
          </w:p>
        </w:tc>
        <w:tc>
          <w:tcPr>
            <w:tcW w:w="567" w:type="dxa"/>
            <w:tcBorders>
              <w:top w:val="nil"/>
              <w:left w:val="nil"/>
              <w:bottom w:val="single" w:sz="8" w:space="0" w:color="auto"/>
              <w:right w:val="double" w:sz="6" w:space="0" w:color="auto"/>
            </w:tcBorders>
            <w:vAlign w:val="center"/>
            <w:hideMark/>
          </w:tcPr>
          <w:p w14:paraId="6F8B068A"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404</w:t>
            </w:r>
          </w:p>
        </w:tc>
        <w:tc>
          <w:tcPr>
            <w:tcW w:w="709" w:type="dxa"/>
            <w:tcBorders>
              <w:top w:val="nil"/>
              <w:left w:val="nil"/>
              <w:bottom w:val="single" w:sz="8" w:space="0" w:color="auto"/>
              <w:right w:val="single" w:sz="8" w:space="0" w:color="auto"/>
            </w:tcBorders>
            <w:vAlign w:val="center"/>
            <w:hideMark/>
          </w:tcPr>
          <w:p w14:paraId="4386C7CE"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173</w:t>
            </w:r>
          </w:p>
        </w:tc>
        <w:tc>
          <w:tcPr>
            <w:tcW w:w="738" w:type="dxa"/>
            <w:tcBorders>
              <w:top w:val="nil"/>
              <w:left w:val="nil"/>
              <w:bottom w:val="single" w:sz="8" w:space="0" w:color="auto"/>
              <w:right w:val="double" w:sz="6" w:space="0" w:color="auto"/>
            </w:tcBorders>
            <w:vAlign w:val="center"/>
            <w:hideMark/>
          </w:tcPr>
          <w:p w14:paraId="24AC046D"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1,142</w:t>
            </w:r>
          </w:p>
        </w:tc>
        <w:tc>
          <w:tcPr>
            <w:tcW w:w="567" w:type="dxa"/>
            <w:tcBorders>
              <w:top w:val="nil"/>
              <w:left w:val="nil"/>
              <w:bottom w:val="single" w:sz="8" w:space="0" w:color="auto"/>
              <w:right w:val="single" w:sz="8" w:space="0" w:color="auto"/>
            </w:tcBorders>
            <w:vAlign w:val="center"/>
            <w:hideMark/>
          </w:tcPr>
          <w:p w14:paraId="76329439"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322</w:t>
            </w:r>
          </w:p>
        </w:tc>
        <w:tc>
          <w:tcPr>
            <w:tcW w:w="680" w:type="dxa"/>
            <w:tcBorders>
              <w:top w:val="nil"/>
              <w:left w:val="nil"/>
              <w:bottom w:val="single" w:sz="8" w:space="0" w:color="auto"/>
              <w:right w:val="double" w:sz="6" w:space="0" w:color="auto"/>
            </w:tcBorders>
            <w:vAlign w:val="center"/>
            <w:hideMark/>
          </w:tcPr>
          <w:p w14:paraId="0D6D4B9E"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1,986</w:t>
            </w:r>
          </w:p>
        </w:tc>
      </w:tr>
      <w:tr w:rsidR="006C0C1F" w14:paraId="1A98C5E4" w14:textId="77777777" w:rsidTr="006C0C1F">
        <w:trPr>
          <w:trHeight w:val="497"/>
        </w:trPr>
        <w:tc>
          <w:tcPr>
            <w:tcW w:w="5500" w:type="dxa"/>
            <w:gridSpan w:val="7"/>
            <w:tcBorders>
              <w:top w:val="nil"/>
              <w:left w:val="single" w:sz="8" w:space="0" w:color="auto"/>
              <w:bottom w:val="single" w:sz="8" w:space="0" w:color="auto"/>
              <w:right w:val="double" w:sz="6" w:space="0" w:color="auto"/>
            </w:tcBorders>
            <w:vAlign w:val="center"/>
            <w:hideMark/>
          </w:tcPr>
          <w:p w14:paraId="0CA93380"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GHG Emission reduction (kt CO</w:t>
            </w:r>
            <w:r w:rsidRPr="0041262C">
              <w:rPr>
                <w:rFonts w:ascii="Helvetica" w:hAnsi="Helvetica" w:cs="Helvetica"/>
                <w:color w:val="000000"/>
                <w:vertAlign w:val="subscript"/>
                <w:lang w:val="en-NZ"/>
              </w:rPr>
              <w:t>2-e</w:t>
            </w:r>
            <w:r w:rsidRPr="0041262C">
              <w:rPr>
                <w:rFonts w:ascii="Helvetica" w:hAnsi="Helvetica" w:cs="Helvetica"/>
                <w:color w:val="000000"/>
                <w:lang w:val="en-NZ"/>
              </w:rPr>
              <w:t>)  </w:t>
            </w:r>
          </w:p>
        </w:tc>
        <w:tc>
          <w:tcPr>
            <w:tcW w:w="4962" w:type="dxa"/>
            <w:gridSpan w:val="7"/>
            <w:tcBorders>
              <w:top w:val="nil"/>
              <w:left w:val="single" w:sz="8" w:space="0" w:color="auto"/>
              <w:bottom w:val="single" w:sz="8" w:space="0" w:color="auto"/>
              <w:right w:val="double" w:sz="6" w:space="0" w:color="auto"/>
            </w:tcBorders>
            <w:vAlign w:val="center"/>
            <w:hideMark/>
          </w:tcPr>
          <w:p w14:paraId="52296F1E"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GHG Emission reduction (kt CO</w:t>
            </w:r>
            <w:r w:rsidRPr="0041262C">
              <w:rPr>
                <w:rFonts w:ascii="Helvetica" w:hAnsi="Helvetica" w:cs="Helvetica"/>
                <w:color w:val="000000"/>
                <w:vertAlign w:val="subscript"/>
                <w:lang w:val="en-NZ"/>
              </w:rPr>
              <w:t>2-e</w:t>
            </w:r>
            <w:r w:rsidRPr="0041262C">
              <w:rPr>
                <w:rFonts w:ascii="Helvetica" w:hAnsi="Helvetica" w:cs="Helvetica"/>
                <w:color w:val="000000"/>
                <w:lang w:val="en-NZ"/>
              </w:rPr>
              <w:t>) </w:t>
            </w:r>
          </w:p>
        </w:tc>
      </w:tr>
      <w:tr w:rsidR="006C0C1F" w14:paraId="1B80D374" w14:textId="77777777" w:rsidTr="006C0C1F">
        <w:trPr>
          <w:trHeight w:val="317"/>
        </w:trPr>
        <w:tc>
          <w:tcPr>
            <w:tcW w:w="1135" w:type="dxa"/>
            <w:tcBorders>
              <w:top w:val="nil"/>
              <w:left w:val="single" w:sz="8" w:space="0" w:color="auto"/>
              <w:bottom w:val="single" w:sz="8" w:space="0" w:color="auto"/>
              <w:right w:val="double" w:sz="6" w:space="0" w:color="auto"/>
            </w:tcBorders>
            <w:vAlign w:val="center"/>
            <w:hideMark/>
          </w:tcPr>
          <w:p w14:paraId="71EC7632"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Year</w:t>
            </w:r>
          </w:p>
        </w:tc>
        <w:tc>
          <w:tcPr>
            <w:tcW w:w="709" w:type="dxa"/>
            <w:tcBorders>
              <w:top w:val="nil"/>
              <w:left w:val="nil"/>
              <w:bottom w:val="single" w:sz="8" w:space="0" w:color="auto"/>
              <w:right w:val="single" w:sz="8" w:space="0" w:color="auto"/>
            </w:tcBorders>
            <w:vAlign w:val="center"/>
            <w:hideMark/>
          </w:tcPr>
          <w:p w14:paraId="177F491D"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708" w:type="dxa"/>
            <w:tcBorders>
              <w:top w:val="nil"/>
              <w:left w:val="nil"/>
              <w:bottom w:val="single" w:sz="8" w:space="0" w:color="auto"/>
              <w:right w:val="double" w:sz="6" w:space="0" w:color="auto"/>
            </w:tcBorders>
            <w:vAlign w:val="center"/>
            <w:hideMark/>
          </w:tcPr>
          <w:p w14:paraId="09249536"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vAlign w:val="center"/>
            <w:hideMark/>
          </w:tcPr>
          <w:p w14:paraId="5B7CEA85"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855" w:type="dxa"/>
            <w:tcBorders>
              <w:top w:val="nil"/>
              <w:left w:val="nil"/>
              <w:bottom w:val="single" w:sz="8" w:space="0" w:color="auto"/>
              <w:right w:val="double" w:sz="6" w:space="0" w:color="auto"/>
            </w:tcBorders>
            <w:vAlign w:val="center"/>
            <w:hideMark/>
          </w:tcPr>
          <w:p w14:paraId="623DC91B"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676" w:type="dxa"/>
            <w:tcBorders>
              <w:top w:val="nil"/>
              <w:left w:val="nil"/>
              <w:bottom w:val="single" w:sz="8" w:space="0" w:color="auto"/>
              <w:right w:val="single" w:sz="8" w:space="0" w:color="auto"/>
            </w:tcBorders>
            <w:vAlign w:val="center"/>
            <w:hideMark/>
          </w:tcPr>
          <w:p w14:paraId="7758F403"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708" w:type="dxa"/>
            <w:tcBorders>
              <w:top w:val="nil"/>
              <w:left w:val="nil"/>
              <w:bottom w:val="single" w:sz="8" w:space="0" w:color="auto"/>
              <w:right w:val="double" w:sz="6" w:space="0" w:color="auto"/>
            </w:tcBorders>
            <w:vAlign w:val="center"/>
            <w:hideMark/>
          </w:tcPr>
          <w:p w14:paraId="2A9603D0"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993" w:type="dxa"/>
            <w:tcBorders>
              <w:top w:val="nil"/>
              <w:left w:val="single" w:sz="8" w:space="0" w:color="auto"/>
              <w:bottom w:val="single" w:sz="8" w:space="0" w:color="auto"/>
              <w:right w:val="double" w:sz="6" w:space="0" w:color="auto"/>
            </w:tcBorders>
            <w:vAlign w:val="center"/>
            <w:hideMark/>
          </w:tcPr>
          <w:p w14:paraId="581D0B9E"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Year</w:t>
            </w:r>
          </w:p>
        </w:tc>
        <w:tc>
          <w:tcPr>
            <w:tcW w:w="708" w:type="dxa"/>
            <w:tcBorders>
              <w:top w:val="nil"/>
              <w:left w:val="nil"/>
              <w:bottom w:val="single" w:sz="8" w:space="0" w:color="auto"/>
              <w:right w:val="single" w:sz="8" w:space="0" w:color="auto"/>
            </w:tcBorders>
            <w:vAlign w:val="center"/>
            <w:hideMark/>
          </w:tcPr>
          <w:p w14:paraId="6D538A0E"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567" w:type="dxa"/>
            <w:tcBorders>
              <w:top w:val="nil"/>
              <w:left w:val="nil"/>
              <w:bottom w:val="single" w:sz="8" w:space="0" w:color="auto"/>
              <w:right w:val="double" w:sz="6" w:space="0" w:color="auto"/>
            </w:tcBorders>
            <w:vAlign w:val="center"/>
            <w:hideMark/>
          </w:tcPr>
          <w:p w14:paraId="38E43D3D"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vAlign w:val="center"/>
            <w:hideMark/>
          </w:tcPr>
          <w:p w14:paraId="270E1445"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738" w:type="dxa"/>
            <w:tcBorders>
              <w:top w:val="nil"/>
              <w:left w:val="nil"/>
              <w:bottom w:val="single" w:sz="8" w:space="0" w:color="auto"/>
              <w:right w:val="double" w:sz="6" w:space="0" w:color="auto"/>
            </w:tcBorders>
            <w:vAlign w:val="center"/>
            <w:hideMark/>
          </w:tcPr>
          <w:p w14:paraId="622C5D00"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567" w:type="dxa"/>
            <w:tcBorders>
              <w:top w:val="nil"/>
              <w:left w:val="nil"/>
              <w:bottom w:val="single" w:sz="8" w:space="0" w:color="auto"/>
              <w:right w:val="single" w:sz="8" w:space="0" w:color="auto"/>
            </w:tcBorders>
            <w:vAlign w:val="center"/>
            <w:hideMark/>
          </w:tcPr>
          <w:p w14:paraId="5AF8C335"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680" w:type="dxa"/>
            <w:tcBorders>
              <w:top w:val="nil"/>
              <w:left w:val="nil"/>
              <w:bottom w:val="single" w:sz="8" w:space="0" w:color="auto"/>
              <w:right w:val="double" w:sz="6" w:space="0" w:color="auto"/>
            </w:tcBorders>
            <w:vAlign w:val="center"/>
            <w:hideMark/>
          </w:tcPr>
          <w:p w14:paraId="1465ABE9"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r>
      <w:tr w:rsidR="006C0C1F" w14:paraId="6DED93FD" w14:textId="77777777" w:rsidTr="006C0C1F">
        <w:trPr>
          <w:trHeight w:val="317"/>
        </w:trPr>
        <w:tc>
          <w:tcPr>
            <w:tcW w:w="1135" w:type="dxa"/>
            <w:tcBorders>
              <w:top w:val="nil"/>
              <w:left w:val="single" w:sz="8" w:space="0" w:color="auto"/>
              <w:bottom w:val="single" w:sz="8" w:space="0" w:color="auto"/>
              <w:right w:val="double" w:sz="6" w:space="0" w:color="auto"/>
            </w:tcBorders>
            <w:vAlign w:val="center"/>
            <w:hideMark/>
          </w:tcPr>
          <w:p w14:paraId="383CB965"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Annual</w:t>
            </w:r>
          </w:p>
        </w:tc>
        <w:tc>
          <w:tcPr>
            <w:tcW w:w="709" w:type="dxa"/>
            <w:tcBorders>
              <w:top w:val="nil"/>
              <w:left w:val="nil"/>
              <w:bottom w:val="single" w:sz="8" w:space="0" w:color="auto"/>
              <w:right w:val="single" w:sz="8" w:space="0" w:color="auto"/>
            </w:tcBorders>
            <w:vAlign w:val="center"/>
            <w:hideMark/>
          </w:tcPr>
          <w:p w14:paraId="0CA130A2"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65</w:t>
            </w:r>
          </w:p>
        </w:tc>
        <w:tc>
          <w:tcPr>
            <w:tcW w:w="708" w:type="dxa"/>
            <w:tcBorders>
              <w:top w:val="nil"/>
              <w:left w:val="nil"/>
              <w:bottom w:val="single" w:sz="8" w:space="0" w:color="auto"/>
              <w:right w:val="double" w:sz="6" w:space="0" w:color="auto"/>
            </w:tcBorders>
            <w:vAlign w:val="center"/>
            <w:hideMark/>
          </w:tcPr>
          <w:p w14:paraId="1ED381A2"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216</w:t>
            </w:r>
          </w:p>
        </w:tc>
        <w:tc>
          <w:tcPr>
            <w:tcW w:w="709" w:type="dxa"/>
            <w:tcBorders>
              <w:top w:val="nil"/>
              <w:left w:val="nil"/>
              <w:bottom w:val="single" w:sz="8" w:space="0" w:color="auto"/>
              <w:right w:val="single" w:sz="8" w:space="0" w:color="auto"/>
            </w:tcBorders>
            <w:vAlign w:val="center"/>
            <w:hideMark/>
          </w:tcPr>
          <w:p w14:paraId="3320E1F8"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214</w:t>
            </w:r>
          </w:p>
        </w:tc>
        <w:tc>
          <w:tcPr>
            <w:tcW w:w="855" w:type="dxa"/>
            <w:tcBorders>
              <w:top w:val="nil"/>
              <w:left w:val="nil"/>
              <w:bottom w:val="single" w:sz="8" w:space="0" w:color="auto"/>
              <w:right w:val="double" w:sz="6" w:space="0" w:color="auto"/>
            </w:tcBorders>
            <w:vAlign w:val="center"/>
            <w:hideMark/>
          </w:tcPr>
          <w:p w14:paraId="0F89B0D4"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524</w:t>
            </w:r>
          </w:p>
        </w:tc>
        <w:tc>
          <w:tcPr>
            <w:tcW w:w="676" w:type="dxa"/>
            <w:tcBorders>
              <w:top w:val="nil"/>
              <w:left w:val="nil"/>
              <w:bottom w:val="single" w:sz="8" w:space="0" w:color="auto"/>
              <w:right w:val="single" w:sz="8" w:space="0" w:color="auto"/>
            </w:tcBorders>
            <w:vAlign w:val="center"/>
            <w:hideMark/>
          </w:tcPr>
          <w:p w14:paraId="30515E4D"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391</w:t>
            </w:r>
          </w:p>
        </w:tc>
        <w:tc>
          <w:tcPr>
            <w:tcW w:w="708" w:type="dxa"/>
            <w:tcBorders>
              <w:top w:val="nil"/>
              <w:left w:val="nil"/>
              <w:bottom w:val="single" w:sz="8" w:space="0" w:color="auto"/>
              <w:right w:val="double" w:sz="6" w:space="0" w:color="auto"/>
            </w:tcBorders>
            <w:vAlign w:val="center"/>
            <w:hideMark/>
          </w:tcPr>
          <w:p w14:paraId="3C9B8D09"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853</w:t>
            </w:r>
          </w:p>
        </w:tc>
        <w:tc>
          <w:tcPr>
            <w:tcW w:w="993" w:type="dxa"/>
            <w:tcBorders>
              <w:top w:val="nil"/>
              <w:left w:val="single" w:sz="8" w:space="0" w:color="auto"/>
              <w:bottom w:val="single" w:sz="8" w:space="0" w:color="auto"/>
              <w:right w:val="double" w:sz="6" w:space="0" w:color="auto"/>
            </w:tcBorders>
            <w:vAlign w:val="center"/>
            <w:hideMark/>
          </w:tcPr>
          <w:p w14:paraId="367E5CAD"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Annual</w:t>
            </w:r>
          </w:p>
        </w:tc>
        <w:tc>
          <w:tcPr>
            <w:tcW w:w="708" w:type="dxa"/>
            <w:tcBorders>
              <w:top w:val="nil"/>
              <w:left w:val="nil"/>
              <w:bottom w:val="single" w:sz="8" w:space="0" w:color="auto"/>
              <w:right w:val="single" w:sz="8" w:space="0" w:color="auto"/>
            </w:tcBorders>
            <w:vAlign w:val="center"/>
            <w:hideMark/>
          </w:tcPr>
          <w:p w14:paraId="28B61A7D"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2</w:t>
            </w:r>
          </w:p>
        </w:tc>
        <w:tc>
          <w:tcPr>
            <w:tcW w:w="567" w:type="dxa"/>
            <w:tcBorders>
              <w:top w:val="nil"/>
              <w:left w:val="nil"/>
              <w:bottom w:val="single" w:sz="8" w:space="0" w:color="auto"/>
              <w:right w:val="double" w:sz="6" w:space="0" w:color="auto"/>
            </w:tcBorders>
            <w:vAlign w:val="center"/>
            <w:hideMark/>
          </w:tcPr>
          <w:p w14:paraId="6D22E561"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7</w:t>
            </w:r>
          </w:p>
        </w:tc>
        <w:tc>
          <w:tcPr>
            <w:tcW w:w="709" w:type="dxa"/>
            <w:tcBorders>
              <w:top w:val="nil"/>
              <w:left w:val="nil"/>
              <w:bottom w:val="single" w:sz="8" w:space="0" w:color="auto"/>
              <w:right w:val="single" w:sz="8" w:space="0" w:color="auto"/>
            </w:tcBorders>
            <w:vAlign w:val="center"/>
            <w:hideMark/>
          </w:tcPr>
          <w:p w14:paraId="6EC6AE60"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7</w:t>
            </w:r>
          </w:p>
        </w:tc>
        <w:tc>
          <w:tcPr>
            <w:tcW w:w="738" w:type="dxa"/>
            <w:tcBorders>
              <w:top w:val="nil"/>
              <w:left w:val="nil"/>
              <w:bottom w:val="single" w:sz="8" w:space="0" w:color="auto"/>
              <w:right w:val="double" w:sz="6" w:space="0" w:color="auto"/>
            </w:tcBorders>
            <w:vAlign w:val="center"/>
            <w:hideMark/>
          </w:tcPr>
          <w:p w14:paraId="571C87B1"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16</w:t>
            </w:r>
          </w:p>
        </w:tc>
        <w:tc>
          <w:tcPr>
            <w:tcW w:w="567" w:type="dxa"/>
            <w:tcBorders>
              <w:top w:val="nil"/>
              <w:left w:val="nil"/>
              <w:bottom w:val="single" w:sz="8" w:space="0" w:color="auto"/>
              <w:right w:val="single" w:sz="8" w:space="0" w:color="auto"/>
            </w:tcBorders>
            <w:vAlign w:val="center"/>
            <w:hideMark/>
          </w:tcPr>
          <w:p w14:paraId="7C8E8403"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12</w:t>
            </w:r>
          </w:p>
        </w:tc>
        <w:tc>
          <w:tcPr>
            <w:tcW w:w="680" w:type="dxa"/>
            <w:tcBorders>
              <w:top w:val="nil"/>
              <w:left w:val="nil"/>
              <w:bottom w:val="single" w:sz="8" w:space="0" w:color="auto"/>
              <w:right w:val="double" w:sz="6" w:space="0" w:color="auto"/>
            </w:tcBorders>
            <w:vAlign w:val="center"/>
            <w:hideMark/>
          </w:tcPr>
          <w:p w14:paraId="026B6AD1"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26</w:t>
            </w:r>
          </w:p>
        </w:tc>
      </w:tr>
      <w:tr w:rsidR="006C0C1F" w14:paraId="7FD5D41C" w14:textId="77777777" w:rsidTr="006C0C1F">
        <w:trPr>
          <w:trHeight w:val="376"/>
        </w:trPr>
        <w:tc>
          <w:tcPr>
            <w:tcW w:w="1135" w:type="dxa"/>
            <w:tcBorders>
              <w:top w:val="nil"/>
              <w:left w:val="single" w:sz="8" w:space="0" w:color="auto"/>
              <w:bottom w:val="single" w:sz="8" w:space="0" w:color="auto"/>
              <w:right w:val="double" w:sz="6" w:space="0" w:color="auto"/>
            </w:tcBorders>
            <w:vAlign w:val="center"/>
            <w:hideMark/>
          </w:tcPr>
          <w:p w14:paraId="4E53365D"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Cumulative</w:t>
            </w:r>
          </w:p>
        </w:tc>
        <w:tc>
          <w:tcPr>
            <w:tcW w:w="709" w:type="dxa"/>
            <w:tcBorders>
              <w:top w:val="nil"/>
              <w:left w:val="nil"/>
              <w:bottom w:val="single" w:sz="8" w:space="0" w:color="auto"/>
              <w:right w:val="single" w:sz="8" w:space="0" w:color="auto"/>
            </w:tcBorders>
            <w:vAlign w:val="center"/>
            <w:hideMark/>
          </w:tcPr>
          <w:p w14:paraId="69597C74"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207</w:t>
            </w:r>
          </w:p>
        </w:tc>
        <w:tc>
          <w:tcPr>
            <w:tcW w:w="708" w:type="dxa"/>
            <w:tcBorders>
              <w:top w:val="nil"/>
              <w:left w:val="nil"/>
              <w:bottom w:val="single" w:sz="8" w:space="0" w:color="auto"/>
              <w:right w:val="double" w:sz="6" w:space="0" w:color="auto"/>
            </w:tcBorders>
            <w:vAlign w:val="center"/>
            <w:hideMark/>
          </w:tcPr>
          <w:p w14:paraId="290852D9"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1,692</w:t>
            </w:r>
          </w:p>
        </w:tc>
        <w:tc>
          <w:tcPr>
            <w:tcW w:w="709" w:type="dxa"/>
            <w:tcBorders>
              <w:top w:val="nil"/>
              <w:left w:val="nil"/>
              <w:bottom w:val="single" w:sz="8" w:space="0" w:color="auto"/>
              <w:right w:val="single" w:sz="8" w:space="0" w:color="auto"/>
            </w:tcBorders>
            <w:vAlign w:val="center"/>
            <w:hideMark/>
          </w:tcPr>
          <w:p w14:paraId="3F5F071B"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734</w:t>
            </w:r>
          </w:p>
        </w:tc>
        <w:tc>
          <w:tcPr>
            <w:tcW w:w="855" w:type="dxa"/>
            <w:tcBorders>
              <w:top w:val="nil"/>
              <w:left w:val="nil"/>
              <w:bottom w:val="single" w:sz="8" w:space="0" w:color="auto"/>
              <w:right w:val="double" w:sz="6" w:space="0" w:color="auto"/>
            </w:tcBorders>
            <w:vAlign w:val="center"/>
            <w:hideMark/>
          </w:tcPr>
          <w:p w14:paraId="3BA05A18"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4,767</w:t>
            </w:r>
          </w:p>
        </w:tc>
        <w:tc>
          <w:tcPr>
            <w:tcW w:w="676" w:type="dxa"/>
            <w:tcBorders>
              <w:top w:val="nil"/>
              <w:left w:val="nil"/>
              <w:bottom w:val="single" w:sz="8" w:space="0" w:color="auto"/>
              <w:right w:val="single" w:sz="8" w:space="0" w:color="auto"/>
            </w:tcBorders>
            <w:vAlign w:val="center"/>
            <w:hideMark/>
          </w:tcPr>
          <w:p w14:paraId="11AD28E8"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1,360</w:t>
            </w:r>
          </w:p>
        </w:tc>
        <w:tc>
          <w:tcPr>
            <w:tcW w:w="708" w:type="dxa"/>
            <w:tcBorders>
              <w:top w:val="nil"/>
              <w:left w:val="nil"/>
              <w:bottom w:val="single" w:sz="8" w:space="0" w:color="auto"/>
              <w:right w:val="double" w:sz="6" w:space="0" w:color="auto"/>
            </w:tcBorders>
            <w:vAlign w:val="center"/>
            <w:hideMark/>
          </w:tcPr>
          <w:p w14:paraId="3B070C1F"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8,263</w:t>
            </w:r>
          </w:p>
        </w:tc>
        <w:tc>
          <w:tcPr>
            <w:tcW w:w="993" w:type="dxa"/>
            <w:tcBorders>
              <w:top w:val="nil"/>
              <w:left w:val="single" w:sz="8" w:space="0" w:color="auto"/>
              <w:bottom w:val="single" w:sz="8" w:space="0" w:color="auto"/>
              <w:right w:val="double" w:sz="6" w:space="0" w:color="auto"/>
            </w:tcBorders>
            <w:vAlign w:val="center"/>
            <w:hideMark/>
          </w:tcPr>
          <w:p w14:paraId="1868D1D0"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Cumulative</w:t>
            </w:r>
          </w:p>
        </w:tc>
        <w:tc>
          <w:tcPr>
            <w:tcW w:w="708" w:type="dxa"/>
            <w:tcBorders>
              <w:top w:val="nil"/>
              <w:left w:val="nil"/>
              <w:bottom w:val="single" w:sz="8" w:space="0" w:color="auto"/>
              <w:right w:val="single" w:sz="8" w:space="0" w:color="auto"/>
            </w:tcBorders>
            <w:vAlign w:val="center"/>
            <w:hideMark/>
          </w:tcPr>
          <w:p w14:paraId="0845D628"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6</w:t>
            </w:r>
          </w:p>
        </w:tc>
        <w:tc>
          <w:tcPr>
            <w:tcW w:w="567" w:type="dxa"/>
            <w:tcBorders>
              <w:top w:val="nil"/>
              <w:left w:val="nil"/>
              <w:bottom w:val="single" w:sz="8" w:space="0" w:color="auto"/>
              <w:right w:val="double" w:sz="6" w:space="0" w:color="auto"/>
            </w:tcBorders>
            <w:vAlign w:val="center"/>
            <w:hideMark/>
          </w:tcPr>
          <w:p w14:paraId="7A357BD8"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52</w:t>
            </w:r>
          </w:p>
        </w:tc>
        <w:tc>
          <w:tcPr>
            <w:tcW w:w="709" w:type="dxa"/>
            <w:tcBorders>
              <w:top w:val="nil"/>
              <w:left w:val="nil"/>
              <w:bottom w:val="single" w:sz="8" w:space="0" w:color="auto"/>
              <w:right w:val="single" w:sz="8" w:space="0" w:color="auto"/>
            </w:tcBorders>
            <w:vAlign w:val="center"/>
            <w:hideMark/>
          </w:tcPr>
          <w:p w14:paraId="70DCF9F6"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22</w:t>
            </w:r>
          </w:p>
        </w:tc>
        <w:tc>
          <w:tcPr>
            <w:tcW w:w="738" w:type="dxa"/>
            <w:tcBorders>
              <w:top w:val="nil"/>
              <w:left w:val="nil"/>
              <w:bottom w:val="single" w:sz="8" w:space="0" w:color="auto"/>
              <w:right w:val="double" w:sz="6" w:space="0" w:color="auto"/>
            </w:tcBorders>
            <w:vAlign w:val="center"/>
            <w:hideMark/>
          </w:tcPr>
          <w:p w14:paraId="686E532B"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147</w:t>
            </w:r>
          </w:p>
        </w:tc>
        <w:tc>
          <w:tcPr>
            <w:tcW w:w="567" w:type="dxa"/>
            <w:tcBorders>
              <w:top w:val="nil"/>
              <w:left w:val="nil"/>
              <w:bottom w:val="single" w:sz="8" w:space="0" w:color="auto"/>
              <w:right w:val="single" w:sz="8" w:space="0" w:color="auto"/>
            </w:tcBorders>
            <w:vAlign w:val="center"/>
            <w:hideMark/>
          </w:tcPr>
          <w:p w14:paraId="6B797BC0"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41</w:t>
            </w:r>
          </w:p>
        </w:tc>
        <w:tc>
          <w:tcPr>
            <w:tcW w:w="680" w:type="dxa"/>
            <w:tcBorders>
              <w:top w:val="nil"/>
              <w:left w:val="nil"/>
              <w:bottom w:val="single" w:sz="8" w:space="0" w:color="auto"/>
              <w:right w:val="double" w:sz="6" w:space="0" w:color="auto"/>
            </w:tcBorders>
            <w:vAlign w:val="center"/>
            <w:hideMark/>
          </w:tcPr>
          <w:p w14:paraId="2E8D5A81" w14:textId="77777777" w:rsidR="006C0C1F" w:rsidRPr="0041262C" w:rsidRDefault="006C0C1F" w:rsidP="006C0C1F">
            <w:pPr>
              <w:pStyle w:val="E3tabletext1"/>
              <w:spacing w:line="256" w:lineRule="auto"/>
              <w:rPr>
                <w:rFonts w:ascii="Helvetica" w:hAnsi="Helvetica" w:cs="Helvetica"/>
                <w:color w:val="000000"/>
                <w:lang w:val="en-NZ"/>
              </w:rPr>
            </w:pPr>
            <w:r w:rsidRPr="0041262C">
              <w:rPr>
                <w:rFonts w:ascii="Helvetica" w:hAnsi="Helvetica" w:cs="Helvetica"/>
                <w:color w:val="000000"/>
              </w:rPr>
              <w:t>256</w:t>
            </w:r>
          </w:p>
        </w:tc>
      </w:tr>
    </w:tbl>
    <w:p w14:paraId="493740CA" w14:textId="77777777" w:rsidR="006C0C1F" w:rsidRDefault="006C0C1F" w:rsidP="006C0C1F">
      <w:pPr>
        <w:pStyle w:val="E3TableTitles"/>
      </w:pPr>
    </w:p>
    <w:p w14:paraId="67BD60B8" w14:textId="77777777" w:rsidR="006C0C1F" w:rsidRDefault="006C0C1F" w:rsidP="002759B7">
      <w:pPr>
        <w:pStyle w:val="E3BodyText"/>
        <w:jc w:val="both"/>
      </w:pPr>
      <w:r>
        <w:t>The analysis</w:t>
      </w:r>
      <w:r>
        <w:rPr>
          <w:b/>
        </w:rPr>
        <w:t xml:space="preserve"> </w:t>
      </w:r>
      <w:r>
        <w:t>shows that in both Australia and New Zealand, option 4 has the greatest overall Net Present Value (total benefits less the total costs). In Australia the NPV is estimated to be $1,340 million for option 4, compared with $ 798 million from option 3. The long term energy savings and emission reductions from option 4 in both countries is significant when compared with the other options.</w:t>
      </w:r>
    </w:p>
    <w:p w14:paraId="67345CCA" w14:textId="77777777" w:rsidR="006C0C1F" w:rsidRDefault="006C0C1F" w:rsidP="002759B7">
      <w:pPr>
        <w:pStyle w:val="E3BodyText"/>
        <w:jc w:val="both"/>
      </w:pPr>
      <w:r>
        <w:t xml:space="preserve">As </w:t>
      </w:r>
      <w:r w:rsidRPr="0041262C">
        <w:rPr>
          <w:b/>
        </w:rPr>
        <w:t xml:space="preserve">Table </w:t>
      </w:r>
      <w:r>
        <w:rPr>
          <w:b/>
        </w:rPr>
        <w:t>18</w:t>
      </w:r>
      <w:r>
        <w:t xml:space="preserve"> shows, the BCR for option 4 is similar to option 3. While the costs of option 4 are higher the overall benefits from this option are significant and far outweigh the other options.  The NPV for option 4 is far greater than for the other options.</w:t>
      </w:r>
    </w:p>
    <w:p w14:paraId="5ED8AB70" w14:textId="77777777" w:rsidR="006C0C1F" w:rsidRDefault="006C0C1F" w:rsidP="002759B7">
      <w:pPr>
        <w:pStyle w:val="E3BodyText"/>
        <w:jc w:val="both"/>
      </w:pPr>
      <w:r>
        <w:t>The inputs for this analysis have been revised since the Consultation RIS:</w:t>
      </w:r>
    </w:p>
    <w:p w14:paraId="3935E3C5" w14:textId="77777777" w:rsidR="006C0C1F" w:rsidRDefault="006C0C1F" w:rsidP="002759B7">
      <w:pPr>
        <w:pStyle w:val="E3Bullets"/>
        <w:autoSpaceDE/>
        <w:autoSpaceDN/>
        <w:adjustRightInd/>
        <w:spacing w:after="113" w:line="276" w:lineRule="auto"/>
        <w:ind w:left="714" w:hanging="357"/>
        <w:jc w:val="both"/>
      </w:pPr>
      <w:r>
        <w:t>The current analysis is for the period 2017 – 2035 (rather than 2014 – 2035).</w:t>
      </w:r>
    </w:p>
    <w:p w14:paraId="636FCE9C" w14:textId="77777777" w:rsidR="006C0C1F" w:rsidRDefault="006C0C1F" w:rsidP="002759B7">
      <w:pPr>
        <w:pStyle w:val="E3Bullets"/>
        <w:autoSpaceDE/>
        <w:autoSpaceDN/>
        <w:adjustRightInd/>
        <w:spacing w:after="113" w:line="276" w:lineRule="auto"/>
        <w:ind w:left="714" w:hanging="357"/>
        <w:jc w:val="both"/>
      </w:pPr>
      <w:r>
        <w:lastRenderedPageBreak/>
        <w:t>The efficiency, sales and stock estimates have been updated to 2016 using current data and trends</w:t>
      </w:r>
    </w:p>
    <w:p w14:paraId="535632E7" w14:textId="77777777" w:rsidR="006C0C1F" w:rsidRDefault="006C0C1F" w:rsidP="002759B7">
      <w:pPr>
        <w:pStyle w:val="E3Bullets"/>
        <w:autoSpaceDE/>
        <w:autoSpaceDN/>
        <w:adjustRightInd/>
        <w:spacing w:after="113" w:line="276" w:lineRule="auto"/>
        <w:ind w:left="714" w:hanging="357"/>
        <w:jc w:val="both"/>
      </w:pPr>
      <w:r>
        <w:t>It takes into account a three year delay in capturing savings – from 2020 (resulting in three years less accumulated savings).</w:t>
      </w:r>
    </w:p>
    <w:p w14:paraId="3CFFAFA9" w14:textId="77777777" w:rsidR="00DD102F" w:rsidRDefault="006C0C1F" w:rsidP="002759B7">
      <w:pPr>
        <w:pStyle w:val="E3Bullets"/>
        <w:autoSpaceDE/>
        <w:autoSpaceDN/>
        <w:adjustRightInd/>
        <w:spacing w:after="113" w:line="276" w:lineRule="auto"/>
        <w:ind w:left="714" w:hanging="357"/>
        <w:jc w:val="both"/>
      </w:pPr>
      <w:r>
        <w:t>It now uses the LRMC and wholesale costs of electricity (with the NZ costs assessed at ½ the retail price compared with the whole retail price for Australia).</w:t>
      </w:r>
    </w:p>
    <w:p w14:paraId="19D82375" w14:textId="77777777" w:rsidR="00DD102F" w:rsidRDefault="00DD102F" w:rsidP="002759B7">
      <w:pPr>
        <w:pStyle w:val="E3Bullets"/>
        <w:numPr>
          <w:ilvl w:val="0"/>
          <w:numId w:val="0"/>
        </w:numPr>
        <w:autoSpaceDE/>
        <w:autoSpaceDN/>
        <w:adjustRightInd/>
        <w:spacing w:after="113" w:line="276" w:lineRule="auto"/>
        <w:jc w:val="both"/>
      </w:pPr>
    </w:p>
    <w:p w14:paraId="6795168B" w14:textId="049006F6" w:rsidR="006C0C1F" w:rsidRDefault="006C0C1F" w:rsidP="004E162B">
      <w:pPr>
        <w:pStyle w:val="E3Bullets"/>
        <w:numPr>
          <w:ilvl w:val="0"/>
          <w:numId w:val="0"/>
        </w:numPr>
        <w:autoSpaceDE/>
        <w:autoSpaceDN/>
        <w:adjustRightInd/>
        <w:spacing w:after="40" w:line="276" w:lineRule="auto"/>
        <w:contextualSpacing w:val="0"/>
        <w:jc w:val="both"/>
      </w:pPr>
      <w:r>
        <w:t>In summary, while the BAU and non-regulatory options have been considered, there are benefits to be gained from the regulatory action in options 2, 3 and 4 (including online energy rating information) – in particular, from options 3 and 4:</w:t>
      </w:r>
    </w:p>
    <w:p w14:paraId="5D8EB33A" w14:textId="77777777" w:rsidR="006C0C1F" w:rsidRDefault="006C0C1F" w:rsidP="004E162B">
      <w:pPr>
        <w:pStyle w:val="E3Bullets"/>
        <w:autoSpaceDE/>
        <w:autoSpaceDN/>
        <w:adjustRightInd/>
        <w:spacing w:after="40" w:line="276" w:lineRule="auto"/>
        <w:ind w:left="714" w:hanging="357"/>
        <w:contextualSpacing w:val="0"/>
        <w:jc w:val="both"/>
      </w:pPr>
      <w:r>
        <w:t xml:space="preserve">Lowering of energy use and greenhouse emissions. </w:t>
      </w:r>
    </w:p>
    <w:p w14:paraId="467EA504" w14:textId="77777777" w:rsidR="006C0C1F" w:rsidRDefault="006C0C1F" w:rsidP="004E162B">
      <w:pPr>
        <w:pStyle w:val="E3Bullets"/>
        <w:autoSpaceDE/>
        <w:autoSpaceDN/>
        <w:adjustRightInd/>
        <w:spacing w:after="40" w:line="276" w:lineRule="auto"/>
        <w:ind w:left="714" w:hanging="357"/>
        <w:contextualSpacing w:val="0"/>
        <w:jc w:val="both"/>
      </w:pPr>
      <w:r>
        <w:t>Benefits to society from reduced emissions.</w:t>
      </w:r>
    </w:p>
    <w:p w14:paraId="038D6858" w14:textId="77777777" w:rsidR="006C0C1F" w:rsidRDefault="006C0C1F" w:rsidP="004E162B">
      <w:pPr>
        <w:pStyle w:val="E3Bullets"/>
        <w:autoSpaceDE/>
        <w:autoSpaceDN/>
        <w:adjustRightInd/>
        <w:spacing w:after="40" w:line="276" w:lineRule="auto"/>
        <w:ind w:left="714" w:hanging="357"/>
        <w:contextualSpacing w:val="0"/>
        <w:jc w:val="both"/>
      </w:pPr>
      <w:r>
        <w:t>Long-term benefits to cabinet users from lower running costs and more efficient cabinets.</w:t>
      </w:r>
    </w:p>
    <w:p w14:paraId="62E89BEF" w14:textId="77777777" w:rsidR="006C0C1F" w:rsidRDefault="006C0C1F" w:rsidP="004E162B">
      <w:pPr>
        <w:pStyle w:val="E3Bullets"/>
        <w:autoSpaceDE/>
        <w:autoSpaceDN/>
        <w:adjustRightInd/>
        <w:spacing w:after="40" w:line="276" w:lineRule="auto"/>
        <w:ind w:left="714" w:hanging="357"/>
        <w:contextualSpacing w:val="0"/>
        <w:jc w:val="both"/>
      </w:pPr>
      <w:r>
        <w:t>Increased upfront costs (if at all) from improved components will be outweighed by the benefit of increased efficiency.</w:t>
      </w:r>
    </w:p>
    <w:p w14:paraId="10B300DC" w14:textId="77777777" w:rsidR="006C0C1F" w:rsidRDefault="006C0C1F" w:rsidP="002759B7">
      <w:pPr>
        <w:pStyle w:val="E3Bullets"/>
        <w:autoSpaceDE/>
        <w:autoSpaceDN/>
        <w:adjustRightInd/>
        <w:spacing w:after="114" w:line="276" w:lineRule="auto"/>
        <w:ind w:left="714" w:hanging="357"/>
        <w:jc w:val="both"/>
      </w:pPr>
      <w:r>
        <w:t>Labelling to assist buyers to identify and choose more efficient cabinets (and stimulate competition between suppliers).</w:t>
      </w:r>
    </w:p>
    <w:p w14:paraId="3E34B404" w14:textId="77777777" w:rsidR="006C0C1F" w:rsidRDefault="006C0C1F" w:rsidP="002759B7">
      <w:pPr>
        <w:pStyle w:val="E3Bullets"/>
        <w:numPr>
          <w:ilvl w:val="0"/>
          <w:numId w:val="0"/>
        </w:numPr>
        <w:spacing w:before="240" w:after="360"/>
        <w:jc w:val="both"/>
      </w:pPr>
    </w:p>
    <w:p w14:paraId="06EACADC" w14:textId="77777777" w:rsidR="006C0C1F" w:rsidRDefault="006C0C1F" w:rsidP="004E162B">
      <w:pPr>
        <w:pStyle w:val="E3Bullets"/>
        <w:numPr>
          <w:ilvl w:val="0"/>
          <w:numId w:val="0"/>
        </w:numPr>
        <w:spacing w:before="40" w:after="40"/>
        <w:contextualSpacing w:val="0"/>
        <w:jc w:val="both"/>
      </w:pPr>
      <w:r>
        <w:t>Option 4 (EC MEPS) is the preferred option based on this analysis. Considerable consumer benefits would be gained from:</w:t>
      </w:r>
    </w:p>
    <w:p w14:paraId="3B764BE9" w14:textId="77777777" w:rsidR="006C0C1F" w:rsidRDefault="006C0C1F" w:rsidP="004E162B">
      <w:pPr>
        <w:pStyle w:val="E3Bullets"/>
        <w:autoSpaceDE/>
        <w:autoSpaceDN/>
        <w:adjustRightInd/>
        <w:spacing w:before="40" w:after="40" w:line="276" w:lineRule="auto"/>
        <w:ind w:left="714" w:hanging="357"/>
        <w:contextualSpacing w:val="0"/>
        <w:jc w:val="both"/>
      </w:pPr>
      <w:r>
        <w:t>Addressing the current problems with AS 1731</w:t>
      </w:r>
    </w:p>
    <w:p w14:paraId="444B067B" w14:textId="77777777" w:rsidR="006C0C1F" w:rsidRDefault="006C0C1F" w:rsidP="004E162B">
      <w:pPr>
        <w:pStyle w:val="E3Bullets"/>
        <w:autoSpaceDE/>
        <w:autoSpaceDN/>
        <w:adjustRightInd/>
        <w:spacing w:before="40" w:after="40" w:line="276" w:lineRule="auto"/>
        <w:ind w:left="714" w:hanging="357"/>
        <w:contextualSpacing w:val="0"/>
        <w:jc w:val="both"/>
      </w:pPr>
      <w:r>
        <w:t>Adopting the European test methods, and adopting European MEPS will provide a simpler regime that will be relatively easy to transition to.</w:t>
      </w:r>
    </w:p>
    <w:p w14:paraId="0D44788D" w14:textId="77777777" w:rsidR="006C0C1F" w:rsidRDefault="006C0C1F" w:rsidP="002759B7">
      <w:pPr>
        <w:pStyle w:val="E3Bullets"/>
        <w:autoSpaceDE/>
        <w:autoSpaceDN/>
        <w:adjustRightInd/>
        <w:spacing w:after="114" w:line="276" w:lineRule="auto"/>
        <w:ind w:left="714" w:hanging="357"/>
        <w:jc w:val="both"/>
      </w:pPr>
      <w:r>
        <w:t>Resolve issues with scope and compliance and assist market participants to make informed choices as to energy use outcomes.</w:t>
      </w:r>
    </w:p>
    <w:p w14:paraId="16D160DD" w14:textId="77777777" w:rsidR="006C0C1F" w:rsidRDefault="006C0C1F" w:rsidP="002759B7">
      <w:pPr>
        <w:pStyle w:val="E3BodyText"/>
        <w:jc w:val="both"/>
      </w:pPr>
      <w:r>
        <w:t>Under option 4, it may cost more to supply models with better components. However, the costs can be spread amongst all types supplied by the importer rather than directed at one model only. The cost to register appliances in Australia may be an initial pressure but once cabinets are registered a different supplier may import the same model without having to re-test and re-register that model.</w:t>
      </w:r>
    </w:p>
    <w:p w14:paraId="3814CD86" w14:textId="7D01D4B2" w:rsidR="006C0C1F" w:rsidRDefault="006C0C1F" w:rsidP="00AC017B">
      <w:pPr>
        <w:pStyle w:val="E3Heading4"/>
      </w:pPr>
      <w:r>
        <w:t>Local manufacturers</w:t>
      </w:r>
    </w:p>
    <w:p w14:paraId="111D729C" w14:textId="77777777" w:rsidR="006C0C1F" w:rsidRDefault="006C0C1F" w:rsidP="00AC017B">
      <w:pPr>
        <w:pStyle w:val="E3Bullets"/>
        <w:numPr>
          <w:ilvl w:val="0"/>
          <w:numId w:val="0"/>
        </w:numPr>
        <w:spacing w:before="240"/>
        <w:jc w:val="both"/>
      </w:pPr>
      <w:r>
        <w:t>There is a risk that the proposed regulatory changes will result in local manufacturers facing higher compliance costs.  As one stakeholder put it:</w:t>
      </w:r>
    </w:p>
    <w:p w14:paraId="31C297D9" w14:textId="77777777" w:rsidR="006C0C1F" w:rsidRDefault="006C0C1F" w:rsidP="00AC017B">
      <w:pPr>
        <w:pStyle w:val="E3Bullets"/>
        <w:numPr>
          <w:ilvl w:val="0"/>
          <w:numId w:val="0"/>
        </w:numPr>
        <w:spacing w:before="240"/>
        <w:jc w:val="both"/>
      </w:pPr>
    </w:p>
    <w:p w14:paraId="11483D1F" w14:textId="77777777" w:rsidR="006C0C1F" w:rsidRDefault="006C0C1F" w:rsidP="00AC017B">
      <w:pPr>
        <w:pStyle w:val="E3Bullets"/>
        <w:numPr>
          <w:ilvl w:val="0"/>
          <w:numId w:val="0"/>
        </w:numPr>
        <w:spacing w:before="120"/>
        <w:jc w:val="both"/>
        <w:rPr>
          <w:i/>
        </w:rPr>
      </w:pPr>
      <w:r>
        <w:rPr>
          <w:i/>
        </w:rPr>
        <w:t xml:space="preserve">“…some 97.5% of unit sales are for imported equipment.  Compliance costs for these imported units will be minimal as many of these units are sourced from high volume manufacturers already selling into the Euro market (and therefore already complying with the proposed changes).  The compliance cost for one (our) company alone has been estimated at ($3M).  This massive cost will threaten the future viability of local manufacturing unless significant exemptions are also adopted….” </w:t>
      </w:r>
    </w:p>
    <w:p w14:paraId="1B5D8736" w14:textId="77777777" w:rsidR="006C0C1F" w:rsidRDefault="006C0C1F" w:rsidP="00AC017B">
      <w:pPr>
        <w:pStyle w:val="E3Bullets"/>
        <w:numPr>
          <w:ilvl w:val="0"/>
          <w:numId w:val="0"/>
        </w:numPr>
        <w:spacing w:before="120"/>
        <w:jc w:val="both"/>
        <w:rPr>
          <w:i/>
        </w:rPr>
      </w:pPr>
    </w:p>
    <w:p w14:paraId="6E18D7E4" w14:textId="77777777" w:rsidR="006C0C1F" w:rsidRDefault="006C0C1F" w:rsidP="00AC017B">
      <w:pPr>
        <w:pStyle w:val="E3Bullets"/>
        <w:numPr>
          <w:ilvl w:val="0"/>
          <w:numId w:val="0"/>
        </w:numPr>
        <w:spacing w:before="120"/>
        <w:jc w:val="both"/>
      </w:pPr>
      <w:r>
        <w:t>When consulted on the Consultation RIS, local manufacturers supported a ‘deemed to comply’ solution as a means of reducing compliance costs.</w:t>
      </w:r>
      <w:r>
        <w:rPr>
          <w:rFonts w:cs="Helvetica"/>
        </w:rPr>
        <w:t xml:space="preserve"> </w:t>
      </w:r>
    </w:p>
    <w:p w14:paraId="4A1F2549" w14:textId="77777777" w:rsidR="006C0C1F" w:rsidRDefault="006C0C1F" w:rsidP="00AC017B">
      <w:pPr>
        <w:pStyle w:val="E3Bullets"/>
        <w:numPr>
          <w:ilvl w:val="0"/>
          <w:numId w:val="0"/>
        </w:numPr>
        <w:spacing w:before="120"/>
        <w:jc w:val="both"/>
      </w:pPr>
      <w:r>
        <w:t>Despite the higher compliance costs involved, local manufacturers support the move to align with international standards in recognition of the comparative benefits involved.  Compliance costs have been factored into the cost benefit analysis.</w:t>
      </w:r>
    </w:p>
    <w:p w14:paraId="27E64B3F" w14:textId="7E5E7917" w:rsidR="006C0C1F" w:rsidRDefault="006C0C1F" w:rsidP="00AC017B">
      <w:pPr>
        <w:pStyle w:val="E3Bullets"/>
        <w:numPr>
          <w:ilvl w:val="0"/>
          <w:numId w:val="0"/>
        </w:numPr>
        <w:spacing w:before="120"/>
        <w:jc w:val="both"/>
      </w:pPr>
      <w:r>
        <w:t xml:space="preserve">In response to the concern by local manufacturers at compliance costs, a deemed to comply provision forms part of these regulatory changes.  This will </w:t>
      </w:r>
      <w:r>
        <w:rPr>
          <w:rFonts w:cs="Helvetica"/>
        </w:rPr>
        <w:t xml:space="preserve">help to reduce the cost impacts of the proposal on smaller manufacturers.  It will also assist smaller suppliers to continue to compete based on their ability to serve specific requirements within the commercial cabinet market. See </w:t>
      </w:r>
      <w:r w:rsidR="00803448">
        <w:rPr>
          <w:rFonts w:cs="Helvetica"/>
          <w:b/>
        </w:rPr>
        <w:t>Attachment F</w:t>
      </w:r>
      <w:r>
        <w:rPr>
          <w:rFonts w:cs="Helvetica"/>
        </w:rPr>
        <w:t xml:space="preserve"> as to the recommendations made by the Technical Working Group about deemed to comply and other alternative registration channels under these proposals.</w:t>
      </w:r>
    </w:p>
    <w:p w14:paraId="08A4D3C7" w14:textId="77777777" w:rsidR="002759B7" w:rsidRDefault="002759B7" w:rsidP="00AC017B">
      <w:pPr>
        <w:pStyle w:val="E3Heading4"/>
      </w:pPr>
    </w:p>
    <w:p w14:paraId="48E16EAD" w14:textId="5F13760E" w:rsidR="006C0C1F" w:rsidRDefault="006C0C1F" w:rsidP="002759B7">
      <w:pPr>
        <w:pStyle w:val="E3Heading4"/>
      </w:pPr>
      <w:r w:rsidRPr="00AC017B">
        <w:t>Sensitivity analysis – what if costs increase?</w:t>
      </w:r>
    </w:p>
    <w:p w14:paraId="7412AF61" w14:textId="1F10F021" w:rsidR="006C0C1F" w:rsidRDefault="006C0C1F" w:rsidP="002759B7">
      <w:pPr>
        <w:pStyle w:val="E3BodyText"/>
      </w:pPr>
      <w:r>
        <w:t xml:space="preserve">Various sensitivity analyses were undertaken to show the impact of changing costs on the modelling outcomes. See </w:t>
      </w:r>
      <w:r>
        <w:rPr>
          <w:b/>
        </w:rPr>
        <w:t xml:space="preserve">Attachment </w:t>
      </w:r>
      <w:r w:rsidR="00803448">
        <w:rPr>
          <w:b/>
        </w:rPr>
        <w:t>C</w:t>
      </w:r>
      <w:r>
        <w:rPr>
          <w:b/>
        </w:rPr>
        <w:t xml:space="preserve"> </w:t>
      </w:r>
      <w:r>
        <w:t>for further details as to the cost/benefit results and methodology, including stock modelling and assumptions and sensitivity tests.</w:t>
      </w:r>
    </w:p>
    <w:p w14:paraId="0BDF230A" w14:textId="77777777" w:rsidR="006C0C1F" w:rsidRDefault="006C0C1F" w:rsidP="002759B7">
      <w:pPr>
        <w:pStyle w:val="E3BodyText"/>
      </w:pPr>
      <w:r>
        <w:t>The sensitivity analysis of option 4 (EC MEPS + online energy rating information from 2019) is representative of all the policy options modelled. It shows that:</w:t>
      </w:r>
    </w:p>
    <w:p w14:paraId="0A4FE16C" w14:textId="77777777" w:rsidR="006C0C1F" w:rsidRDefault="006C0C1F" w:rsidP="002759B7">
      <w:pPr>
        <w:pStyle w:val="E3Bullets"/>
        <w:autoSpaceDE/>
        <w:autoSpaceDN/>
        <w:adjustRightInd/>
        <w:spacing w:before="240" w:after="113" w:line="276" w:lineRule="auto"/>
        <w:ind w:left="643" w:hanging="357"/>
      </w:pPr>
      <w:r>
        <w:t xml:space="preserve">Even if the costs were increased, there is still a substantial national benefit to be gained from reduced running costs for every user, reduced energy use and reductions in greenhouse gas emissions – despite the cost-burden to the number of companies that intervention may affect. </w:t>
      </w:r>
    </w:p>
    <w:p w14:paraId="358794D9" w14:textId="77777777" w:rsidR="006C0C1F" w:rsidRDefault="006C0C1F" w:rsidP="002759B7">
      <w:pPr>
        <w:pStyle w:val="E3Bullets"/>
        <w:autoSpaceDE/>
        <w:autoSpaceDN/>
        <w:adjustRightInd/>
        <w:spacing w:before="240" w:after="113" w:line="276" w:lineRule="auto"/>
        <w:ind w:left="714" w:hanging="357"/>
      </w:pPr>
      <w:r>
        <w:t xml:space="preserve">The return that the government could make if the money were invested instead is far less than that created for society by reduced running costs for every user, reduced energy use, and greenhouse gas reduction. </w:t>
      </w:r>
    </w:p>
    <w:p w14:paraId="2D660D8B" w14:textId="77777777" w:rsidR="006C0C1F" w:rsidRDefault="006C0C1F" w:rsidP="002759B7">
      <w:pPr>
        <w:pStyle w:val="E3BodyText"/>
      </w:pPr>
      <w:r>
        <w:t xml:space="preserve">In the most extreme test situation, where the costs increase by 20% for a 10% increase in efficiency, it is still cost effective to regulate – with a Benefit Cost Ratio of 2.1 in Australia and 1.3 in New Zealand. </w:t>
      </w:r>
    </w:p>
    <w:p w14:paraId="3F2256A0" w14:textId="77777777" w:rsidR="006C0C1F" w:rsidRDefault="006C0C1F" w:rsidP="002759B7">
      <w:pPr>
        <w:pStyle w:val="E3BodyText"/>
      </w:pPr>
      <w:r>
        <w:t>The sensitivity of the results was tested under the following cases:</w:t>
      </w:r>
    </w:p>
    <w:p w14:paraId="23621CC1" w14:textId="77777777" w:rsidR="006C0C1F" w:rsidRDefault="006C0C1F" w:rsidP="002759B7">
      <w:pPr>
        <w:pStyle w:val="E3Bullets"/>
        <w:autoSpaceDE/>
        <w:autoSpaceDN/>
        <w:adjustRightInd/>
        <w:spacing w:after="113" w:line="276" w:lineRule="auto"/>
        <w:ind w:left="643" w:hanging="360"/>
      </w:pPr>
      <w:r>
        <w:t xml:space="preserve">Discount rates – </w:t>
      </w:r>
    </w:p>
    <w:p w14:paraId="05F5EFC9" w14:textId="77777777" w:rsidR="006C0C1F" w:rsidRDefault="006C0C1F" w:rsidP="002759B7">
      <w:pPr>
        <w:pStyle w:val="E3Bullets"/>
        <w:numPr>
          <w:ilvl w:val="0"/>
          <w:numId w:val="0"/>
        </w:numPr>
        <w:ind w:left="720"/>
      </w:pPr>
      <w:r>
        <w:t>Australia = 0%, 3%, 7%, 11%</w:t>
      </w:r>
    </w:p>
    <w:p w14:paraId="46FC9310" w14:textId="77777777" w:rsidR="006C0C1F" w:rsidRDefault="006C0C1F" w:rsidP="002759B7">
      <w:pPr>
        <w:pStyle w:val="E3Bullets"/>
        <w:numPr>
          <w:ilvl w:val="0"/>
          <w:numId w:val="0"/>
        </w:numPr>
        <w:ind w:left="720"/>
      </w:pPr>
      <w:r>
        <w:t>New Zealand = 0%, 3%, 6%, 8%</w:t>
      </w:r>
    </w:p>
    <w:p w14:paraId="62A2AA9F" w14:textId="77777777" w:rsidR="006C0C1F" w:rsidRDefault="006C0C1F" w:rsidP="002759B7">
      <w:pPr>
        <w:pStyle w:val="E3Bullets"/>
        <w:autoSpaceDE/>
        <w:autoSpaceDN/>
        <w:adjustRightInd/>
        <w:spacing w:before="240" w:after="113" w:line="276" w:lineRule="auto"/>
        <w:ind w:left="643" w:hanging="360"/>
      </w:pPr>
      <w:r>
        <w:t>Price efficiency ratios – 0.5, 1.0, 1.5, 2.0</w:t>
      </w:r>
    </w:p>
    <w:p w14:paraId="15787F7D" w14:textId="77777777" w:rsidR="006C0C1F" w:rsidRDefault="006C0C1F" w:rsidP="002759B7">
      <w:pPr>
        <w:pStyle w:val="E3Bullets"/>
        <w:autoSpaceDE/>
        <w:autoSpaceDN/>
        <w:adjustRightInd/>
        <w:spacing w:before="240" w:after="113" w:line="276" w:lineRule="auto"/>
        <w:ind w:left="643" w:hanging="360"/>
      </w:pPr>
      <w:r>
        <w:t xml:space="preserve">Carbon price – </w:t>
      </w:r>
    </w:p>
    <w:p w14:paraId="4ABF9D33" w14:textId="77777777" w:rsidR="006C0C1F" w:rsidRDefault="006C0C1F" w:rsidP="002759B7">
      <w:pPr>
        <w:pStyle w:val="E3Bullets"/>
        <w:numPr>
          <w:ilvl w:val="0"/>
          <w:numId w:val="0"/>
        </w:numPr>
        <w:ind w:left="720"/>
      </w:pPr>
      <w:r>
        <w:t>Australia = $0, $11.82, $35</w:t>
      </w:r>
    </w:p>
    <w:p w14:paraId="33FE8F9C" w14:textId="77777777" w:rsidR="00AC017B" w:rsidRDefault="00AC017B" w:rsidP="002759B7">
      <w:pPr>
        <w:pStyle w:val="E3Bullets"/>
        <w:numPr>
          <w:ilvl w:val="0"/>
          <w:numId w:val="0"/>
        </w:numPr>
        <w:ind w:left="720"/>
      </w:pPr>
      <w:r>
        <w:t>New Zealand = $0, $25, $50</w:t>
      </w:r>
    </w:p>
    <w:p w14:paraId="38B6282B" w14:textId="77777777" w:rsidR="000F7C92" w:rsidRDefault="000F7C92" w:rsidP="00AC017B">
      <w:pPr>
        <w:pStyle w:val="E3Bullets"/>
        <w:numPr>
          <w:ilvl w:val="0"/>
          <w:numId w:val="0"/>
        </w:numPr>
        <w:ind w:left="720"/>
        <w:jc w:val="both"/>
      </w:pPr>
    </w:p>
    <w:p w14:paraId="3F2FC393" w14:textId="77777777" w:rsidR="000F7C92" w:rsidRDefault="000F7C92" w:rsidP="00AC017B">
      <w:pPr>
        <w:pStyle w:val="E3Bullets"/>
        <w:numPr>
          <w:ilvl w:val="0"/>
          <w:numId w:val="0"/>
        </w:numPr>
        <w:ind w:left="720"/>
        <w:jc w:val="both"/>
      </w:pPr>
    </w:p>
    <w:p w14:paraId="6A96E9BD" w14:textId="3CC85E10" w:rsidR="000F7C92" w:rsidRPr="00AC017B" w:rsidRDefault="000F7C92" w:rsidP="00AC017B">
      <w:pPr>
        <w:pStyle w:val="E3Bullets"/>
        <w:numPr>
          <w:ilvl w:val="0"/>
          <w:numId w:val="0"/>
        </w:numPr>
        <w:ind w:left="720"/>
        <w:jc w:val="both"/>
      </w:pPr>
      <w:r>
        <w:rPr>
          <w:noProof/>
          <w:lang w:val="en-AU" w:eastAsia="en-AU"/>
        </w:rPr>
        <w:drawing>
          <wp:anchor distT="0" distB="0" distL="114300" distR="114300" simplePos="0" relativeHeight="251658247" behindDoc="1" locked="1" layoutInCell="1" allowOverlap="1" wp14:anchorId="69100172" wp14:editId="5C9FBCB4">
            <wp:simplePos x="0" y="0"/>
            <wp:positionH relativeFrom="margin">
              <wp:align>left</wp:align>
            </wp:positionH>
            <wp:positionV relativeFrom="margin">
              <wp:align>top</wp:align>
            </wp:positionV>
            <wp:extent cx="6124575" cy="1800225"/>
            <wp:effectExtent l="0" t="0" r="9525" b="9525"/>
            <wp:wrapNone/>
            <wp:docPr id="26"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25"/>
                    <a:stretch>
                      <a:fillRect/>
                    </a:stretch>
                  </pic:blipFill>
                  <pic:spPr>
                    <a:xfrm>
                      <a:off x="0" y="0"/>
                      <a:ext cx="6124575" cy="1800225"/>
                    </a:xfrm>
                    <a:prstGeom prst="rect">
                      <a:avLst/>
                    </a:prstGeom>
                  </pic:spPr>
                </pic:pic>
              </a:graphicData>
            </a:graphic>
          </wp:anchor>
        </w:drawing>
      </w:r>
    </w:p>
    <w:p w14:paraId="3A91E37C" w14:textId="77777777" w:rsidR="006C0C1F" w:rsidRDefault="006C0C1F" w:rsidP="005875E7"/>
    <w:p w14:paraId="09D0CE23" w14:textId="4BECC85F" w:rsidR="006C0C1F" w:rsidRDefault="000F7C92" w:rsidP="004C3E41">
      <w:pPr>
        <w:pStyle w:val="E3ChapterTitle"/>
        <w:numPr>
          <w:ilvl w:val="0"/>
          <w:numId w:val="69"/>
        </w:numPr>
      </w:pPr>
      <w:bookmarkStart w:id="249" w:name="_Toc500151818"/>
      <w:r>
        <w:t>Consultation</w:t>
      </w:r>
      <w:bookmarkEnd w:id="249"/>
    </w:p>
    <w:p w14:paraId="2A80D022" w14:textId="77777777" w:rsidR="000F7C92" w:rsidRPr="001161F1" w:rsidRDefault="000F7C92" w:rsidP="000F7C92">
      <w:pPr>
        <w:pStyle w:val="E3BodyText"/>
      </w:pPr>
      <w:r w:rsidRPr="00EA5189">
        <w:t xml:space="preserve">There has been ongoing engagement with industry and stakeholders to obtain feedback on and develop the proposed policy options in relation to commercial refrigeration.  </w:t>
      </w:r>
    </w:p>
    <w:p w14:paraId="2ABD83C4" w14:textId="77777777" w:rsidR="000F7C92" w:rsidRPr="0041262C" w:rsidRDefault="000F7C92" w:rsidP="000F7C92">
      <w:pPr>
        <w:pStyle w:val="E3Heading2"/>
      </w:pPr>
      <w:bookmarkStart w:id="250" w:name="_Toc500151819"/>
      <w:r>
        <w:t>Market Research</w:t>
      </w:r>
      <w:bookmarkEnd w:id="250"/>
    </w:p>
    <w:p w14:paraId="4374C0C2" w14:textId="77777777" w:rsidR="000F7C92" w:rsidRDefault="000F7C92" w:rsidP="002759B7">
      <w:pPr>
        <w:jc w:val="both"/>
        <w:rPr>
          <w:sz w:val="24"/>
          <w:lang w:val="en-US"/>
        </w:rPr>
      </w:pPr>
      <w:r w:rsidRPr="0046124E">
        <w:rPr>
          <w:sz w:val="24"/>
          <w:lang w:val="en-US"/>
        </w:rPr>
        <w:t xml:space="preserve">A range of market research was carried out </w:t>
      </w:r>
      <w:r>
        <w:rPr>
          <w:sz w:val="24"/>
          <w:lang w:val="en-US"/>
        </w:rPr>
        <w:t xml:space="preserve">by the Australian based consultancy firm, Expert Group in 2013 </w:t>
      </w:r>
      <w:r w:rsidRPr="0046124E">
        <w:rPr>
          <w:sz w:val="24"/>
          <w:lang w:val="en-US"/>
        </w:rPr>
        <w:t>for the purposes of th</w:t>
      </w:r>
      <w:r>
        <w:rPr>
          <w:sz w:val="24"/>
          <w:lang w:val="en-US"/>
        </w:rPr>
        <w:t xml:space="preserve">e </w:t>
      </w:r>
      <w:r w:rsidRPr="0046124E">
        <w:rPr>
          <w:sz w:val="24"/>
          <w:lang w:val="en-US"/>
        </w:rPr>
        <w:t>Consultation R</w:t>
      </w:r>
      <w:r>
        <w:rPr>
          <w:sz w:val="24"/>
          <w:lang w:val="en-US"/>
        </w:rPr>
        <w:t xml:space="preserve">egulation </w:t>
      </w:r>
      <w:r w:rsidRPr="0046124E">
        <w:rPr>
          <w:sz w:val="24"/>
          <w:lang w:val="en-US"/>
        </w:rPr>
        <w:t>I</w:t>
      </w:r>
      <w:r>
        <w:rPr>
          <w:sz w:val="24"/>
          <w:lang w:val="en-US"/>
        </w:rPr>
        <w:t xml:space="preserve">mpact </w:t>
      </w:r>
      <w:r w:rsidRPr="0046124E">
        <w:rPr>
          <w:sz w:val="24"/>
          <w:lang w:val="en-US"/>
        </w:rPr>
        <w:t>S</w:t>
      </w:r>
      <w:r>
        <w:rPr>
          <w:sz w:val="24"/>
          <w:lang w:val="en-US"/>
        </w:rPr>
        <w:t>tatement (Consultation RIS) in both Australia and New Zealand. This</w:t>
      </w:r>
      <w:r w:rsidRPr="0046124E">
        <w:rPr>
          <w:sz w:val="24"/>
          <w:lang w:val="en-US"/>
        </w:rPr>
        <w:t xml:space="preserve"> includ</w:t>
      </w:r>
      <w:r>
        <w:rPr>
          <w:sz w:val="24"/>
          <w:lang w:val="en-US"/>
        </w:rPr>
        <w:t xml:space="preserve">ed conducting </w:t>
      </w:r>
      <w:r w:rsidRPr="0046124E">
        <w:rPr>
          <w:sz w:val="24"/>
          <w:lang w:val="en-US"/>
        </w:rPr>
        <w:t>interviews with market participants, desk top research and research obtained from consultants in their previous assignments. The market participants who were interviewed included industry associations, beverage companies, manufacturers, importers and large</w:t>
      </w:r>
      <w:r>
        <w:rPr>
          <w:sz w:val="24"/>
          <w:lang w:val="en-US"/>
        </w:rPr>
        <w:t xml:space="preserve"> </w:t>
      </w:r>
      <w:r w:rsidRPr="0046124E">
        <w:rPr>
          <w:sz w:val="24"/>
          <w:lang w:val="en-US"/>
        </w:rPr>
        <w:t>compa</w:t>
      </w:r>
      <w:r>
        <w:rPr>
          <w:sz w:val="24"/>
          <w:lang w:val="en-US"/>
        </w:rPr>
        <w:t>nies purchasing products for their own use.</w:t>
      </w:r>
      <w:r w:rsidRPr="0046124E">
        <w:rPr>
          <w:sz w:val="24"/>
          <w:lang w:val="en-US"/>
        </w:rPr>
        <w:t xml:space="preserve"> </w:t>
      </w:r>
      <w:r>
        <w:rPr>
          <w:sz w:val="24"/>
          <w:lang w:val="en-US"/>
        </w:rPr>
        <w:t>This process informed the cost benefit analysis by identifying data inputs and assisting with the development of assumptions relevant to the cost benefit analysis.</w:t>
      </w:r>
    </w:p>
    <w:p w14:paraId="7113A20C" w14:textId="77777777" w:rsidR="000F7C92" w:rsidRDefault="000F7C92" w:rsidP="002759B7">
      <w:pPr>
        <w:jc w:val="both"/>
        <w:rPr>
          <w:sz w:val="24"/>
          <w:lang w:val="en-US"/>
        </w:rPr>
      </w:pPr>
      <w:r w:rsidRPr="0046124E">
        <w:rPr>
          <w:sz w:val="24"/>
          <w:lang w:val="en-US"/>
        </w:rPr>
        <w:t>Market research on product costs involved reviewing online information (i.e. specification and prices) for approximately 30 suppliers across both countries to establish who controlled which products/brands and were importers, manufacturers or both. Further online research involved dissecting other data sources such as MEPS registrations.</w:t>
      </w:r>
      <w:r w:rsidRPr="0046124E">
        <w:rPr>
          <w:rStyle w:val="FootnoteReference"/>
          <w:sz w:val="24"/>
          <w:lang w:val="en-US"/>
        </w:rPr>
        <w:footnoteReference w:id="48"/>
      </w:r>
      <w:r>
        <w:rPr>
          <w:sz w:val="24"/>
          <w:lang w:val="en-US"/>
        </w:rPr>
        <w:t xml:space="preserve"> </w:t>
      </w:r>
    </w:p>
    <w:p w14:paraId="463EFA87" w14:textId="77777777" w:rsidR="000F7C92" w:rsidRPr="00DE6ECF" w:rsidRDefault="000F7C92" w:rsidP="002759B7">
      <w:pPr>
        <w:pStyle w:val="E3Heading2"/>
        <w:jc w:val="both"/>
      </w:pPr>
      <w:bookmarkStart w:id="251" w:name="_Toc500151820"/>
      <w:r>
        <w:t>Public consultation on the product profile</w:t>
      </w:r>
      <w:bookmarkEnd w:id="251"/>
    </w:p>
    <w:p w14:paraId="791DD545" w14:textId="77777777" w:rsidR="000F7C92" w:rsidRDefault="000F7C92" w:rsidP="002759B7">
      <w:pPr>
        <w:jc w:val="both"/>
        <w:rPr>
          <w:sz w:val="24"/>
          <w:lang w:val="en-US"/>
        </w:rPr>
      </w:pPr>
      <w:r>
        <w:rPr>
          <w:sz w:val="24"/>
          <w:lang w:val="en-US"/>
        </w:rPr>
        <w:t>Industry feedback and submissions in relation to the product profile supported the proposed regulatory changes:</w:t>
      </w:r>
    </w:p>
    <w:p w14:paraId="088BBC2B" w14:textId="77777777" w:rsidR="000F7C92" w:rsidRPr="00CA6FCF" w:rsidRDefault="000F7C92" w:rsidP="002759B7">
      <w:pPr>
        <w:pStyle w:val="E3Bullets"/>
        <w:jc w:val="both"/>
      </w:pPr>
      <w:r w:rsidRPr="00CA6FCF">
        <w:t>There was consensus that Australia and New Zealand Standards should align with the international test method ISO 23953 for display cabinets, while retaining the option for local standards to be amended.</w:t>
      </w:r>
    </w:p>
    <w:p w14:paraId="73BE7A16" w14:textId="77777777" w:rsidR="000F7C92" w:rsidRPr="00CA6FCF" w:rsidRDefault="000F7C92" w:rsidP="002759B7">
      <w:pPr>
        <w:pStyle w:val="E3Bullets"/>
        <w:jc w:val="both"/>
      </w:pPr>
      <w:r w:rsidRPr="00CA6FCF">
        <w:t xml:space="preserve">All submitters offered support for a ‘deemed to comply’ provision for low volume production of cabinets (which would apply to small production runs and custom made </w:t>
      </w:r>
      <w:r w:rsidRPr="00CA6FCF">
        <w:lastRenderedPageBreak/>
        <w:t>cabinets under the EN approach).</w:t>
      </w:r>
      <w:r w:rsidRPr="00CA6FCF">
        <w:rPr>
          <w:rStyle w:val="FootnoteReference"/>
          <w:vertAlign w:val="baseline"/>
        </w:rPr>
        <w:footnoteReference w:id="49"/>
      </w:r>
      <w:r w:rsidRPr="00CA6FCF">
        <w:t xml:space="preserve"> If a ‘deemed to comply’ pathway could be formulated, it would demonstrate compliance with MEPS where testing in a laboratory setting may be too difficult or expensive.  </w:t>
      </w:r>
    </w:p>
    <w:p w14:paraId="5F837188" w14:textId="77777777" w:rsidR="000F7C92" w:rsidRPr="00CA6FCF" w:rsidRDefault="000F7C92" w:rsidP="002759B7">
      <w:pPr>
        <w:pStyle w:val="E3Bullets"/>
        <w:jc w:val="both"/>
      </w:pPr>
      <w:r w:rsidRPr="00CA6FCF">
        <w:t>There was also support for simplification of the Australasian Standards, with 50-70% of submitters wanting the Standards to be simpler, to align with international standards where practical and to apply to more types of cabinets on the market (without impacting unduly on small-medium enterprises).</w:t>
      </w:r>
    </w:p>
    <w:p w14:paraId="50A7513C" w14:textId="58133386" w:rsidR="000F7C92" w:rsidRPr="00CA6FCF" w:rsidRDefault="000F7C92" w:rsidP="002759B7">
      <w:pPr>
        <w:pStyle w:val="E3Bullets"/>
        <w:jc w:val="both"/>
      </w:pPr>
      <w:r w:rsidRPr="00CA6FCF">
        <w:t>The feedback showed a vast amount of technical knowledge by some manufacturers, who outlined several in</w:t>
      </w:r>
      <w:r w:rsidR="00E10F09">
        <w:t>consistencies with the current s</w:t>
      </w:r>
      <w:r w:rsidRPr="00CA6FCF">
        <w:t>tandard and its interpretation.</w:t>
      </w:r>
    </w:p>
    <w:p w14:paraId="3DE45B0A" w14:textId="16661AAA" w:rsidR="000F7C92" w:rsidRPr="00CA6FCF" w:rsidRDefault="000F7C92" w:rsidP="002759B7">
      <w:pPr>
        <w:pStyle w:val="E3Bullets"/>
        <w:jc w:val="both"/>
      </w:pPr>
      <w:r w:rsidRPr="00CA6FCF">
        <w:t>All submitters (with the exception of one small company) supported an expansion of measures to cover storage cabinets, including</w:t>
      </w:r>
      <w:r w:rsidR="00E10F09">
        <w:t xml:space="preserve"> MEPS (and therefore the local s</w:t>
      </w:r>
      <w:r w:rsidRPr="00CA6FCF">
        <w:t>tandards), provided there was sufficient lead in time to adapt and find compliant models.</w:t>
      </w:r>
    </w:p>
    <w:p w14:paraId="7C856C37" w14:textId="7A264671" w:rsidR="000F7C92" w:rsidRPr="00CA6FCF" w:rsidRDefault="000F7C92" w:rsidP="002759B7">
      <w:pPr>
        <w:pStyle w:val="E3Bullets"/>
        <w:jc w:val="both"/>
      </w:pPr>
      <w:r w:rsidRPr="00CA6FCF">
        <w:t>There was strong support for the need to update and rationalise MEPS. Although there were mixed comments as to what the MEPS levels should be, the industry felt overall  that increased policing of products would make the most difference to cabinet performance (and th</w:t>
      </w:r>
      <w:r w:rsidR="00E10F09">
        <w:t>at to do this effectively, the s</w:t>
      </w:r>
      <w:r w:rsidRPr="00CA6FCF">
        <w:t>tandards needed to be robust).</w:t>
      </w:r>
    </w:p>
    <w:p w14:paraId="2595752A" w14:textId="77777777" w:rsidR="000F7C92" w:rsidRPr="00CA6FCF" w:rsidRDefault="000F7C92" w:rsidP="002759B7">
      <w:pPr>
        <w:pStyle w:val="E3Bullets"/>
        <w:jc w:val="both"/>
      </w:pPr>
      <w:r w:rsidRPr="00CA6FCF">
        <w:t>There was broad support for an energy rating label of some kind (preferably in electronic form on-line or in the literature).  No interest was expressed in a mandatory labelling scheme, until issues with the current MEPS or HEPS (High Efficiency Performance Specifications) levels were resolved.</w:t>
      </w:r>
    </w:p>
    <w:p w14:paraId="71BC9768" w14:textId="77777777" w:rsidR="000F7C92" w:rsidRPr="00CA6FCF" w:rsidRDefault="000F7C92" w:rsidP="002759B7">
      <w:pPr>
        <w:pStyle w:val="E3Bullets"/>
        <w:jc w:val="both"/>
      </w:pPr>
      <w:r w:rsidRPr="00CA6FCF">
        <w:t xml:space="preserve">Suppliers wanted HEPS to relate to MEPS as a fixed proportion. If European MEPS levels and labelling were adopted, HEPS could easily be defined as the top two or three levels on the label. HEPS levels need to cater for different methods of achieving high efficiency. The simplistic labelling method proposed in Europe was likely to be very useful in distinguishing between better performing models and those which are less efficient. </w:t>
      </w:r>
    </w:p>
    <w:p w14:paraId="65515915" w14:textId="1DC2BD0E" w:rsidR="000F7C92" w:rsidRPr="00CA6FCF" w:rsidRDefault="000F7C92" w:rsidP="002759B7">
      <w:pPr>
        <w:pStyle w:val="E3Bullets"/>
        <w:jc w:val="both"/>
      </w:pPr>
      <w:r w:rsidRPr="00CA6FCF">
        <w:t xml:space="preserve">Labelling needed to be accompanied with education of buyers so they did not simply buy the unit that was labelled as more efficient when a different class (due to temperature of operation, configuration) would use far less electricity. </w:t>
      </w:r>
    </w:p>
    <w:p w14:paraId="5336C770" w14:textId="77777777" w:rsidR="000F7C92" w:rsidRPr="0046124E" w:rsidRDefault="000F7C92" w:rsidP="002759B7">
      <w:pPr>
        <w:pStyle w:val="E3Bullets"/>
        <w:jc w:val="both"/>
      </w:pPr>
      <w:r w:rsidRPr="00CA6FCF">
        <w:t>Label metrics should be thought through so most models could be compared to each other.</w:t>
      </w:r>
      <w:r w:rsidRPr="0046124E">
        <w:t xml:space="preserve"> There was mixed feeling about the benefit of high efficiency</w:t>
      </w:r>
      <w:r>
        <w:t xml:space="preserve"> </w:t>
      </w:r>
      <w:r w:rsidRPr="0046124E">
        <w:t>endorsement labelling, given the apparent lack of attention by buyers to energy use.</w:t>
      </w:r>
    </w:p>
    <w:p w14:paraId="778DE6EE" w14:textId="77777777" w:rsidR="000F7C92" w:rsidRDefault="000F7C92" w:rsidP="002759B7">
      <w:pPr>
        <w:pStyle w:val="E3BodyText"/>
        <w:jc w:val="both"/>
        <w:rPr>
          <w:sz w:val="28"/>
          <w:szCs w:val="28"/>
        </w:rPr>
      </w:pPr>
      <w:r w:rsidRPr="00AC7259">
        <w:t xml:space="preserve">Several suppliers commented that they wanted beverage vending machines to be investigated for MEPS. </w:t>
      </w:r>
      <w:r>
        <w:t>T</w:t>
      </w:r>
      <w:r w:rsidRPr="00AC7259">
        <w:t xml:space="preserve">hese </w:t>
      </w:r>
      <w:r>
        <w:t xml:space="preserve">products </w:t>
      </w:r>
      <w:r w:rsidRPr="00AC7259">
        <w:t>are out</w:t>
      </w:r>
      <w:r>
        <w:t>side</w:t>
      </w:r>
      <w:r w:rsidRPr="00AC7259">
        <w:t xml:space="preserve"> </w:t>
      </w:r>
      <w:r>
        <w:t xml:space="preserve">the </w:t>
      </w:r>
      <w:r w:rsidRPr="00AC7259">
        <w:t xml:space="preserve">scope </w:t>
      </w:r>
      <w:r>
        <w:t xml:space="preserve">of </w:t>
      </w:r>
      <w:r w:rsidRPr="00AC7259">
        <w:t>this RIS, although they are included</w:t>
      </w:r>
      <w:r>
        <w:t xml:space="preserve"> in the EC MEPS levels and ISO S</w:t>
      </w:r>
      <w:r w:rsidRPr="00AC7259">
        <w:t xml:space="preserve">tandard for display cabinets. This is because </w:t>
      </w:r>
      <w:r w:rsidRPr="00AC7259">
        <w:lastRenderedPageBreak/>
        <w:t xml:space="preserve">previous investigation in Australia and New Zealand showed that the fleet was dominated by efficient models, through excellent industry initiatives. </w:t>
      </w:r>
      <w:r>
        <w:t>T</w:t>
      </w:r>
      <w:r w:rsidRPr="00AC7259">
        <w:t xml:space="preserve">he need for </w:t>
      </w:r>
      <w:r w:rsidRPr="00AC7259">
        <w:rPr>
          <w:i/>
        </w:rPr>
        <w:t>regulatory</w:t>
      </w:r>
      <w:r w:rsidRPr="00AC7259">
        <w:t xml:space="preserve"> intervention was </w:t>
      </w:r>
      <w:r>
        <w:t xml:space="preserve">therefore </w:t>
      </w:r>
      <w:r w:rsidRPr="00AC7259">
        <w:t xml:space="preserve">comparatively low. </w:t>
      </w:r>
      <w:r>
        <w:t xml:space="preserve">The need to implement </w:t>
      </w:r>
      <w:r w:rsidRPr="00AC7259">
        <w:t xml:space="preserve">MEPS for </w:t>
      </w:r>
      <w:r>
        <w:t xml:space="preserve">beverage vending machines may be investigated </w:t>
      </w:r>
      <w:r w:rsidRPr="00AC7259">
        <w:t xml:space="preserve">at a later date if </w:t>
      </w:r>
      <w:r>
        <w:t xml:space="preserve">it becomes clear </w:t>
      </w:r>
      <w:r w:rsidRPr="00AC7259">
        <w:t>that industry is no longer driving the need for highly efficient models.</w:t>
      </w:r>
    </w:p>
    <w:p w14:paraId="6F2550A4" w14:textId="77777777" w:rsidR="000F7C92" w:rsidRPr="000F7C92" w:rsidRDefault="000F7C92" w:rsidP="004E162B">
      <w:pPr>
        <w:pStyle w:val="E3BodyText"/>
        <w:spacing w:before="360"/>
        <w:jc w:val="both"/>
        <w:rPr>
          <w:rFonts w:ascii="Helvetica" w:hAnsi="Helvetica" w:cs="Arial"/>
          <w:b/>
          <w:color w:val="000000" w:themeColor="text1"/>
          <w:sz w:val="32"/>
          <w:szCs w:val="26"/>
        </w:rPr>
      </w:pPr>
      <w:r w:rsidRPr="000F7C92">
        <w:rPr>
          <w:rFonts w:ascii="Helvetica" w:hAnsi="Helvetica" w:cs="Arial"/>
          <w:b/>
          <w:color w:val="000000" w:themeColor="text1"/>
          <w:sz w:val="32"/>
          <w:szCs w:val="26"/>
        </w:rPr>
        <w:t>Consultation RIS: submissions and consultation meetings</w:t>
      </w:r>
    </w:p>
    <w:p w14:paraId="05938523" w14:textId="77777777" w:rsidR="000F7C92" w:rsidRDefault="000F7C92" w:rsidP="002759B7">
      <w:pPr>
        <w:pStyle w:val="E3BodyText"/>
        <w:jc w:val="both"/>
      </w:pPr>
      <w:r>
        <w:t>In July 2016 the Equipment Efficiency Committee (E3) released the Consultation RIS in relation to Refrigerated display and storage cabinets.</w:t>
      </w:r>
      <w:r w:rsidRPr="00B75722">
        <w:t xml:space="preserve"> </w:t>
      </w:r>
      <w:r>
        <w:t>Consultation meetings were held on 9 August 2016 in Melbourne, 10 August in Sydney and 11 August in Brisbane. A further meeting was held in Auckland on 19 August.  A phone conference involving one Australian company and one regulator also took place on 24 August.</w:t>
      </w:r>
      <w:r w:rsidRPr="00B75722">
        <w:t xml:space="preserve"> </w:t>
      </w:r>
    </w:p>
    <w:p w14:paraId="07675660" w14:textId="77777777" w:rsidR="000F7C92" w:rsidRDefault="000F7C92" w:rsidP="002759B7">
      <w:pPr>
        <w:pStyle w:val="E3Bullets"/>
        <w:numPr>
          <w:ilvl w:val="0"/>
          <w:numId w:val="0"/>
        </w:numPr>
        <w:spacing w:before="120"/>
        <w:contextualSpacing w:val="0"/>
        <w:jc w:val="both"/>
      </w:pPr>
      <w:r>
        <w:t>The consultation meetings were attended by 44 companies and 57 industry representatives, comprising local and national energy regulators and electrical safety regulators from Australia and New Zealand. There were 21 submissions in total, ranging from very comprehensive submissions to those that focussed on key issues for the submitter.</w:t>
      </w:r>
      <w:r>
        <w:rPr>
          <w:rStyle w:val="FootnoteReference"/>
        </w:rPr>
        <w:footnoteReference w:id="50"/>
      </w:r>
      <w:r>
        <w:t xml:space="preserve">  </w:t>
      </w:r>
    </w:p>
    <w:p w14:paraId="3F7C5F5B" w14:textId="77777777" w:rsidR="000F7C92" w:rsidRDefault="000F7C92" w:rsidP="002759B7">
      <w:pPr>
        <w:pStyle w:val="E3Bullets"/>
        <w:numPr>
          <w:ilvl w:val="0"/>
          <w:numId w:val="0"/>
        </w:numPr>
        <w:spacing w:before="240" w:after="240"/>
        <w:contextualSpacing w:val="0"/>
        <w:jc w:val="both"/>
      </w:pPr>
      <w:r>
        <w:t xml:space="preserve">The E3 committee conducted the consultations and sought formal submissions on the modelling and assumptions used to determine energy use in the sector.  The committee also invited feedback on the policy options presented in the Consultation RIS to improve existing levels of energy efficiency and performance and to reduce greenhouse gas emissions. </w:t>
      </w:r>
    </w:p>
    <w:p w14:paraId="21630778" w14:textId="77777777" w:rsidR="000F7C92" w:rsidRDefault="000F7C92" w:rsidP="001F3C44">
      <w:pPr>
        <w:pStyle w:val="E3Bullets"/>
        <w:numPr>
          <w:ilvl w:val="0"/>
          <w:numId w:val="0"/>
        </w:numPr>
        <w:spacing w:before="120"/>
        <w:contextualSpacing w:val="0"/>
        <w:jc w:val="both"/>
      </w:pPr>
      <w:r>
        <w:t>Overall the feedback obtained from the consultation meetings and submissions was supportive of the key aspects of the policy proposals and reflected earlier feedback:</w:t>
      </w:r>
    </w:p>
    <w:p w14:paraId="6F223F29" w14:textId="77777777" w:rsidR="000F7C92" w:rsidRPr="00CA6FCF" w:rsidRDefault="000F7C92" w:rsidP="002759B7">
      <w:pPr>
        <w:pStyle w:val="E3Bullets"/>
        <w:jc w:val="both"/>
      </w:pPr>
      <w:r w:rsidRPr="00CA6FCF">
        <w:t>There was almost unanimous industry support for aligning with ISO 23953.  There was also general industry support for adopting the EN test methods, subject to local variations and further time to review them.</w:t>
      </w:r>
    </w:p>
    <w:p w14:paraId="54B58FB8" w14:textId="34CDFEBF" w:rsidR="000F7C92" w:rsidRPr="00CA6FCF" w:rsidRDefault="000F7C92" w:rsidP="002759B7">
      <w:pPr>
        <w:pStyle w:val="E3Bullets"/>
        <w:jc w:val="both"/>
      </w:pPr>
      <w:r w:rsidRPr="00CA6FCF">
        <w:t>Many commented that they supported option 4 in the Consultation RIS (adopting the ISO and EN test methods, and the EC MEPS levels posed per group, with online energy rating information added), as the best policy proposal to achieve this</w:t>
      </w:r>
      <w:r w:rsidR="001F3C44">
        <w:t>.</w:t>
      </w:r>
      <w:r w:rsidR="00605BFF">
        <w:rPr>
          <w:rStyle w:val="FootnoteReference"/>
        </w:rPr>
        <w:footnoteReference w:id="51"/>
      </w:r>
    </w:p>
    <w:p w14:paraId="3B28FE44" w14:textId="77777777" w:rsidR="000F7C92" w:rsidRPr="00CA6FCF" w:rsidRDefault="000F7C92" w:rsidP="002759B7">
      <w:pPr>
        <w:pStyle w:val="E3Bullets"/>
        <w:jc w:val="both"/>
      </w:pPr>
      <w:r w:rsidRPr="00CA6FCF">
        <w:t>All submitters (with the exception of one small company) supported the extension of the proposed regulatory measures to cover storage cabinets.</w:t>
      </w:r>
    </w:p>
    <w:p w14:paraId="2EAF55B7" w14:textId="7A4D1654" w:rsidR="000F7C92" w:rsidRPr="00CA6FCF" w:rsidRDefault="000F7C92" w:rsidP="002759B7">
      <w:pPr>
        <w:pStyle w:val="E3Bullets"/>
        <w:jc w:val="both"/>
      </w:pPr>
      <w:r w:rsidRPr="00CA6FCF">
        <w:lastRenderedPageBreak/>
        <w:t>The majority supported a move to harmonise with EU efficiency levels, with industry requiring staggered implementation dates and 3 years notice to prepare for any major design changes.</w:t>
      </w:r>
      <w:r w:rsidR="001F3C44">
        <w:rPr>
          <w:rStyle w:val="FootnoteReference"/>
        </w:rPr>
        <w:footnoteReference w:id="52"/>
      </w:r>
    </w:p>
    <w:p w14:paraId="73A0F377" w14:textId="77777777" w:rsidR="000F7C92" w:rsidRPr="00CA6FCF" w:rsidRDefault="000F7C92" w:rsidP="002759B7">
      <w:pPr>
        <w:pStyle w:val="E3Bullets"/>
        <w:jc w:val="both"/>
      </w:pPr>
      <w:r w:rsidRPr="00CA6FCF">
        <w:t xml:space="preserve">All of the key industry associations and large local manufacturers supported a deemed to comply option. This option was regarded as particularly important for local manufacturers. A Deemed to Comply path to compliance required a clear definition of the specific types of product covered and the maximum quantity permitted. </w:t>
      </w:r>
    </w:p>
    <w:p w14:paraId="00A9044F" w14:textId="77777777" w:rsidR="000F7C92" w:rsidRPr="00CA6FCF" w:rsidRDefault="000F7C92" w:rsidP="002759B7">
      <w:pPr>
        <w:pStyle w:val="E3Bullets"/>
        <w:jc w:val="both"/>
      </w:pPr>
      <w:r w:rsidRPr="00CA6FCF">
        <w:t>Local manufacturers submitted that a revised registration and compliance regime was required to reduce costs and enable them to compete in the market. The modelling and Cost Benefit Analysis should be revised to take into account these factors. It was further submitted that E3 should consider a review of the testing, compliance and registration process to address these issues, in conjunction with the associated Deemed to Comply option.</w:t>
      </w:r>
    </w:p>
    <w:p w14:paraId="6F1709B6" w14:textId="77777777" w:rsidR="000F7C92" w:rsidRPr="00CA6FCF" w:rsidRDefault="000F7C92" w:rsidP="002759B7">
      <w:pPr>
        <w:pStyle w:val="E3Bullets"/>
        <w:jc w:val="both"/>
      </w:pPr>
      <w:r w:rsidRPr="00CA6FCF">
        <w:t xml:space="preserve">While feedback in 2013 had indicated support for a mandatory energy rating label (preferably online or in the literature), submitters expressed concern at the additional cost of physical labels.  These were considered to have minimal benefit given the purchasing decision or product comparison is not made in the showroom.  There was support for voluntary online labelling (through product literature and websites) and for EU labelling. In addition to labelling, submitters considered an ongoing education and information campaign would assist buyers to optimise their ownership costs. </w:t>
      </w:r>
    </w:p>
    <w:p w14:paraId="61DC821A" w14:textId="77777777" w:rsidR="000F7C92" w:rsidRPr="00CA6FCF" w:rsidRDefault="000F7C92" w:rsidP="001F3C44">
      <w:pPr>
        <w:pStyle w:val="E3Bullets"/>
        <w:contextualSpacing w:val="0"/>
        <w:jc w:val="both"/>
      </w:pPr>
      <w:r w:rsidRPr="00CA6FCF">
        <w:t>More generally, there was concern at the significant number of free riders within the market that are avoiding meeting regulatory requirements. There is a need for a reduction in compliance costs and an increase in incentives for products who find testing and registration costs prohibitive. There should also be increased monitoring and enforcement to ensure compliance. Increased compliance would result from modified test methods and facilities, including software simulation which assist with low volume models, and large products that cannot fit in a test room.</w:t>
      </w:r>
    </w:p>
    <w:p w14:paraId="637815E8" w14:textId="77777777" w:rsidR="000F7C92" w:rsidRPr="00CA6FCF" w:rsidRDefault="000F7C92" w:rsidP="001F3C44">
      <w:pPr>
        <w:pStyle w:val="E3Bullets"/>
        <w:numPr>
          <w:ilvl w:val="0"/>
          <w:numId w:val="0"/>
        </w:numPr>
        <w:spacing w:before="160" w:after="80"/>
        <w:contextualSpacing w:val="0"/>
        <w:jc w:val="both"/>
      </w:pPr>
      <w:r w:rsidRPr="00CA6FCF">
        <w:t>Common themes were raised in the consultation discussions:</w:t>
      </w:r>
    </w:p>
    <w:p w14:paraId="10ED45CB" w14:textId="77777777" w:rsidR="000F7C92" w:rsidRPr="00CA6FCF" w:rsidRDefault="000F7C92" w:rsidP="002759B7">
      <w:pPr>
        <w:pStyle w:val="E3Bullets"/>
        <w:jc w:val="both"/>
      </w:pPr>
      <w:r w:rsidRPr="00CA6FCF">
        <w:t>There was provisional support for aligning with ISO/EN Standards, pending standards comparison.</w:t>
      </w:r>
    </w:p>
    <w:p w14:paraId="799B2E6C" w14:textId="77777777" w:rsidR="000F7C92" w:rsidRPr="00CA6FCF" w:rsidRDefault="000F7C92" w:rsidP="002759B7">
      <w:pPr>
        <w:pStyle w:val="E3Bullets"/>
        <w:jc w:val="both"/>
      </w:pPr>
      <w:r w:rsidRPr="00CA6FCF">
        <w:t>It was agreed that physical labels are impractical and voluntary/electronic “online” labelling and auto-population of the Energy rating website is preferable. The European label could be useful to differentiate the appliance from a domestic fridge but would need to include extra information such as annual running cost.</w:t>
      </w:r>
    </w:p>
    <w:p w14:paraId="5150CF7B" w14:textId="77777777" w:rsidR="000F7C92" w:rsidRPr="00CA6FCF" w:rsidRDefault="000F7C92" w:rsidP="002759B7">
      <w:pPr>
        <w:pStyle w:val="E3Bullets"/>
        <w:jc w:val="both"/>
      </w:pPr>
      <w:r w:rsidRPr="00CA6FCF">
        <w:t xml:space="preserve">There was support for the Deemed to Comply option, with suggestions made as to how this may operate in practice. </w:t>
      </w:r>
    </w:p>
    <w:p w14:paraId="24349167" w14:textId="77777777" w:rsidR="000F7C92" w:rsidRPr="00CA6FCF" w:rsidRDefault="000F7C92" w:rsidP="001F3C44">
      <w:pPr>
        <w:pStyle w:val="E3Bullets"/>
        <w:spacing w:after="160"/>
        <w:contextualSpacing w:val="0"/>
        <w:jc w:val="both"/>
      </w:pPr>
      <w:r w:rsidRPr="00CA6FCF">
        <w:lastRenderedPageBreak/>
        <w:t>There was concern about the current level of compliance and enforcement, including a lack of registrations and the availability of products that do not comply with MEPS.  Australian and New Zealand stakeholders encouraged more visibility and action in this area by government.</w:t>
      </w:r>
    </w:p>
    <w:p w14:paraId="0FBAEF97" w14:textId="77777777" w:rsidR="000F7C92" w:rsidRDefault="000F7C92" w:rsidP="001F3C44">
      <w:pPr>
        <w:pStyle w:val="E3Bullets"/>
        <w:numPr>
          <w:ilvl w:val="0"/>
          <w:numId w:val="0"/>
        </w:numPr>
        <w:autoSpaceDE/>
        <w:autoSpaceDN/>
        <w:adjustRightInd/>
        <w:spacing w:before="160" w:after="80" w:line="278" w:lineRule="auto"/>
        <w:ind w:left="227" w:hanging="227"/>
        <w:contextualSpacing w:val="0"/>
        <w:jc w:val="both"/>
      </w:pPr>
      <w:r>
        <w:t>Other points discussed at the sessions were:</w:t>
      </w:r>
    </w:p>
    <w:p w14:paraId="11863F29" w14:textId="77777777" w:rsidR="000F7C92" w:rsidRPr="00CA6FCF" w:rsidRDefault="000F7C92" w:rsidP="002759B7">
      <w:pPr>
        <w:pStyle w:val="E3Bullets"/>
        <w:jc w:val="both"/>
      </w:pPr>
      <w:r w:rsidRPr="00CA6FCF">
        <w:t xml:space="preserve">Redefining a ‘family’ of cabinets would simplify compliance and permit multiple individual energy performance registrations under one fee.  This would also alleviate some of the current compliance issues, including the high GEMS registration fee per model in Australia which is a significant barrier to registration. </w:t>
      </w:r>
    </w:p>
    <w:p w14:paraId="6631D06C" w14:textId="77777777" w:rsidR="000F7C92" w:rsidRPr="00CA6FCF" w:rsidRDefault="000F7C92" w:rsidP="002759B7">
      <w:pPr>
        <w:pStyle w:val="E3Bullets"/>
        <w:jc w:val="both"/>
      </w:pPr>
      <w:r w:rsidRPr="00CA6FCF">
        <w:t>There was a need for definitions which clearly distinguish between commercial display and domestic fridges, as the boundaries between them are confusing.</w:t>
      </w:r>
      <w:r w:rsidRPr="00CA6FCF">
        <w:rPr>
          <w:rStyle w:val="FootnoteReference"/>
          <w:vertAlign w:val="baseline"/>
        </w:rPr>
        <w:footnoteReference w:id="53"/>
      </w:r>
    </w:p>
    <w:p w14:paraId="7C6108BD" w14:textId="77777777" w:rsidR="000F7C92" w:rsidRPr="00DF4AEC" w:rsidRDefault="000F7C92" w:rsidP="002759B7">
      <w:pPr>
        <w:pStyle w:val="E3Bullets"/>
        <w:numPr>
          <w:ilvl w:val="0"/>
          <w:numId w:val="0"/>
        </w:numPr>
        <w:ind w:left="717"/>
        <w:jc w:val="both"/>
      </w:pPr>
    </w:p>
    <w:p w14:paraId="3199256F" w14:textId="77777777" w:rsidR="000F7C92" w:rsidRDefault="000F7C92" w:rsidP="002759B7">
      <w:pPr>
        <w:pStyle w:val="E3Heading2"/>
        <w:jc w:val="both"/>
      </w:pPr>
      <w:bookmarkStart w:id="252" w:name="_Toc500151821"/>
      <w:r w:rsidRPr="0041262C">
        <w:t>Technical</w:t>
      </w:r>
      <w:r>
        <w:t xml:space="preserve"> </w:t>
      </w:r>
      <w:r w:rsidRPr="0041262C">
        <w:t>Working Group: recommendations</w:t>
      </w:r>
      <w:bookmarkEnd w:id="252"/>
    </w:p>
    <w:p w14:paraId="5B3DE705" w14:textId="77777777" w:rsidR="00D06165" w:rsidRDefault="000F7C92" w:rsidP="002759B7">
      <w:pPr>
        <w:pStyle w:val="E3Bullets"/>
        <w:numPr>
          <w:ilvl w:val="0"/>
          <w:numId w:val="0"/>
        </w:numPr>
        <w:spacing w:before="240"/>
        <w:contextualSpacing w:val="0"/>
        <w:jc w:val="both"/>
      </w:pPr>
      <w:r>
        <w:t>A trans-Tasman Technical Working Group (TWG) was convened following consultation on the Consultation RIS, comprised of experienced industry members, regulators and independent experts from Australia and New Zealand</w:t>
      </w:r>
      <w:r w:rsidRPr="001D6F0C">
        <w:t xml:space="preserve"> </w:t>
      </w:r>
      <w:r>
        <w:t xml:space="preserve">.The group has considered the changes that are needed to the proposed standards to implement the proposals in this RIS.  The TWG has identified the steps required to adapt test standards and EU regulations for the Australasian market. </w:t>
      </w:r>
    </w:p>
    <w:p w14:paraId="70D48088" w14:textId="77777777" w:rsidR="00D06165" w:rsidRDefault="000F7C92" w:rsidP="002759B7">
      <w:pPr>
        <w:pStyle w:val="E3Bullets"/>
        <w:numPr>
          <w:ilvl w:val="0"/>
          <w:numId w:val="0"/>
        </w:numPr>
        <w:spacing w:before="240"/>
        <w:contextualSpacing w:val="0"/>
        <w:jc w:val="both"/>
      </w:pPr>
      <w:r>
        <w:t xml:space="preserve">The group has also considered other technical issues raised by the consultation process, including product definitions and the alternative registration pathways of Deemed to Comply and families of cabinet. </w:t>
      </w:r>
    </w:p>
    <w:p w14:paraId="2353D9D1" w14:textId="038D86C7" w:rsidR="000F7C92" w:rsidRDefault="000F7C92" w:rsidP="002759B7">
      <w:pPr>
        <w:pStyle w:val="E3Bullets"/>
        <w:numPr>
          <w:ilvl w:val="0"/>
          <w:numId w:val="0"/>
        </w:numPr>
        <w:spacing w:before="240"/>
        <w:contextualSpacing w:val="0"/>
        <w:jc w:val="both"/>
      </w:pPr>
      <w:r>
        <w:t xml:space="preserve">The TWG has made a number of recommendations as to the steps required to adopt or align with the European Standards and EU MEPS levels. See </w:t>
      </w:r>
      <w:r w:rsidR="00803448">
        <w:rPr>
          <w:b/>
        </w:rPr>
        <w:t>Attachment F</w:t>
      </w:r>
      <w:r>
        <w:rPr>
          <w:b/>
        </w:rPr>
        <w:t xml:space="preserve"> </w:t>
      </w:r>
      <w:r>
        <w:t>for more information about the TWG and a summary of their recommendations.</w:t>
      </w:r>
    </w:p>
    <w:p w14:paraId="62D7FCDE" w14:textId="6014579A" w:rsidR="000F7C92" w:rsidRDefault="000F7C92" w:rsidP="002759B7">
      <w:pPr>
        <w:pStyle w:val="E3Bullets"/>
        <w:numPr>
          <w:ilvl w:val="0"/>
          <w:numId w:val="0"/>
        </w:numPr>
        <w:spacing w:before="240"/>
        <w:contextualSpacing w:val="0"/>
        <w:jc w:val="both"/>
      </w:pPr>
      <w:r>
        <w:t xml:space="preserve">Feedback was sought from industry in relation to the summary of recommendations made by the technical working group. Two submissions were received from one large and one small supplier. The first of these was broadly in agreement with the proposals with points of clarification raised around the </w:t>
      </w:r>
      <w:r w:rsidR="00FC20B2">
        <w:t xml:space="preserve">‘families’ </w:t>
      </w:r>
      <w:r>
        <w:t xml:space="preserve">definition, and the deemed to comply methodology. EECA and E3 will clarify these technical matters as part of the implementation process.   </w:t>
      </w:r>
    </w:p>
    <w:p w14:paraId="75741C69" w14:textId="4B087A9E" w:rsidR="00D06165" w:rsidRDefault="00D06165" w:rsidP="006C0C1F">
      <w:pPr>
        <w:tabs>
          <w:tab w:val="left" w:pos="1680"/>
        </w:tabs>
      </w:pPr>
    </w:p>
    <w:p w14:paraId="0272E80D" w14:textId="76542ED8" w:rsidR="00CC1A0A" w:rsidRDefault="00CC1A0A" w:rsidP="004C3E41">
      <w:pPr>
        <w:pStyle w:val="E3ChapterTitle"/>
        <w:numPr>
          <w:ilvl w:val="0"/>
          <w:numId w:val="69"/>
        </w:numPr>
      </w:pPr>
      <w:bookmarkStart w:id="253" w:name="_Toc500151822"/>
      <w:r w:rsidRPr="00CC1A0A">
        <w:rPr>
          <w:noProof/>
          <w:lang w:eastAsia="en-AU"/>
        </w:rPr>
        <w:lastRenderedPageBreak/>
        <w:drawing>
          <wp:anchor distT="0" distB="0" distL="114300" distR="114300" simplePos="0" relativeHeight="251658248" behindDoc="1" locked="1" layoutInCell="1" allowOverlap="1" wp14:anchorId="195D5ECE" wp14:editId="06C2ACD3">
            <wp:simplePos x="0" y="0"/>
            <wp:positionH relativeFrom="margin">
              <wp:posOffset>-285750</wp:posOffset>
            </wp:positionH>
            <wp:positionV relativeFrom="margin">
              <wp:posOffset>-610235</wp:posOffset>
            </wp:positionV>
            <wp:extent cx="6124575" cy="1800225"/>
            <wp:effectExtent l="0" t="0" r="9525" b="9525"/>
            <wp:wrapNone/>
            <wp:docPr id="27"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25"/>
                    <a:stretch>
                      <a:fillRect/>
                    </a:stretch>
                  </pic:blipFill>
                  <pic:spPr>
                    <a:xfrm>
                      <a:off x="0" y="0"/>
                      <a:ext cx="6124575" cy="1800225"/>
                    </a:xfrm>
                    <a:prstGeom prst="rect">
                      <a:avLst/>
                    </a:prstGeom>
                  </pic:spPr>
                </pic:pic>
              </a:graphicData>
            </a:graphic>
          </wp:anchor>
        </w:drawing>
      </w:r>
      <w:r w:rsidRPr="00CC1A0A">
        <w:t>Conclu</w:t>
      </w:r>
      <w:r>
        <w:t>sion</w:t>
      </w:r>
      <w:bookmarkEnd w:id="253"/>
    </w:p>
    <w:p w14:paraId="36618D6A" w14:textId="4FD5CF8B" w:rsidR="00CC1A0A" w:rsidRPr="006D0D3C" w:rsidRDefault="00CC1A0A" w:rsidP="00CC1A0A">
      <w:pPr>
        <w:pStyle w:val="E3Heading2"/>
      </w:pPr>
      <w:bookmarkStart w:id="254" w:name="_Toc500151823"/>
      <w:r w:rsidRPr="006D0D3C">
        <w:t>Recommended option</w:t>
      </w:r>
      <w:bookmarkEnd w:id="254"/>
    </w:p>
    <w:p w14:paraId="577ADD85" w14:textId="77777777" w:rsidR="00CC1A0A" w:rsidRPr="003F6F57" w:rsidRDefault="00CC1A0A" w:rsidP="002759B7">
      <w:pPr>
        <w:pStyle w:val="E3BodyText"/>
        <w:jc w:val="both"/>
      </w:pPr>
      <w:r>
        <w:t xml:space="preserve">Option 4 is the recommended policy option. </w:t>
      </w:r>
      <w:r w:rsidRPr="003F6F57">
        <w:t xml:space="preserve">This option involves </w:t>
      </w:r>
      <w:r>
        <w:t xml:space="preserve">aligning with the European approach by </w:t>
      </w:r>
      <w:r w:rsidRPr="003F6F57">
        <w:t xml:space="preserve">adopting the </w:t>
      </w:r>
      <w:r>
        <w:t xml:space="preserve">European Standard </w:t>
      </w:r>
      <w:r w:rsidRPr="003F6F57">
        <w:t xml:space="preserve">ISO 23953 </w:t>
      </w:r>
      <w:r>
        <w:t xml:space="preserve">(with minor local variations) </w:t>
      </w:r>
      <w:r w:rsidRPr="003F6F57">
        <w:t xml:space="preserve">for refrigerated display cabinets </w:t>
      </w:r>
      <w:r>
        <w:t xml:space="preserve">and beverage cabinets </w:t>
      </w:r>
      <w:r w:rsidRPr="003F6F57">
        <w:t xml:space="preserve">and EN 16825 </w:t>
      </w:r>
      <w:r>
        <w:t xml:space="preserve">test method </w:t>
      </w:r>
      <w:r w:rsidRPr="003F6F57">
        <w:t>for refrigerated s</w:t>
      </w:r>
      <w:r>
        <w:t>torage cabinets, from 1 December 2019. It also proposes the adoption of</w:t>
      </w:r>
      <w:r w:rsidRPr="003F6F57">
        <w:t xml:space="preserve"> related standards for gelato cabinets and small ice-cream cabinets. It involves adopting the European Commission’s MEPS levels for </w:t>
      </w:r>
      <w:r>
        <w:t xml:space="preserve">all of </w:t>
      </w:r>
      <w:r w:rsidRPr="003F6F57">
        <w:t xml:space="preserve">these cabinet types (developed by groups) and the introduction of </w:t>
      </w:r>
      <w:r>
        <w:t xml:space="preserve">voluntary </w:t>
      </w:r>
      <w:r w:rsidRPr="003F6F57">
        <w:t>star rated labelling</w:t>
      </w:r>
      <w:r>
        <w:t xml:space="preserve">. It is noted that some of these test methods are still in draft from. Any minor and non-consequential variations to these methods that are published during the period before the Determination is finalised will be incorporated, to enable the aim of aligning with European MEPS to be achieved.  </w:t>
      </w:r>
    </w:p>
    <w:p w14:paraId="1F911222" w14:textId="77777777" w:rsidR="00CC1A0A" w:rsidRPr="006D0D3C" w:rsidRDefault="00CC1A0A" w:rsidP="002759B7">
      <w:pPr>
        <w:pStyle w:val="E3Heading1"/>
        <w:jc w:val="both"/>
        <w:rPr>
          <w:rFonts w:ascii="Georgia" w:hAnsi="Georgia"/>
          <w:sz w:val="24"/>
          <w:szCs w:val="24"/>
        </w:rPr>
      </w:pPr>
      <w:bookmarkStart w:id="255" w:name="_Toc500151824"/>
      <w:r w:rsidRPr="006D0D3C">
        <w:rPr>
          <w:rFonts w:ascii="Georgia" w:hAnsi="Georgia"/>
          <w:sz w:val="24"/>
          <w:szCs w:val="24"/>
        </w:rPr>
        <w:t>Option 4</w:t>
      </w:r>
      <w:bookmarkEnd w:id="255"/>
    </w:p>
    <w:p w14:paraId="1B715B86" w14:textId="77777777" w:rsidR="00CC1A0A" w:rsidRDefault="00CC1A0A" w:rsidP="002759B7">
      <w:pPr>
        <w:pStyle w:val="E3BodyText"/>
        <w:jc w:val="both"/>
      </w:pPr>
      <w:r w:rsidRPr="003F6F57">
        <w:t>This option offers the greatest net benefit to both the Australian and New Zealand communities</w:t>
      </w:r>
      <w:r>
        <w:t xml:space="preserve">: </w:t>
      </w:r>
      <w:r w:rsidRPr="003F6F57">
        <w:t xml:space="preserve">in Australia </w:t>
      </w:r>
      <w:r w:rsidRPr="009E4772">
        <w:t xml:space="preserve">the estimated Net Present Value (total benefits less the total costs) of option 4 (EC MEPS) would </w:t>
      </w:r>
      <w:r w:rsidRPr="00173408">
        <w:t>be $</w:t>
      </w:r>
      <w:r w:rsidRPr="00CD25DF">
        <w:t>1</w:t>
      </w:r>
      <w:r>
        <w:t>$1,340</w:t>
      </w:r>
      <w:r w:rsidRPr="00173408">
        <w:t>million</w:t>
      </w:r>
      <w:r w:rsidRPr="009E4772">
        <w:t xml:space="preserve">. In New Zealand, the estimated Net Present Value </w:t>
      </w:r>
      <w:r>
        <w:t xml:space="preserve">from </w:t>
      </w:r>
      <w:r w:rsidRPr="009E4772">
        <w:t>option 4 would be $</w:t>
      </w:r>
      <w:r>
        <w:t xml:space="preserve">87 </w:t>
      </w:r>
      <w:r w:rsidRPr="009E4772">
        <w:t>million</w:t>
      </w:r>
      <w:r>
        <w:t>.</w:t>
      </w:r>
    </w:p>
    <w:p w14:paraId="66D0EDDB" w14:textId="77777777" w:rsidR="00CC1A0A" w:rsidRPr="003F6F57" w:rsidRDefault="00CC1A0A" w:rsidP="002759B7">
      <w:pPr>
        <w:pStyle w:val="E3BodyText"/>
        <w:jc w:val="both"/>
      </w:pPr>
      <w:r w:rsidRPr="003F6F57">
        <w:t xml:space="preserve">In addition to achieving significant </w:t>
      </w:r>
      <w:r>
        <w:t xml:space="preserve">long term </w:t>
      </w:r>
      <w:r w:rsidRPr="003F6F57">
        <w:t xml:space="preserve">gains in energy savings and greenhouse gas reductions for both governments, option 4 is the best option to address the </w:t>
      </w:r>
      <w:r>
        <w:t xml:space="preserve">regulatory </w:t>
      </w:r>
      <w:r w:rsidRPr="003F6F57">
        <w:t>problems identified in this RIS</w:t>
      </w:r>
      <w:r>
        <w:t xml:space="preserve">: the </w:t>
      </w:r>
      <w:r w:rsidRPr="003F6F57">
        <w:t>complexity and inad</w:t>
      </w:r>
      <w:r>
        <w:t>equate coverage of the current s</w:t>
      </w:r>
      <w:r w:rsidRPr="003F6F57">
        <w:t xml:space="preserve">tandard, outdated MEPS and high efficiency specifications </w:t>
      </w:r>
      <w:r>
        <w:t xml:space="preserve">which </w:t>
      </w:r>
      <w:r w:rsidRPr="003F6F57">
        <w:t>require revision</w:t>
      </w:r>
      <w:r>
        <w:t xml:space="preserve"> to remain relevant</w:t>
      </w:r>
      <w:r w:rsidRPr="003F6F57">
        <w:t xml:space="preserve">, information and other market barriers that are preventing </w:t>
      </w:r>
      <w:r>
        <w:t xml:space="preserve">buyers from purchasing </w:t>
      </w:r>
      <w:r w:rsidRPr="003F6F57">
        <w:t>the most energy efficient cabinets.</w:t>
      </w:r>
      <w:r>
        <w:t xml:space="preserve"> </w:t>
      </w:r>
    </w:p>
    <w:p w14:paraId="7841E404" w14:textId="77777777" w:rsidR="00CC1A0A" w:rsidRDefault="00CC1A0A" w:rsidP="002759B7">
      <w:pPr>
        <w:pStyle w:val="E3BodyText"/>
        <w:jc w:val="both"/>
      </w:pPr>
      <w:r w:rsidRPr="003F6F57">
        <w:t>The adoption of EC MEPS will achieve consistency in approach, allowing for a simpler compliance regime</w:t>
      </w:r>
      <w:r>
        <w:t>.</w:t>
      </w:r>
      <w:r w:rsidRPr="003F6F57">
        <w:t xml:space="preserve"> </w:t>
      </w:r>
      <w:r>
        <w:t xml:space="preserve">It </w:t>
      </w:r>
      <w:r w:rsidRPr="003F6F57">
        <w:t xml:space="preserve">will </w:t>
      </w:r>
      <w:r>
        <w:t xml:space="preserve">also </w:t>
      </w:r>
      <w:r w:rsidRPr="003F6F57">
        <w:t xml:space="preserve">avoid current inequalities in approach to different products. </w:t>
      </w:r>
      <w:r>
        <w:t xml:space="preserve">The move to adopt </w:t>
      </w:r>
      <w:r w:rsidRPr="003F6F57">
        <w:t xml:space="preserve">EC MEPS has </w:t>
      </w:r>
      <w:r>
        <w:t xml:space="preserve">industry </w:t>
      </w:r>
      <w:r w:rsidRPr="003F6F57">
        <w:t>support due to inconsistencies with the current requirements</w:t>
      </w:r>
      <w:r>
        <w:t>.</w:t>
      </w:r>
      <w:r w:rsidRPr="003F6F57">
        <w:t xml:space="preserve"> </w:t>
      </w:r>
    </w:p>
    <w:p w14:paraId="12D55827" w14:textId="77777777" w:rsidR="00CC1A0A" w:rsidRPr="003F6F57" w:rsidRDefault="00CC1A0A" w:rsidP="002759B7">
      <w:pPr>
        <w:pStyle w:val="E3BodyText"/>
        <w:jc w:val="both"/>
      </w:pPr>
      <w:r w:rsidRPr="003F6F57">
        <w:t xml:space="preserve">The addition of </w:t>
      </w:r>
      <w:r>
        <w:t xml:space="preserve">online </w:t>
      </w:r>
      <w:r w:rsidRPr="003F6F57">
        <w:t xml:space="preserve">labelling </w:t>
      </w:r>
      <w:r>
        <w:t xml:space="preserve">of refrigerated commercial cabinets </w:t>
      </w:r>
      <w:r w:rsidRPr="003F6F57">
        <w:t>will enhance the ability of purchasers to compare the relative energy efficien</w:t>
      </w:r>
      <w:r>
        <w:t>cy</w:t>
      </w:r>
      <w:r w:rsidRPr="003F6F57">
        <w:t xml:space="preserve"> of different cabinet models.</w:t>
      </w:r>
      <w:r>
        <w:t xml:space="preserve">  Labelling contributes to the overall cost-benefit analysis, with energy use and greenhouse gas production increasing by more than a fifth without labelling. </w:t>
      </w:r>
    </w:p>
    <w:p w14:paraId="7BC3D863" w14:textId="769E5DB8" w:rsidR="00C27473" w:rsidRDefault="00CC1A0A" w:rsidP="002C1469">
      <w:pPr>
        <w:pStyle w:val="E3BodyText"/>
        <w:jc w:val="both"/>
      </w:pPr>
      <w:r>
        <w:t>The current regulatory position in Australia and New Zealand is that mandatory labels must be affixed on or nearby the product. Physical labelling does not have industry support. Option 4 has therefore been modified to incorporate voluntary online labelling.</w:t>
      </w:r>
    </w:p>
    <w:p w14:paraId="1106B3E7" w14:textId="0974B875" w:rsidR="00CC1A0A" w:rsidRDefault="00A46E34" w:rsidP="004C3E41">
      <w:pPr>
        <w:pStyle w:val="E3ChapterTitle"/>
        <w:numPr>
          <w:ilvl w:val="0"/>
          <w:numId w:val="69"/>
        </w:numPr>
      </w:pPr>
      <w:bookmarkStart w:id="256" w:name="_Toc500151825"/>
      <w:r>
        <w:rPr>
          <w:noProof/>
          <w:lang w:eastAsia="en-AU"/>
        </w:rPr>
        <w:lastRenderedPageBreak/>
        <w:drawing>
          <wp:anchor distT="0" distB="0" distL="114300" distR="114300" simplePos="0" relativeHeight="251658255" behindDoc="1" locked="1" layoutInCell="1" allowOverlap="1" wp14:anchorId="386AE837" wp14:editId="68A58CE1">
            <wp:simplePos x="0" y="0"/>
            <wp:positionH relativeFrom="margin">
              <wp:align>right</wp:align>
            </wp:positionH>
            <wp:positionV relativeFrom="margin">
              <wp:posOffset>-473075</wp:posOffset>
            </wp:positionV>
            <wp:extent cx="6124575" cy="1800225"/>
            <wp:effectExtent l="0" t="0" r="9525" b="9525"/>
            <wp:wrapNone/>
            <wp:docPr id="6"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25"/>
                    <a:stretch>
                      <a:fillRect/>
                    </a:stretch>
                  </pic:blipFill>
                  <pic:spPr>
                    <a:xfrm>
                      <a:off x="0" y="0"/>
                      <a:ext cx="6124575" cy="1800225"/>
                    </a:xfrm>
                    <a:prstGeom prst="rect">
                      <a:avLst/>
                    </a:prstGeom>
                  </pic:spPr>
                </pic:pic>
              </a:graphicData>
            </a:graphic>
          </wp:anchor>
        </w:drawing>
      </w:r>
      <w:r w:rsidR="00CC1A0A">
        <w:t>Implementation</w:t>
      </w:r>
      <w:bookmarkEnd w:id="256"/>
      <w:r w:rsidR="00CC1A0A">
        <w:t xml:space="preserve"> </w:t>
      </w:r>
    </w:p>
    <w:p w14:paraId="49306DBF" w14:textId="77777777" w:rsidR="00CC1A0A" w:rsidRDefault="00CC1A0A" w:rsidP="00CC1A0A"/>
    <w:p w14:paraId="61EF2781" w14:textId="77777777" w:rsidR="00CC1A0A" w:rsidRDefault="00CC1A0A" w:rsidP="00CC1A0A">
      <w:pPr>
        <w:spacing w:before="240"/>
        <w:jc w:val="both"/>
        <w:rPr>
          <w:sz w:val="24"/>
        </w:rPr>
      </w:pPr>
      <w:r>
        <w:rPr>
          <w:sz w:val="24"/>
        </w:rPr>
        <w:t>Implementation of policy option 4, if approved, would require the new MEPS requirements for commercial refrigerators to be amended in regulations in Australia and New Zealand. It is anticipated the new regulations would take effect on 1 December 2019. Transitional arrangements would apply to products that are already registered.</w:t>
      </w:r>
    </w:p>
    <w:p w14:paraId="2ECB6804" w14:textId="77777777" w:rsidR="00CC1A0A" w:rsidRPr="006D0D3C" w:rsidRDefault="00CC1A0A" w:rsidP="002F542B">
      <w:pPr>
        <w:pStyle w:val="E3Heading2"/>
        <w:rPr>
          <w:rFonts w:cstheme="minorBidi"/>
        </w:rPr>
      </w:pPr>
      <w:bookmarkStart w:id="257" w:name="_Toc500151826"/>
      <w:r w:rsidRPr="006D0D3C">
        <w:t>Implementing regulatory changes</w:t>
      </w:r>
      <w:bookmarkEnd w:id="257"/>
    </w:p>
    <w:p w14:paraId="4C62275C" w14:textId="77777777" w:rsidR="00CC1A0A" w:rsidRDefault="00CC1A0A" w:rsidP="00CC1A0A">
      <w:pPr>
        <w:spacing w:before="240"/>
        <w:jc w:val="both"/>
        <w:rPr>
          <w:sz w:val="24"/>
        </w:rPr>
      </w:pPr>
      <w:r>
        <w:rPr>
          <w:sz w:val="24"/>
        </w:rPr>
        <w:t>The policy proposals in this RIS would be subject to analysis and ministerial scrutiny in both countries.</w:t>
      </w:r>
    </w:p>
    <w:p w14:paraId="6C8CE051" w14:textId="6EE70C8A" w:rsidR="00CC1A0A" w:rsidRDefault="00CC1A0A" w:rsidP="00CC1A0A">
      <w:pPr>
        <w:spacing w:before="240"/>
        <w:jc w:val="both"/>
        <w:rPr>
          <w:sz w:val="24"/>
        </w:rPr>
      </w:pPr>
      <w:r w:rsidRPr="00D6773C">
        <w:rPr>
          <w:sz w:val="24"/>
        </w:rPr>
        <w:t>The technical requirements that suppliers would need to comply with would be written into a Determination in Australia and this content would be referenced in New Zealand. The Determination would reference the various ISO and EN test methodologies, with variations as agreed by the technical working group. Details of the technical working group outp</w:t>
      </w:r>
      <w:r w:rsidR="00803448">
        <w:rPr>
          <w:sz w:val="24"/>
        </w:rPr>
        <w:t>uts can be found in Attachment F</w:t>
      </w:r>
      <w:r w:rsidRPr="00D6773C">
        <w:rPr>
          <w:sz w:val="24"/>
        </w:rPr>
        <w:t>. The MEPS levels, which are based on European levels, would be directly written into the Determination.</w:t>
      </w:r>
    </w:p>
    <w:p w14:paraId="738672D7" w14:textId="77777777" w:rsidR="00CC1A0A" w:rsidRPr="00BC6AD1" w:rsidRDefault="00CC1A0A" w:rsidP="002F542B">
      <w:pPr>
        <w:pStyle w:val="E3Heading4"/>
      </w:pPr>
      <w:bookmarkStart w:id="258" w:name="_Toc494897983"/>
      <w:bookmarkStart w:id="259" w:name="_Toc494955775"/>
      <w:bookmarkStart w:id="260" w:name="_Toc494959583"/>
      <w:bookmarkStart w:id="261" w:name="_Toc494972709"/>
      <w:bookmarkStart w:id="262" w:name="_Toc494973896"/>
      <w:bookmarkStart w:id="263" w:name="_Toc494974585"/>
      <w:r w:rsidRPr="00BC6AD1">
        <w:t>Australia</w:t>
      </w:r>
      <w:bookmarkEnd w:id="258"/>
      <w:bookmarkEnd w:id="259"/>
      <w:bookmarkEnd w:id="260"/>
      <w:bookmarkEnd w:id="261"/>
      <w:bookmarkEnd w:id="262"/>
      <w:bookmarkEnd w:id="263"/>
    </w:p>
    <w:p w14:paraId="07F0A635" w14:textId="77777777" w:rsidR="00CC1A0A" w:rsidRDefault="00CC1A0A" w:rsidP="00DD102F">
      <w:pPr>
        <w:pStyle w:val="E3SubSubBullets"/>
      </w:pPr>
      <w:r>
        <w:t xml:space="preserve">If Option 4 in this RIS is approved by the COAG Energy Council, a replacement for the current </w:t>
      </w:r>
      <w:r>
        <w:rPr>
          <w:i/>
        </w:rPr>
        <w:t>Greenhouse and Energy Minimum Standards (Refrigerated Display Cabinets) Determination 2012</w:t>
      </w:r>
      <w:r>
        <w:t xml:space="preserve"> would be prepared for approval by the Commonwealth Minister for the Environment and Energy.</w:t>
      </w:r>
    </w:p>
    <w:p w14:paraId="3624FBB9" w14:textId="77777777" w:rsidR="00CC1A0A" w:rsidRDefault="00CC1A0A" w:rsidP="00DD102F">
      <w:pPr>
        <w:pStyle w:val="E3SubSubBullets"/>
      </w:pPr>
      <w:r>
        <w:t>Once Ministerial approval is provided for the replacement Determination, the policy change would come into force no earlier than 1 December 2019.</w:t>
      </w:r>
      <w:r w:rsidDel="00CF6B33">
        <w:t xml:space="preserve"> </w:t>
      </w:r>
      <w:r>
        <w:t xml:space="preserve"> The current Determination would be revoked when the replacement Determination comes into force.</w:t>
      </w:r>
    </w:p>
    <w:p w14:paraId="43D9B216" w14:textId="77777777" w:rsidR="00CC1A0A" w:rsidRPr="00BC6AD1" w:rsidRDefault="00CC1A0A" w:rsidP="002F542B">
      <w:pPr>
        <w:pStyle w:val="E3Heading4"/>
      </w:pPr>
      <w:bookmarkStart w:id="264" w:name="_Toc494897984"/>
      <w:bookmarkStart w:id="265" w:name="_Toc494955776"/>
      <w:bookmarkStart w:id="266" w:name="_Toc494959584"/>
      <w:bookmarkStart w:id="267" w:name="_Toc494972710"/>
      <w:bookmarkStart w:id="268" w:name="_Toc494973897"/>
      <w:bookmarkStart w:id="269" w:name="_Toc494974586"/>
      <w:r w:rsidRPr="00BC6AD1">
        <w:t>New Zealand</w:t>
      </w:r>
      <w:bookmarkEnd w:id="264"/>
      <w:bookmarkEnd w:id="265"/>
      <w:bookmarkEnd w:id="266"/>
      <w:bookmarkEnd w:id="267"/>
      <w:bookmarkEnd w:id="268"/>
      <w:bookmarkEnd w:id="269"/>
    </w:p>
    <w:p w14:paraId="1191D395" w14:textId="77777777" w:rsidR="00CC1A0A" w:rsidRDefault="00CC1A0A" w:rsidP="00DD102F">
      <w:pPr>
        <w:pStyle w:val="E3SubSubBullets"/>
      </w:pPr>
      <w:r>
        <w:t xml:space="preserve">Any policy proposals would need to be approved by Cabinet before they can be adopted under the </w:t>
      </w:r>
      <w:r>
        <w:rPr>
          <w:i/>
        </w:rPr>
        <w:t>Energy Efficiency (Energy Using Products) Regulations 2002</w:t>
      </w:r>
      <w:r>
        <w:t>.</w:t>
      </w:r>
    </w:p>
    <w:p w14:paraId="226EA996" w14:textId="77777777" w:rsidR="00CC1A0A" w:rsidRDefault="00CC1A0A" w:rsidP="00DD102F">
      <w:pPr>
        <w:pStyle w:val="E3SubSubBullets"/>
      </w:pPr>
      <w:r>
        <w:t>In New Zealand, approval of Cabinet is required for any proposed regulatory option. Following Cabinet approval, there would be at least 6 months’ notice period, before the regulatory amendments would come into force.</w:t>
      </w:r>
    </w:p>
    <w:p w14:paraId="0A6CAAA6" w14:textId="77777777" w:rsidR="00CC1A0A" w:rsidRDefault="00CC1A0A" w:rsidP="00DD102F">
      <w:pPr>
        <w:pStyle w:val="E3SubSubBullets"/>
      </w:pPr>
      <w:r>
        <w:t>The final implementation date should coincide with the determination coming into force in Australia.</w:t>
      </w:r>
    </w:p>
    <w:p w14:paraId="05DB5CE7" w14:textId="77777777" w:rsidR="00CC1A0A" w:rsidRDefault="00CC1A0A" w:rsidP="00CC1A0A">
      <w:pPr>
        <w:jc w:val="both"/>
        <w:rPr>
          <w:sz w:val="24"/>
        </w:rPr>
      </w:pPr>
      <w:r>
        <w:rPr>
          <w:sz w:val="24"/>
        </w:rPr>
        <w:t xml:space="preserve">Industry would be kept informed in the lead up to the expected implementation dates. </w:t>
      </w:r>
    </w:p>
    <w:p w14:paraId="4B87BF0B" w14:textId="77777777" w:rsidR="00CC1A0A" w:rsidRPr="006D0D3C" w:rsidRDefault="00CC1A0A" w:rsidP="00CC1A0A">
      <w:pPr>
        <w:jc w:val="both"/>
        <w:rPr>
          <w:sz w:val="24"/>
        </w:rPr>
      </w:pPr>
    </w:p>
    <w:p w14:paraId="31B8DA85" w14:textId="77777777" w:rsidR="00CC1A0A" w:rsidRPr="006D0D3C" w:rsidRDefault="00CC1A0A" w:rsidP="00CC1A0A">
      <w:pPr>
        <w:spacing w:before="240"/>
        <w:jc w:val="both"/>
        <w:rPr>
          <w:rFonts w:cstheme="minorBidi"/>
          <w:b/>
          <w:sz w:val="24"/>
        </w:rPr>
      </w:pPr>
      <w:r w:rsidRPr="006D0D3C">
        <w:rPr>
          <w:b/>
          <w:sz w:val="24"/>
        </w:rPr>
        <w:t>Timeframes and transitional arrangements</w:t>
      </w:r>
    </w:p>
    <w:p w14:paraId="1BA3EBC6" w14:textId="77777777" w:rsidR="00CC1A0A" w:rsidRDefault="00CC1A0A" w:rsidP="00CC1A0A">
      <w:pPr>
        <w:spacing w:before="240"/>
        <w:jc w:val="both"/>
        <w:rPr>
          <w:rFonts w:cs="Helvetica"/>
          <w:sz w:val="24"/>
        </w:rPr>
      </w:pPr>
      <w:r>
        <w:rPr>
          <w:rFonts w:cs="Helvetica"/>
          <w:sz w:val="24"/>
        </w:rPr>
        <w:t>A similar approach would be taken to transitional arrangements in Australia and New Zealand, given the agreed implementation date of no earlier than 1 December 2019. This is considered to provide sufficient lead in time for compliance with the new requirements. All classes of cabinet would be required to comply by that date, with no exceptions. It is anticipated that at least six months prior to this date, suppliers would be able to voluntarily register compliant products to the new test standards.  Test reports using the new test methods would be required in order to register cabinets from the implementation date. Fees for registrations are under review with a view to making GEMS fully cost-recoverable, however it is likely to remain approximately $700 - $800 for this product class.</w:t>
      </w:r>
      <w:r w:rsidDel="009C523B">
        <w:rPr>
          <w:rFonts w:cs="Helvetica"/>
          <w:sz w:val="24"/>
        </w:rPr>
        <w:t xml:space="preserve"> </w:t>
      </w:r>
    </w:p>
    <w:p w14:paraId="7A98BB08" w14:textId="77777777" w:rsidR="00CC1A0A" w:rsidRDefault="00CC1A0A" w:rsidP="00CC1A0A">
      <w:pPr>
        <w:spacing w:before="240"/>
        <w:jc w:val="both"/>
        <w:rPr>
          <w:rFonts w:cs="Helvetica"/>
          <w:sz w:val="24"/>
        </w:rPr>
      </w:pPr>
      <w:r>
        <w:rPr>
          <w:rFonts w:cs="Helvetica"/>
          <w:sz w:val="24"/>
        </w:rPr>
        <w:t xml:space="preserve">Products that are registered under the existing test methodology, would be able to vary their registrations at a reduced cost ($250) in Australia, provided that the products are able to meet the new MEPS. Suppliers would be required to show evidence that the product is compliant, and upgraded registrations would be valid until the original expiry date of the registration (a maximum of five years). </w:t>
      </w:r>
    </w:p>
    <w:p w14:paraId="504C1346" w14:textId="77777777" w:rsidR="00CC1A0A" w:rsidRDefault="00CC1A0A" w:rsidP="00CC1A0A">
      <w:pPr>
        <w:spacing w:before="240"/>
        <w:jc w:val="both"/>
        <w:rPr>
          <w:rFonts w:cs="Helvetica"/>
          <w:sz w:val="24"/>
        </w:rPr>
      </w:pPr>
      <w:r>
        <w:rPr>
          <w:rFonts w:cs="Helvetica"/>
          <w:sz w:val="24"/>
        </w:rPr>
        <w:t xml:space="preserve">In New Zealand, suppliers would be able to update existing registrations until 1 December 2019, if they wish to demonstrate performance under the new rating system. After this point, a test report to the new test method would be required. No fee is charged for registrations in New Zealand. </w:t>
      </w:r>
    </w:p>
    <w:p w14:paraId="118C3787" w14:textId="77777777" w:rsidR="00CC1A0A" w:rsidRDefault="00CC1A0A" w:rsidP="00CC1A0A">
      <w:pPr>
        <w:spacing w:before="240"/>
        <w:jc w:val="both"/>
        <w:rPr>
          <w:rFonts w:cs="Helvetica"/>
          <w:sz w:val="24"/>
        </w:rPr>
      </w:pPr>
      <w:r>
        <w:rPr>
          <w:rFonts w:cs="Helvetica"/>
          <w:sz w:val="24"/>
        </w:rPr>
        <w:t xml:space="preserve">Upgraded registrations will be clearly identified on the energy rating database as having been tested under the old system. </w:t>
      </w:r>
    </w:p>
    <w:p w14:paraId="4B3AFA61" w14:textId="77777777" w:rsidR="00CC1A0A" w:rsidRDefault="00CC1A0A" w:rsidP="00CC1A0A">
      <w:pPr>
        <w:spacing w:before="240"/>
        <w:jc w:val="both"/>
        <w:rPr>
          <w:rFonts w:cs="Helvetica"/>
          <w:sz w:val="24"/>
        </w:rPr>
      </w:pPr>
      <w:r>
        <w:rPr>
          <w:rFonts w:cs="Helvetica"/>
          <w:sz w:val="24"/>
        </w:rPr>
        <w:t xml:space="preserve">Overall, it is expected that 1,485 display cabinet models currently registered for Australia and New Zealand, around 425 – 440 of these will not meet the new standard (approximately 25%), all others would be eligible for upgrading. All storage cabinets would require a new registration, and it has been estimated that a similar proportion of these products would meet the requirements. A total of 200 – 220 new registrations may be required for storage cabinets. </w:t>
      </w:r>
    </w:p>
    <w:p w14:paraId="30A427E4" w14:textId="77777777" w:rsidR="00CC1A0A" w:rsidRPr="0041262C" w:rsidRDefault="00CC1A0A" w:rsidP="00CC1A0A">
      <w:pPr>
        <w:spacing w:before="240"/>
        <w:jc w:val="both"/>
        <w:rPr>
          <w:rFonts w:cstheme="minorBidi"/>
          <w:b/>
          <w:sz w:val="24"/>
          <w:lang w:val="en-US"/>
        </w:rPr>
      </w:pPr>
      <w:r w:rsidRPr="0041262C">
        <w:rPr>
          <w:b/>
          <w:sz w:val="24"/>
        </w:rPr>
        <w:t>Implementation risks</w:t>
      </w:r>
    </w:p>
    <w:p w14:paraId="249B28B3" w14:textId="77777777" w:rsidR="00CC1A0A" w:rsidRDefault="00CC1A0A" w:rsidP="00CC1A0A">
      <w:pPr>
        <w:spacing w:before="240" w:after="240"/>
        <w:jc w:val="both"/>
        <w:rPr>
          <w:sz w:val="24"/>
        </w:rPr>
      </w:pPr>
      <w:r>
        <w:rPr>
          <w:sz w:val="24"/>
        </w:rPr>
        <w:t>Implementation risks which may arise from the proposed regulatory changes are:</w:t>
      </w:r>
    </w:p>
    <w:p w14:paraId="6F7530D1" w14:textId="77777777" w:rsidR="00CC1A0A" w:rsidRPr="00CA6FCF" w:rsidRDefault="00CC1A0A" w:rsidP="00CA6FCF">
      <w:pPr>
        <w:pStyle w:val="E3Bullets"/>
      </w:pPr>
      <w:r w:rsidRPr="00CA6FCF">
        <w:t>Insufficient time for industry to adjust to the new testing, labelling and MEPS requirements. This could affect product availability, market competition and compliance with the regulations.</w:t>
      </w:r>
    </w:p>
    <w:p w14:paraId="7DDEC14D" w14:textId="77777777" w:rsidR="00CC1A0A" w:rsidRDefault="00CC1A0A" w:rsidP="00CA6FCF">
      <w:pPr>
        <w:pStyle w:val="E3Bullets"/>
      </w:pPr>
      <w:r>
        <w:t xml:space="preserve">A lack of familiarity with new star rating system may create potential for non-compliance. It is anticipated that this will be used mainly in sales literature. While this is voluntary, use of energy rating information still needs to be correct to maintain integrity in the overall system. </w:t>
      </w:r>
    </w:p>
    <w:p w14:paraId="65AA9F15" w14:textId="77777777" w:rsidR="00CC1A0A" w:rsidRDefault="00CC1A0A" w:rsidP="00CA6FCF">
      <w:pPr>
        <w:pStyle w:val="E3Bullets"/>
      </w:pPr>
      <w:r>
        <w:lastRenderedPageBreak/>
        <w:t>The proposal is to align with the EU approach. There is some uncertainty caused by proposed alignment with EN Standards that are yet to be finalised and published: commercial beverage coolers (draft EN 16902) and small ice-cream freezers (draft EN 16901) and refrigerated display scooping cabinets for gelato, soft scoop (draft EN 16838).</w:t>
      </w:r>
    </w:p>
    <w:p w14:paraId="5DA5C90F" w14:textId="77777777" w:rsidR="00CC1A0A" w:rsidRDefault="00CC1A0A" w:rsidP="00CA6FCF">
      <w:pPr>
        <w:pStyle w:val="E3Bullets"/>
      </w:pPr>
      <w:r>
        <w:t>Delays in implementing the MEPS levels of the published standards in Europe.</w:t>
      </w:r>
    </w:p>
    <w:p w14:paraId="3C1F3BE3" w14:textId="77777777" w:rsidR="00CC1A0A" w:rsidRDefault="00CC1A0A" w:rsidP="00CA6FCF">
      <w:pPr>
        <w:pStyle w:val="E3Bullets"/>
      </w:pPr>
      <w:r>
        <w:t>Increased compliance costs from meeting new regulatory requirements (in particular, to local manufacturers).</w:t>
      </w:r>
    </w:p>
    <w:p w14:paraId="15493B79" w14:textId="77777777" w:rsidR="00CC1A0A" w:rsidRDefault="00CC1A0A" w:rsidP="00CC1A0A">
      <w:pPr>
        <w:spacing w:before="240" w:after="240"/>
        <w:jc w:val="both"/>
        <w:rPr>
          <w:sz w:val="24"/>
        </w:rPr>
      </w:pPr>
      <w:r>
        <w:rPr>
          <w:sz w:val="24"/>
        </w:rPr>
        <w:t>These risks would be reduced by:</w:t>
      </w:r>
    </w:p>
    <w:p w14:paraId="357B59CA" w14:textId="77777777" w:rsidR="00CC1A0A" w:rsidRDefault="00CC1A0A" w:rsidP="00CA6FCF">
      <w:pPr>
        <w:pStyle w:val="E3Bullets"/>
      </w:pPr>
      <w:r>
        <w:t>Keeping industry updated and informed of the proposed regulatory changes and any associated changes to Standards, compliance or labelling requirements.</w:t>
      </w:r>
    </w:p>
    <w:p w14:paraId="58306323" w14:textId="77777777" w:rsidR="00CC1A0A" w:rsidRDefault="00CC1A0A" w:rsidP="00CA6FCF">
      <w:pPr>
        <w:pStyle w:val="E3Bullets"/>
      </w:pPr>
      <w:r>
        <w:t>Setting a timeframe that allows industry to adapt to any changes.</w:t>
      </w:r>
    </w:p>
    <w:p w14:paraId="53581DDD" w14:textId="77777777" w:rsidR="00CC1A0A" w:rsidRDefault="00CC1A0A" w:rsidP="00CA6FCF">
      <w:pPr>
        <w:pStyle w:val="E3Bullets"/>
      </w:pPr>
      <w:r>
        <w:t xml:space="preserve">Extending the timeframe, if there are any issues or delays at any point. The implementation date will not be prior to 1 December 2019, but may be later than this if issues arise. </w:t>
      </w:r>
    </w:p>
    <w:p w14:paraId="767E938E" w14:textId="77777777" w:rsidR="00CC1A0A" w:rsidRDefault="00CC1A0A" w:rsidP="00CA6FCF">
      <w:pPr>
        <w:pStyle w:val="E3Bullets"/>
      </w:pPr>
      <w:r>
        <w:t xml:space="preserve">Adopting small technical differences that arise between any published EU test methods, and the published drafts up where practical. Any changes would be communicated to industry. </w:t>
      </w:r>
    </w:p>
    <w:p w14:paraId="70EF9A7B" w14:textId="77777777" w:rsidR="00CC1A0A" w:rsidRDefault="00CC1A0A" w:rsidP="00CA6FCF">
      <w:pPr>
        <w:pStyle w:val="E3Bullets"/>
      </w:pPr>
      <w:r>
        <w:t>G</w:t>
      </w:r>
      <w:r w:rsidRPr="00D6773C">
        <w:t xml:space="preserve">uidelines for use of </w:t>
      </w:r>
      <w:r>
        <w:t xml:space="preserve">energy </w:t>
      </w:r>
      <w:r w:rsidRPr="00D6773C">
        <w:t>rating information will be developed during the implementation phase to insure any use of labels or rating information, such as the energy rating icon is correctly applied.</w:t>
      </w:r>
    </w:p>
    <w:p w14:paraId="3306501A" w14:textId="77777777" w:rsidR="00CC1A0A" w:rsidRDefault="00CC1A0A" w:rsidP="00CC1A0A">
      <w:pPr>
        <w:spacing w:after="240"/>
        <w:jc w:val="both"/>
        <w:rPr>
          <w:sz w:val="24"/>
        </w:rPr>
      </w:pPr>
      <w:r>
        <w:rPr>
          <w:sz w:val="24"/>
        </w:rPr>
        <w:t>Given the E3 program’s experience with implementing or revising energy efficiency requirements, the risks associated with implementation are low. The membership of the TWG represented circa 70% of industry by volume and consensus was reached on the proposed implementation timeline.</w:t>
      </w:r>
    </w:p>
    <w:p w14:paraId="143BD32F" w14:textId="77777777" w:rsidR="00CC1A0A" w:rsidRDefault="00CC1A0A" w:rsidP="00CC1A0A">
      <w:pPr>
        <w:spacing w:after="240"/>
        <w:jc w:val="both"/>
        <w:rPr>
          <w:sz w:val="24"/>
        </w:rPr>
      </w:pPr>
      <w:r>
        <w:rPr>
          <w:sz w:val="24"/>
        </w:rPr>
        <w:t>The main implementation risk is that there may be delays with the implementation of the new MEPS levels in Europe, but this has been mitigated by introducing the EU 2015 (announced) MEPS levels in 2019. The proposed timeframe provides sufficient time for trans-Tasman industry to improve product supply, prior to future alignment with EU MEPS, when they become available.</w:t>
      </w:r>
    </w:p>
    <w:p w14:paraId="56216E77" w14:textId="77777777" w:rsidR="00CC1A0A" w:rsidRDefault="00CC1A0A" w:rsidP="00CC1A0A">
      <w:pPr>
        <w:spacing w:after="240"/>
        <w:jc w:val="both"/>
        <w:rPr>
          <w:sz w:val="24"/>
        </w:rPr>
      </w:pPr>
      <w:r>
        <w:rPr>
          <w:sz w:val="24"/>
        </w:rPr>
        <w:t>Our lowest scenario modelled (local MEPS level to affect the least efficient 10%, adding labelling and storage cabinet regulation) shows that improved energy efficiency regulation is cost-effective, even if low level, local MEPS levels are developed.</w:t>
      </w:r>
    </w:p>
    <w:p w14:paraId="5B97B481" w14:textId="77777777" w:rsidR="00CC1A0A" w:rsidRDefault="00CC1A0A" w:rsidP="00CC1A0A">
      <w:pPr>
        <w:contextualSpacing/>
        <w:jc w:val="both"/>
        <w:rPr>
          <w:sz w:val="24"/>
        </w:rPr>
      </w:pPr>
      <w:r>
        <w:rPr>
          <w:sz w:val="24"/>
        </w:rPr>
        <w:t>The transitional arrangements proposed have been developed in consultation with the industry. E3 would also assist by consulting with industry through the process to ensure that parties understand the new regulations and what is expected of them.</w:t>
      </w:r>
    </w:p>
    <w:p w14:paraId="65F49A91" w14:textId="77777777" w:rsidR="00CC1A0A" w:rsidRDefault="00CC1A0A" w:rsidP="00CC1A0A">
      <w:pPr>
        <w:spacing w:before="240"/>
        <w:jc w:val="both"/>
        <w:rPr>
          <w:sz w:val="24"/>
        </w:rPr>
      </w:pPr>
      <w:r>
        <w:rPr>
          <w:sz w:val="24"/>
        </w:rPr>
        <w:t xml:space="preserve">The timeframe may need to be extended, if there are issues or delays at any point.  If there are any delays in Europe with implementing MEPS levels and publishing standards, the </w:t>
      </w:r>
      <w:r>
        <w:rPr>
          <w:sz w:val="24"/>
        </w:rPr>
        <w:lastRenderedPageBreak/>
        <w:t>estimates used for this RIS could be updated and re-analysed. Different options are available to the governments to accommodate European delays – such as delaying implementation or setting localised MEPS, as an interim measure, until alignment is possible (if favoured). Our lowest scenario modelled (local MEPS level to affect the least efficient 10%, adding labelling and storage cabinet regulation) shows that improved energy efficiency regulation is cost-effective, even if local MEPS levels are developed.</w:t>
      </w:r>
    </w:p>
    <w:p w14:paraId="73DAA77B" w14:textId="77777777" w:rsidR="00CC1A0A" w:rsidRPr="0041262C" w:rsidRDefault="00CC1A0A" w:rsidP="00CC1A0A">
      <w:pPr>
        <w:spacing w:before="240" w:after="240"/>
        <w:rPr>
          <w:rFonts w:cstheme="minorBidi"/>
          <w:b/>
          <w:sz w:val="24"/>
        </w:rPr>
      </w:pPr>
      <w:r w:rsidRPr="0041262C">
        <w:rPr>
          <w:b/>
          <w:sz w:val="24"/>
        </w:rPr>
        <w:t>Review</w:t>
      </w:r>
    </w:p>
    <w:p w14:paraId="26580EB9" w14:textId="77777777" w:rsidR="00CC1A0A" w:rsidRDefault="00CC1A0A" w:rsidP="00605BFF">
      <w:pPr>
        <w:pStyle w:val="E3Bullets"/>
        <w:numPr>
          <w:ilvl w:val="0"/>
          <w:numId w:val="0"/>
        </w:numPr>
        <w:ind w:left="227" w:hanging="227"/>
      </w:pPr>
      <w:r>
        <w:t>In Australia, once the changes are in force:</w:t>
      </w:r>
    </w:p>
    <w:p w14:paraId="1B399E8F" w14:textId="77777777" w:rsidR="00CC1A0A" w:rsidRDefault="00CC1A0A" w:rsidP="002759B7">
      <w:pPr>
        <w:pStyle w:val="E3Bullets"/>
        <w:jc w:val="both"/>
      </w:pPr>
      <w:r>
        <w:t xml:space="preserve">Registered cabinets imported or manufactured prior to the law change that </w:t>
      </w:r>
      <w:r>
        <w:rPr>
          <w:u w:val="single"/>
        </w:rPr>
        <w:t>do</w:t>
      </w:r>
      <w:r>
        <w:t xml:space="preserve"> </w:t>
      </w:r>
      <w:r>
        <w:rPr>
          <w:u w:val="single"/>
        </w:rPr>
        <w:t>not</w:t>
      </w:r>
      <w:r>
        <w:t xml:space="preserve"> meet the new requirements may still be supplied until stock is depleted. Their registrations would be grandfathered (status changed to “Superseded” in the registration system). Import or manufacture of these cabinets from the date of the law change would not be permitted.</w:t>
      </w:r>
    </w:p>
    <w:p w14:paraId="0C849524" w14:textId="77777777" w:rsidR="00CC1A0A" w:rsidRDefault="00CC1A0A" w:rsidP="002759B7">
      <w:pPr>
        <w:pStyle w:val="E3Bullets"/>
        <w:jc w:val="both"/>
      </w:pPr>
      <w:r>
        <w:t xml:space="preserve">Registered cabinets imported or manufactured prior to the law change that </w:t>
      </w:r>
      <w:r>
        <w:rPr>
          <w:u w:val="single"/>
        </w:rPr>
        <w:t>already</w:t>
      </w:r>
      <w:r>
        <w:t xml:space="preserve"> meet the new requirements, may continue to be supplied. Their registrations would be re-validated and updated to the new GEMS determination, as described in the section above on transitional arrangements.</w:t>
      </w:r>
    </w:p>
    <w:p w14:paraId="555A3A9A" w14:textId="77777777" w:rsidR="00CC1A0A" w:rsidRDefault="00CC1A0A" w:rsidP="002759B7">
      <w:pPr>
        <w:pStyle w:val="E3Bullets"/>
        <w:jc w:val="both"/>
      </w:pPr>
      <w:r>
        <w:t>Suppliers wishing to import or manufacture models that are not already registered, but meet the new requirements, would need to complete a registration application, pay the registration fee and lodge the application with the GEMS Regulator.</w:t>
      </w:r>
    </w:p>
    <w:p w14:paraId="01870C74" w14:textId="77777777" w:rsidR="00CC1A0A" w:rsidRDefault="00CC1A0A" w:rsidP="00CC1A0A">
      <w:pPr>
        <w:spacing w:before="240"/>
        <w:jc w:val="both"/>
        <w:rPr>
          <w:sz w:val="24"/>
        </w:rPr>
      </w:pPr>
      <w:r>
        <w:rPr>
          <w:sz w:val="24"/>
        </w:rPr>
        <w:t>In New Zealand, once the changes are in force:</w:t>
      </w:r>
    </w:p>
    <w:p w14:paraId="34F55DD6" w14:textId="77777777" w:rsidR="00CC1A0A" w:rsidRDefault="00CC1A0A" w:rsidP="002759B7">
      <w:pPr>
        <w:pStyle w:val="E3Bullets"/>
        <w:jc w:val="both"/>
      </w:pPr>
      <w:r>
        <w:t xml:space="preserve">Registered cabinets imported or manufactured prior to the law change that </w:t>
      </w:r>
      <w:r>
        <w:rPr>
          <w:u w:val="single"/>
        </w:rPr>
        <w:t>do not</w:t>
      </w:r>
      <w:r>
        <w:t xml:space="preserve"> meet the new requirements may only be sold until stock is depleted. New import or manufacture of these cabinets would not be permitted.</w:t>
      </w:r>
    </w:p>
    <w:p w14:paraId="441DAE37" w14:textId="77777777" w:rsidR="00CC1A0A" w:rsidRDefault="00CC1A0A" w:rsidP="002759B7">
      <w:pPr>
        <w:pStyle w:val="E3Bullets"/>
        <w:jc w:val="both"/>
      </w:pPr>
      <w:r>
        <w:t xml:space="preserve">Registered cabinets imported or manufactured prior to the law change that </w:t>
      </w:r>
      <w:r>
        <w:rPr>
          <w:u w:val="single"/>
        </w:rPr>
        <w:t>already</w:t>
      </w:r>
      <w:r>
        <w:t xml:space="preserve"> meet the new requirements, may continue to be supplied. Their registrations would be re-validated and updated. A new test report would be required.</w:t>
      </w:r>
    </w:p>
    <w:p w14:paraId="41B1404C" w14:textId="77777777" w:rsidR="00CC1A0A" w:rsidRDefault="00CC1A0A" w:rsidP="002759B7">
      <w:pPr>
        <w:pStyle w:val="E3Bullets"/>
        <w:jc w:val="both"/>
      </w:pPr>
      <w:r>
        <w:t>Suppliers wishing to import or manufacture models that are not already registered, but meet the new requirements, would need to complete a registration application and lodge it with the New Zealand Regulator (EECA).</w:t>
      </w:r>
    </w:p>
    <w:p w14:paraId="47FC6A57" w14:textId="77777777" w:rsidR="00CC1A0A" w:rsidRDefault="00CC1A0A" w:rsidP="002759B7">
      <w:pPr>
        <w:pStyle w:val="E3Bullets"/>
        <w:jc w:val="both"/>
      </w:pPr>
      <w:r>
        <w:t>Unregistered cabinets that fall within the scope of the law, are not permitted to be supplied, or used for any commercial purpose at any time.</w:t>
      </w:r>
    </w:p>
    <w:p w14:paraId="3988776E" w14:textId="77777777" w:rsidR="00CC1A0A" w:rsidRPr="0028109D" w:rsidRDefault="00CC1A0A" w:rsidP="0028109D">
      <w:pPr>
        <w:spacing w:before="240"/>
        <w:jc w:val="both"/>
        <w:rPr>
          <w:sz w:val="24"/>
        </w:rPr>
      </w:pPr>
      <w:r>
        <w:rPr>
          <w:sz w:val="24"/>
        </w:rPr>
        <w:t>Australian and New Zealand regulators undertake compliance activities, involving education, surveys, store inspections and checking claims in media. They also purchase cabinets, using a risk based approach, for the purpose of laboratory check testing, to assess whether efficiency claims made</w:t>
      </w:r>
      <w:bookmarkStart w:id="270" w:name="_Toc494897985"/>
      <w:bookmarkStart w:id="271" w:name="_Toc494955777"/>
      <w:bookmarkStart w:id="272" w:name="_Toc494959585"/>
      <w:bookmarkStart w:id="273" w:name="_Toc494972711"/>
      <w:bookmarkStart w:id="274" w:name="_Toc494973898"/>
      <w:bookmarkStart w:id="275" w:name="_Toc494974587"/>
      <w:r w:rsidR="0028109D">
        <w:rPr>
          <w:sz w:val="24"/>
        </w:rPr>
        <w:t xml:space="preserve"> in registrations are accurate.</w:t>
      </w:r>
    </w:p>
    <w:p w14:paraId="25D33AE8" w14:textId="77777777" w:rsidR="00243B70" w:rsidRDefault="00243B70" w:rsidP="002F542B">
      <w:pPr>
        <w:pStyle w:val="E3Heading4"/>
      </w:pPr>
    </w:p>
    <w:p w14:paraId="6921D08C" w14:textId="77777777" w:rsidR="00243B70" w:rsidRDefault="00243B70" w:rsidP="002F542B">
      <w:pPr>
        <w:pStyle w:val="E3Heading4"/>
      </w:pPr>
    </w:p>
    <w:p w14:paraId="2EA1E08C" w14:textId="77777777" w:rsidR="00243B70" w:rsidRDefault="00243B70" w:rsidP="002F542B">
      <w:pPr>
        <w:pStyle w:val="E3Heading4"/>
      </w:pPr>
    </w:p>
    <w:p w14:paraId="435A790C" w14:textId="556C1657" w:rsidR="00CC1A0A" w:rsidRPr="0041262C" w:rsidRDefault="00CC1A0A" w:rsidP="002F542B">
      <w:pPr>
        <w:pStyle w:val="E3Heading4"/>
      </w:pPr>
      <w:r w:rsidRPr="0041262C">
        <w:t>Evaluation</w:t>
      </w:r>
      <w:bookmarkEnd w:id="270"/>
      <w:bookmarkEnd w:id="271"/>
      <w:bookmarkEnd w:id="272"/>
      <w:bookmarkEnd w:id="273"/>
      <w:bookmarkEnd w:id="274"/>
      <w:bookmarkEnd w:id="275"/>
    </w:p>
    <w:p w14:paraId="00E2A325" w14:textId="77777777" w:rsidR="00CC1A0A" w:rsidRDefault="00CC1A0A" w:rsidP="00CC1A0A">
      <w:pPr>
        <w:jc w:val="both"/>
        <w:rPr>
          <w:sz w:val="24"/>
        </w:rPr>
      </w:pPr>
      <w:r>
        <w:rPr>
          <w:sz w:val="24"/>
        </w:rPr>
        <w:t>In New Zealand, after a year of trading under the new regulations, cabinet suppliers would be requested to provide sales data on how many cabinets they sold and comparable energy efficiencies, so that energy savings can be tracked against predictions.</w:t>
      </w:r>
    </w:p>
    <w:p w14:paraId="1199777E" w14:textId="77777777" w:rsidR="00CC1A0A" w:rsidRPr="0041262C" w:rsidRDefault="00CC1A0A" w:rsidP="00CC1A0A">
      <w:pPr>
        <w:jc w:val="both"/>
        <w:rPr>
          <w:rFonts w:eastAsiaTheme="minorHAnsi" w:cstheme="minorBidi"/>
          <w:sz w:val="24"/>
          <w:lang w:val="en-NZ"/>
        </w:rPr>
      </w:pPr>
      <w:r>
        <w:rPr>
          <w:sz w:val="24"/>
        </w:rPr>
        <w:t>The E3 Program uses various sources of information to evaluate the effectiveness of the program and product category requirements. This includes retrospective reviews to compare the effect of policies versus what was projected in RIS analysis; analysing sales data to understand consumer awareness and usage of energy efficiency labelling; tracking hits on the Energy Rating website; and utilising ABS and other surveys of consumer intent and consideration of energy efficiency in purchase decisions.</w:t>
      </w:r>
    </w:p>
    <w:p w14:paraId="4789E754" w14:textId="77777777" w:rsidR="00706D72" w:rsidRDefault="00706D72" w:rsidP="00706D72">
      <w:pPr>
        <w:pStyle w:val="E3BodyText"/>
        <w:rPr>
          <w:lang w:val="en-AU"/>
        </w:rPr>
      </w:pPr>
    </w:p>
    <w:p w14:paraId="107C5C98" w14:textId="77777777" w:rsidR="00305101" w:rsidRPr="00305101" w:rsidRDefault="00706D72" w:rsidP="0028109D">
      <w:pPr>
        <w:pStyle w:val="E3ChapterTitle"/>
        <w:ind w:left="0"/>
        <w:rPr>
          <w:noProof/>
          <w:lang w:val="en-NZ" w:eastAsia="en-NZ"/>
        </w:rPr>
      </w:pPr>
      <w:bookmarkStart w:id="276" w:name="_Toc500151827"/>
      <w:r>
        <w:rPr>
          <w:noProof/>
          <w:lang w:eastAsia="en-AU"/>
        </w:rPr>
        <w:lastRenderedPageBreak/>
        <w:drawing>
          <wp:anchor distT="0" distB="0" distL="114300" distR="114300" simplePos="0" relativeHeight="251658249" behindDoc="1" locked="1" layoutInCell="1" allowOverlap="1" wp14:anchorId="5542483A" wp14:editId="001F785F">
            <wp:simplePos x="0" y="0"/>
            <wp:positionH relativeFrom="margin">
              <wp:posOffset>-219075</wp:posOffset>
            </wp:positionH>
            <wp:positionV relativeFrom="margin">
              <wp:posOffset>-514985</wp:posOffset>
            </wp:positionV>
            <wp:extent cx="6124575" cy="1800225"/>
            <wp:effectExtent l="0" t="0" r="9525" b="9525"/>
            <wp:wrapNone/>
            <wp:docPr id="14"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25"/>
                    <a:stretch>
                      <a:fillRect/>
                    </a:stretch>
                  </pic:blipFill>
                  <pic:spPr>
                    <a:xfrm>
                      <a:off x="0" y="0"/>
                      <a:ext cx="6124575" cy="1800225"/>
                    </a:xfrm>
                    <a:prstGeom prst="rect">
                      <a:avLst/>
                    </a:prstGeom>
                  </pic:spPr>
                </pic:pic>
              </a:graphicData>
            </a:graphic>
          </wp:anchor>
        </w:drawing>
      </w:r>
      <w:r w:rsidR="0028109D">
        <w:rPr>
          <w:noProof/>
          <w:lang w:val="en-NZ" w:eastAsia="en-NZ"/>
        </w:rPr>
        <w:t>References</w:t>
      </w:r>
      <w:bookmarkEnd w:id="276"/>
    </w:p>
    <w:p w14:paraId="0DF8F190" w14:textId="77777777" w:rsidR="00305101" w:rsidRDefault="00305101" w:rsidP="00305101">
      <w:r>
        <w:rPr>
          <w:noProof/>
          <w:lang w:eastAsia="en-AU"/>
        </w:rPr>
        <w:drawing>
          <wp:inline distT="0" distB="0" distL="0" distR="0" wp14:anchorId="3AE44FC1" wp14:editId="005DE51F">
            <wp:extent cx="6120765" cy="639064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765" cy="6390640"/>
                    </a:xfrm>
                    <a:prstGeom prst="rect">
                      <a:avLst/>
                    </a:prstGeom>
                  </pic:spPr>
                </pic:pic>
              </a:graphicData>
            </a:graphic>
          </wp:inline>
        </w:drawing>
      </w:r>
    </w:p>
    <w:p w14:paraId="2257D996" w14:textId="77777777" w:rsidR="00305101" w:rsidRDefault="00305101" w:rsidP="00305101"/>
    <w:p w14:paraId="1F4312C8" w14:textId="77777777" w:rsidR="00305101" w:rsidRDefault="00305101" w:rsidP="00305101"/>
    <w:p w14:paraId="6B343A7A" w14:textId="77777777" w:rsidR="00706D72" w:rsidRDefault="00706D72" w:rsidP="00305101"/>
    <w:p w14:paraId="4DB44086" w14:textId="77777777" w:rsidR="00305101" w:rsidRDefault="00305101" w:rsidP="00305101"/>
    <w:p w14:paraId="171C253B" w14:textId="420E74F5" w:rsidR="00305101" w:rsidRDefault="00305101" w:rsidP="002C1469">
      <w:pPr>
        <w:pStyle w:val="E3ChapterTitle"/>
        <w:spacing w:after="1000"/>
      </w:pPr>
      <w:bookmarkStart w:id="277" w:name="_Toc500151828"/>
      <w:r>
        <w:rPr>
          <w:noProof/>
          <w:lang w:eastAsia="en-AU"/>
        </w:rPr>
        <w:lastRenderedPageBreak/>
        <w:drawing>
          <wp:anchor distT="0" distB="0" distL="114300" distR="114300" simplePos="0" relativeHeight="251658250" behindDoc="1" locked="1" layoutInCell="1" allowOverlap="1" wp14:anchorId="1D7D56DB" wp14:editId="6C79DB3C">
            <wp:simplePos x="0" y="0"/>
            <wp:positionH relativeFrom="margin">
              <wp:align>left</wp:align>
            </wp:positionH>
            <wp:positionV relativeFrom="margin">
              <wp:posOffset>-400685</wp:posOffset>
            </wp:positionV>
            <wp:extent cx="6124575" cy="1800225"/>
            <wp:effectExtent l="0" t="0" r="9525" b="9525"/>
            <wp:wrapNone/>
            <wp:docPr id="19"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25"/>
                    <a:stretch>
                      <a:fillRect/>
                    </a:stretch>
                  </pic:blipFill>
                  <pic:spPr>
                    <a:xfrm>
                      <a:off x="0" y="0"/>
                      <a:ext cx="6124575" cy="1800225"/>
                    </a:xfrm>
                    <a:prstGeom prst="rect">
                      <a:avLst/>
                    </a:prstGeom>
                  </pic:spPr>
                </pic:pic>
              </a:graphicData>
            </a:graphic>
          </wp:anchor>
        </w:drawing>
      </w:r>
      <w:r w:rsidR="002759B7">
        <w:t>Attachment A</w:t>
      </w:r>
      <w:r>
        <w:t>- Australian stock by major sectors</w:t>
      </w:r>
      <w:bookmarkEnd w:id="277"/>
    </w:p>
    <w:p w14:paraId="2D6CF9DC" w14:textId="77777777" w:rsidR="00305101" w:rsidRPr="0041262C" w:rsidRDefault="00305101" w:rsidP="002060E2">
      <w:pPr>
        <w:pStyle w:val="E3Heading2"/>
        <w:contextualSpacing w:val="0"/>
      </w:pPr>
      <w:bookmarkStart w:id="278" w:name="_Toc280615558"/>
      <w:bookmarkStart w:id="279" w:name="_Toc447533622"/>
      <w:bookmarkStart w:id="280" w:name="_Toc449708794"/>
      <w:bookmarkStart w:id="281" w:name="_Toc450032151"/>
      <w:bookmarkStart w:id="282" w:name="_Toc500151829"/>
      <w:r w:rsidRPr="0041262C">
        <w:t>Retail and food services channels</w:t>
      </w:r>
      <w:bookmarkEnd w:id="278"/>
      <w:bookmarkEnd w:id="279"/>
      <w:bookmarkEnd w:id="280"/>
      <w:bookmarkEnd w:id="281"/>
      <w:bookmarkEnd w:id="282"/>
    </w:p>
    <w:p w14:paraId="48BA330E" w14:textId="77777777" w:rsidR="00305101" w:rsidRPr="00AC7259" w:rsidRDefault="00305101" w:rsidP="00305101">
      <w:pPr>
        <w:pStyle w:val="E3BodyText"/>
      </w:pPr>
      <w:r w:rsidRPr="00AC7259">
        <w:t>The sales of display cabinets and storage cabinets are largely driven by requirements in two major sectors:</w:t>
      </w:r>
    </w:p>
    <w:p w14:paraId="2A457A87" w14:textId="77777777" w:rsidR="00305101" w:rsidRPr="00AC7259" w:rsidRDefault="00305101" w:rsidP="002C1469">
      <w:pPr>
        <w:pStyle w:val="E3BodyText"/>
        <w:numPr>
          <w:ilvl w:val="0"/>
          <w:numId w:val="44"/>
        </w:numPr>
        <w:autoSpaceDE/>
        <w:autoSpaceDN/>
        <w:adjustRightInd/>
        <w:spacing w:line="278" w:lineRule="auto"/>
        <w:ind w:left="709"/>
        <w:jc w:val="both"/>
      </w:pPr>
      <w:r w:rsidRPr="00AC7259">
        <w:t>Food retail comprising supermarkets, convenience stores, liquor retailing and small food retail (i.e. fresh meat, fish and poultry; fruit and vegetable and specialised foods); and,</w:t>
      </w:r>
    </w:p>
    <w:p w14:paraId="05DE6412" w14:textId="6045A5CC" w:rsidR="00DD102F" w:rsidRDefault="00305101" w:rsidP="002C1469">
      <w:pPr>
        <w:pStyle w:val="E3BodyText"/>
        <w:numPr>
          <w:ilvl w:val="0"/>
          <w:numId w:val="44"/>
        </w:numPr>
        <w:ind w:left="709"/>
      </w:pPr>
      <w:r w:rsidRPr="00AC7259">
        <w:t>Food service channels which includes catering and hospitality.</w:t>
      </w:r>
      <w:r>
        <w:t xml:space="preserve"> </w:t>
      </w:r>
    </w:p>
    <w:p w14:paraId="467A49BC" w14:textId="35FC40FE" w:rsidR="00305101" w:rsidRDefault="00305101" w:rsidP="00305101">
      <w:pPr>
        <w:pStyle w:val="E3BodyText"/>
      </w:pPr>
      <w:r w:rsidRPr="00EF0924">
        <w:fldChar w:fldCharType="begin"/>
      </w:r>
      <w:r w:rsidRPr="00EF0924">
        <w:instrText xml:space="preserve"> REF _Ref449966506 \h  \* MERGEFORMAT </w:instrText>
      </w:r>
      <w:r w:rsidRPr="00EF0924">
        <w:fldChar w:fldCharType="separate"/>
      </w:r>
      <w:r w:rsidR="00D51B4B" w:rsidRPr="00CA582C">
        <w:t xml:space="preserve">Figure B </w:t>
      </w:r>
      <w:r w:rsidR="00D51B4B">
        <w:rPr>
          <w:noProof/>
        </w:rPr>
        <w:t>1</w:t>
      </w:r>
      <w:r w:rsidRPr="00EF0924">
        <w:fldChar w:fldCharType="end"/>
      </w:r>
      <w:r w:rsidRPr="00AC7259">
        <w:t xml:space="preserve"> </w:t>
      </w:r>
      <w:r>
        <w:t xml:space="preserve">(below) which </w:t>
      </w:r>
      <w:r w:rsidRPr="00AC7259">
        <w:t>shows the trend of the overall trade figures in millions of dollars. These sectors closely track each other, except in 2008 and 2009 where the foodservice market was one of the first market sectors to feel the impact of the economic downturn, and commercial foodservice expenditure suffered two successive years of decline. One exception to this dip was Quick Service Restaurants (QSRs) that were not affected by the Global Financial Crisis. Overall expenditure of food service equipment for the next five years is expected to grow at around 2% per annum.</w:t>
      </w:r>
    </w:p>
    <w:p w14:paraId="258346DA" w14:textId="5B157BF7" w:rsidR="00305101" w:rsidRDefault="00305101" w:rsidP="002C1469">
      <w:pPr>
        <w:pStyle w:val="E3Figuretitles"/>
        <w:spacing w:after="120"/>
      </w:pPr>
      <w:bookmarkStart w:id="283" w:name="_Ref449966506"/>
      <w:bookmarkStart w:id="284" w:name="_Toc449709085"/>
      <w:bookmarkStart w:id="285" w:name="_Toc456104739"/>
      <w:r w:rsidRPr="00CA582C">
        <w:t xml:space="preserve">Figure B </w:t>
      </w:r>
      <w:r w:rsidRPr="00CA582C">
        <w:fldChar w:fldCharType="begin"/>
      </w:r>
      <w:r w:rsidRPr="00CA582C">
        <w:instrText xml:space="preserve"> SEQ Figure_B \* ARABIC </w:instrText>
      </w:r>
      <w:r w:rsidRPr="00CA582C">
        <w:fldChar w:fldCharType="separate"/>
      </w:r>
      <w:r w:rsidR="00D51B4B">
        <w:rPr>
          <w:noProof/>
        </w:rPr>
        <w:t>1</w:t>
      </w:r>
      <w:r w:rsidRPr="00CA582C">
        <w:fldChar w:fldCharType="end"/>
      </w:r>
      <w:bookmarkEnd w:id="283"/>
      <w:r w:rsidRPr="00CA582C">
        <w:t>: ABS Retail trade index for food retail and hospitality (in millions of dollars of turnover per month</w:t>
      </w:r>
      <w:bookmarkEnd w:id="284"/>
      <w:r w:rsidRPr="00CA582C">
        <w:t>).</w:t>
      </w:r>
      <w:bookmarkEnd w:id="285"/>
    </w:p>
    <w:p w14:paraId="3841EF24" w14:textId="4A9537B3" w:rsidR="00305101" w:rsidRDefault="002C1469" w:rsidP="00305101">
      <w:pPr>
        <w:pStyle w:val="E3Figuretitles"/>
        <w:spacing w:after="240"/>
      </w:pPr>
      <w:r>
        <w:rPr>
          <w:noProof/>
          <w:sz w:val="16"/>
          <w:szCs w:val="16"/>
          <w:lang w:val="en-AU" w:eastAsia="en-AU"/>
        </w:rPr>
        <w:drawing>
          <wp:inline distT="0" distB="0" distL="0" distR="0" wp14:anchorId="5986ABB0" wp14:editId="1E7571BB">
            <wp:extent cx="5986780" cy="3424686"/>
            <wp:effectExtent l="0" t="0" r="0" b="4445"/>
            <wp:docPr id="28" name="Picture 28" descr="This graphic shows food retailing and hospitality value in $M from 2005 to 2014. It shows a steady increase in two industries that largely mirror each other." title="Australian trade index for food retail and hospitality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88070" cy="3425424"/>
                    </a:xfrm>
                    <a:prstGeom prst="rect">
                      <a:avLst/>
                    </a:prstGeom>
                    <a:noFill/>
                  </pic:spPr>
                </pic:pic>
              </a:graphicData>
            </a:graphic>
          </wp:inline>
        </w:drawing>
      </w:r>
    </w:p>
    <w:p w14:paraId="7F53276B" w14:textId="77777777" w:rsidR="00305101" w:rsidRPr="00387244" w:rsidRDefault="00305101" w:rsidP="00305101">
      <w:pPr>
        <w:pStyle w:val="E3Caption"/>
        <w:jc w:val="both"/>
      </w:pPr>
      <w:r w:rsidRPr="00387244">
        <w:t>(Source: ABS Cat No. 8501: Table 1, Updated May 2014)</w:t>
      </w:r>
    </w:p>
    <w:p w14:paraId="341C2769" w14:textId="77777777" w:rsidR="00305101" w:rsidRPr="001A4A51" w:rsidRDefault="00305101" w:rsidP="001A4A51">
      <w:pPr>
        <w:pStyle w:val="E3Heading2"/>
        <w:rPr>
          <w:rFonts w:ascii="Georgia" w:hAnsi="Georgia"/>
          <w:sz w:val="24"/>
        </w:rPr>
      </w:pPr>
      <w:bookmarkStart w:id="286" w:name="_Toc280615559"/>
      <w:bookmarkStart w:id="287" w:name="_Toc447533623"/>
      <w:bookmarkStart w:id="288" w:name="_Toc449708795"/>
      <w:bookmarkStart w:id="289" w:name="_Toc450032152"/>
      <w:bookmarkStart w:id="290" w:name="_Toc494897986"/>
      <w:bookmarkStart w:id="291" w:name="_Toc494955778"/>
      <w:bookmarkStart w:id="292" w:name="_Toc494959586"/>
      <w:bookmarkStart w:id="293" w:name="_Toc494972712"/>
      <w:bookmarkStart w:id="294" w:name="_Toc494973899"/>
      <w:bookmarkStart w:id="295" w:name="_Toc494974588"/>
      <w:bookmarkStart w:id="296" w:name="_Toc500151830"/>
      <w:r w:rsidRPr="001A4A51">
        <w:rPr>
          <w:rFonts w:ascii="Georgia" w:hAnsi="Georgia"/>
          <w:sz w:val="24"/>
        </w:rPr>
        <w:lastRenderedPageBreak/>
        <w:t>Supermarkets, convenience stores and small retail</w:t>
      </w:r>
      <w:bookmarkEnd w:id="286"/>
      <w:bookmarkEnd w:id="287"/>
      <w:bookmarkEnd w:id="288"/>
      <w:bookmarkEnd w:id="289"/>
      <w:bookmarkEnd w:id="290"/>
      <w:bookmarkEnd w:id="291"/>
      <w:bookmarkEnd w:id="292"/>
      <w:bookmarkEnd w:id="293"/>
      <w:bookmarkEnd w:id="294"/>
      <w:bookmarkEnd w:id="295"/>
      <w:bookmarkEnd w:id="296"/>
    </w:p>
    <w:p w14:paraId="3720C495" w14:textId="77777777" w:rsidR="00305101" w:rsidRPr="00AC7259" w:rsidRDefault="00305101" w:rsidP="002759B7">
      <w:pPr>
        <w:pStyle w:val="E3BodyText"/>
        <w:jc w:val="both"/>
      </w:pPr>
      <w:r w:rsidRPr="00AC7259">
        <w:t>The Australian industry structure consists of large national supermarket chains</w:t>
      </w:r>
      <w:r>
        <w:t>, including</w:t>
      </w:r>
      <w:r w:rsidRPr="00AC7259">
        <w:t xml:space="preserve"> Woolworths </w:t>
      </w:r>
      <w:r>
        <w:t xml:space="preserve">which has 920 stores and the </w:t>
      </w:r>
      <w:r w:rsidRPr="00AC7259">
        <w:t xml:space="preserve">international supermarket chain </w:t>
      </w:r>
      <w:r>
        <w:t xml:space="preserve">Aldi which was </w:t>
      </w:r>
      <w:r w:rsidRPr="00AC7259">
        <w:t xml:space="preserve">around 339 </w:t>
      </w:r>
      <w:r>
        <w:t>stores on the eastern sea board.  There also</w:t>
      </w:r>
      <w:r w:rsidRPr="00AC7259">
        <w:t xml:space="preserve"> </w:t>
      </w:r>
      <w:r>
        <w:t xml:space="preserve">approximately </w:t>
      </w:r>
      <w:r w:rsidRPr="00AC7259">
        <w:t xml:space="preserve">2,500 independent stores comprising independent supermarket chains (i.e. IGA branded chains such as Ritchies, Foodland and Cornett’s, and AUR-Foodworks) and individually owned and controlled stores. Costco is a new corporate participant </w:t>
      </w:r>
      <w:r>
        <w:t xml:space="preserve">with </w:t>
      </w:r>
      <w:r w:rsidRPr="00AC7259">
        <w:t>large general merchandise stores with supermarket style refrigeration in Melbourne, Sydney, Canberra and Brisbane. Aldi have announced $2 Billion of expansion plans into other regions including SA and WA, with other European discount operators (i.e. Lidl, Netto, etc.) planning or considering opening stores in Australia.</w:t>
      </w:r>
    </w:p>
    <w:p w14:paraId="623DF97C" w14:textId="3201A286" w:rsidR="00305101" w:rsidRPr="00AC7259" w:rsidRDefault="00305101" w:rsidP="002759B7">
      <w:pPr>
        <w:pStyle w:val="E3BodyText"/>
        <w:jc w:val="both"/>
      </w:pPr>
      <w:r w:rsidRPr="00AC7259">
        <w:t>There are almost 6,000 convenience stores comprising around 650 7-Eleven, 496 Woolworths Petrol, 750 New Sunrise, 207 BP Petrol, 637 Coles Express, 476 Caltex (excluding Woolworths co-branded sites), 737 United (including distributors), 700 independents, and over 1,100 UCB</w:t>
      </w:r>
      <w:r>
        <w:t xml:space="preserve"> stores, plus others including </w:t>
      </w:r>
      <w:r w:rsidRPr="00AC7259">
        <w:t>AA Holdings, Apco, Mati</w:t>
      </w:r>
      <w:r>
        <w:t xml:space="preserve">lda, Reliance, Night Owl and Mobil. </w:t>
      </w:r>
      <w:r w:rsidRPr="00AC7259">
        <w:rPr>
          <w:b/>
        </w:rPr>
        <w:fldChar w:fldCharType="begin"/>
      </w:r>
      <w:r w:rsidRPr="00AC7259">
        <w:rPr>
          <w:b/>
        </w:rPr>
        <w:instrText xml:space="preserve"> REF _Ref449966588 \h  \* MERGEFORMAT </w:instrText>
      </w:r>
      <w:r w:rsidRPr="00AC7259">
        <w:rPr>
          <w:b/>
        </w:rPr>
      </w:r>
      <w:r w:rsidRPr="00AC7259">
        <w:rPr>
          <w:b/>
        </w:rPr>
        <w:fldChar w:fldCharType="separate"/>
      </w:r>
      <w:r w:rsidR="00D51B4B">
        <w:t>Table B1</w:t>
      </w:r>
      <w:r w:rsidRPr="00AC7259">
        <w:rPr>
          <w:b/>
        </w:rPr>
        <w:fldChar w:fldCharType="end"/>
      </w:r>
      <w:r w:rsidRPr="00AC7259">
        <w:t xml:space="preserve"> summarises the estimated stock of supermarkets and convenience stores in Australia at the end of 2013 dissected into large, medium and small supermarkets, plus convenience stores and extra small supermarkets with a trading floor less than 400 m</w:t>
      </w:r>
      <w:r w:rsidRPr="00AC7259">
        <w:rPr>
          <w:vertAlign w:val="superscript"/>
        </w:rPr>
        <w:t>2</w:t>
      </w:r>
      <w:r w:rsidRPr="00AC7259">
        <w:t>.</w:t>
      </w:r>
    </w:p>
    <w:p w14:paraId="4B628204" w14:textId="4EEDE476" w:rsidR="00305101" w:rsidRPr="00452195" w:rsidRDefault="00A46E34" w:rsidP="00305101">
      <w:pPr>
        <w:pStyle w:val="E3TableTitles"/>
      </w:pPr>
      <w:bookmarkStart w:id="297" w:name="_Ref449966588"/>
      <w:bookmarkStart w:id="298" w:name="_Toc449708973"/>
      <w:bookmarkStart w:id="299" w:name="_Toc456164729"/>
      <w:bookmarkStart w:id="300" w:name="_Toc500159670"/>
      <w:r>
        <w:t>Table B</w:t>
      </w:r>
      <w:r w:rsidR="00305101">
        <w:fldChar w:fldCharType="begin"/>
      </w:r>
      <w:r w:rsidR="00305101">
        <w:instrText xml:space="preserve"> SEQ Table_B \* ARABIC </w:instrText>
      </w:r>
      <w:r w:rsidR="00305101">
        <w:fldChar w:fldCharType="separate"/>
      </w:r>
      <w:r w:rsidR="00D51B4B">
        <w:rPr>
          <w:noProof/>
        </w:rPr>
        <w:t>1</w:t>
      </w:r>
      <w:r w:rsidR="00305101">
        <w:rPr>
          <w:noProof/>
        </w:rPr>
        <w:fldChar w:fldCharType="end"/>
      </w:r>
      <w:bookmarkEnd w:id="297"/>
      <w:r w:rsidR="00305101" w:rsidRPr="00452195">
        <w:t>: Summary of Australian supermarkets and convenience stores dissected by trading floor.</w:t>
      </w:r>
      <w:bookmarkEnd w:id="298"/>
      <w:bookmarkEnd w:id="299"/>
      <w:bookmarkEnd w:id="300"/>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393"/>
        <w:gridCol w:w="1442"/>
        <w:gridCol w:w="1588"/>
        <w:gridCol w:w="1389"/>
        <w:gridCol w:w="1304"/>
      </w:tblGrid>
      <w:tr w:rsidR="00305101" w:rsidRPr="00067F58" w14:paraId="31E61C1D" w14:textId="77777777" w:rsidTr="001A4A51">
        <w:tc>
          <w:tcPr>
            <w:tcW w:w="2410" w:type="dxa"/>
            <w:vMerge w:val="restart"/>
            <w:shd w:val="clear" w:color="auto" w:fill="0C0C0C"/>
            <w:vAlign w:val="center"/>
          </w:tcPr>
          <w:p w14:paraId="1D22A3B4" w14:textId="77777777" w:rsidR="00305101" w:rsidRPr="00067F58" w:rsidRDefault="00305101" w:rsidP="001A4A51">
            <w:pPr>
              <w:pStyle w:val="E3TableHeading"/>
            </w:pPr>
            <w:r w:rsidRPr="00067F58">
              <w:t>Brand</w:t>
            </w:r>
          </w:p>
        </w:tc>
        <w:tc>
          <w:tcPr>
            <w:tcW w:w="1393" w:type="dxa"/>
            <w:vMerge w:val="restart"/>
            <w:shd w:val="clear" w:color="auto" w:fill="0C0C0C"/>
            <w:vAlign w:val="center"/>
          </w:tcPr>
          <w:p w14:paraId="54EEF878" w14:textId="77777777" w:rsidR="00305101" w:rsidRPr="00067F58" w:rsidRDefault="00305101" w:rsidP="001A4A51">
            <w:pPr>
              <w:pStyle w:val="E3TableHeading"/>
            </w:pPr>
            <w:r w:rsidRPr="00067F58">
              <w:t>Nominal Quantity</w:t>
            </w:r>
          </w:p>
        </w:tc>
        <w:tc>
          <w:tcPr>
            <w:tcW w:w="5723" w:type="dxa"/>
            <w:gridSpan w:val="4"/>
            <w:shd w:val="clear" w:color="auto" w:fill="0C0C0C"/>
            <w:vAlign w:val="center"/>
          </w:tcPr>
          <w:p w14:paraId="6EBF09C1" w14:textId="77777777" w:rsidR="00305101" w:rsidRPr="00067F58" w:rsidRDefault="00305101" w:rsidP="001A4A51">
            <w:pPr>
              <w:pStyle w:val="E3TableHeading"/>
              <w:jc w:val="center"/>
            </w:pPr>
            <w:r w:rsidRPr="00067F58">
              <w:t>Trading floor (m</w:t>
            </w:r>
            <w:r w:rsidRPr="00067F58">
              <w:rPr>
                <w:vertAlign w:val="superscript"/>
              </w:rPr>
              <w:t>2</w:t>
            </w:r>
            <w:r w:rsidRPr="00067F58">
              <w:t xml:space="preserve">) </w:t>
            </w:r>
            <w:r w:rsidRPr="00067F58">
              <w:rPr>
                <w:vertAlign w:val="superscript"/>
              </w:rPr>
              <w:t>(1)</w:t>
            </w:r>
          </w:p>
        </w:tc>
      </w:tr>
      <w:tr w:rsidR="00305101" w:rsidRPr="00067F58" w14:paraId="13C8C8E9" w14:textId="77777777" w:rsidTr="001A4A51">
        <w:tc>
          <w:tcPr>
            <w:tcW w:w="2410" w:type="dxa"/>
            <w:vMerge/>
            <w:shd w:val="clear" w:color="auto" w:fill="0C0C0C"/>
            <w:vAlign w:val="center"/>
          </w:tcPr>
          <w:p w14:paraId="63D146B2" w14:textId="77777777" w:rsidR="00305101" w:rsidRPr="0041262C" w:rsidRDefault="00305101" w:rsidP="001A4A51">
            <w:pPr>
              <w:pStyle w:val="E3tabletext1"/>
              <w:jc w:val="left"/>
              <w:rPr>
                <w:rFonts w:ascii="Helvetica" w:hAnsi="Helvetica" w:cs="Helvetica"/>
                <w:sz w:val="15"/>
                <w:szCs w:val="15"/>
              </w:rPr>
            </w:pPr>
          </w:p>
        </w:tc>
        <w:tc>
          <w:tcPr>
            <w:tcW w:w="1393" w:type="dxa"/>
            <w:vMerge/>
            <w:shd w:val="clear" w:color="auto" w:fill="0C0C0C"/>
            <w:vAlign w:val="center"/>
          </w:tcPr>
          <w:p w14:paraId="6E920369" w14:textId="77777777" w:rsidR="00305101" w:rsidRPr="0041262C" w:rsidRDefault="00305101" w:rsidP="001A4A51">
            <w:pPr>
              <w:pStyle w:val="E3tabletext1"/>
              <w:jc w:val="left"/>
              <w:rPr>
                <w:rFonts w:ascii="Helvetica" w:hAnsi="Helvetica" w:cs="Helvetica"/>
                <w:sz w:val="15"/>
                <w:szCs w:val="15"/>
              </w:rPr>
            </w:pPr>
          </w:p>
        </w:tc>
        <w:tc>
          <w:tcPr>
            <w:tcW w:w="1442" w:type="dxa"/>
            <w:shd w:val="clear" w:color="auto" w:fill="0C0C0C"/>
            <w:vAlign w:val="center"/>
          </w:tcPr>
          <w:p w14:paraId="7299D0CC" w14:textId="77777777" w:rsidR="00305101" w:rsidRPr="00067F58" w:rsidRDefault="00305101" w:rsidP="001A4A51">
            <w:pPr>
              <w:pStyle w:val="E3TableHeading"/>
            </w:pPr>
            <w:r w:rsidRPr="00067F58">
              <w:t>≥2,750</w:t>
            </w:r>
          </w:p>
        </w:tc>
        <w:tc>
          <w:tcPr>
            <w:tcW w:w="1588" w:type="dxa"/>
            <w:shd w:val="clear" w:color="auto" w:fill="0C0C0C"/>
            <w:vAlign w:val="center"/>
          </w:tcPr>
          <w:p w14:paraId="11EC137B" w14:textId="77777777" w:rsidR="00305101" w:rsidRPr="00067F58" w:rsidRDefault="00305101" w:rsidP="001A4A51">
            <w:pPr>
              <w:pStyle w:val="E3TableHeading"/>
            </w:pPr>
            <w:r w:rsidRPr="00067F58">
              <w:t>≥1,500 and ≥2,750</w:t>
            </w:r>
          </w:p>
        </w:tc>
        <w:tc>
          <w:tcPr>
            <w:tcW w:w="1389" w:type="dxa"/>
            <w:shd w:val="clear" w:color="auto" w:fill="0C0C0C"/>
            <w:vAlign w:val="center"/>
          </w:tcPr>
          <w:p w14:paraId="28B4026B" w14:textId="77777777" w:rsidR="00305101" w:rsidRPr="00067F58" w:rsidRDefault="00305101" w:rsidP="001A4A51">
            <w:pPr>
              <w:pStyle w:val="E3TableHeading"/>
            </w:pPr>
            <w:r w:rsidRPr="00067F58">
              <w:t>&lt;1,500 and ≥400</w:t>
            </w:r>
          </w:p>
        </w:tc>
        <w:tc>
          <w:tcPr>
            <w:tcW w:w="1304" w:type="dxa"/>
            <w:shd w:val="clear" w:color="auto" w:fill="0C0C0C"/>
            <w:vAlign w:val="center"/>
          </w:tcPr>
          <w:p w14:paraId="1CCD8735" w14:textId="77777777" w:rsidR="00305101" w:rsidRPr="00067F58" w:rsidRDefault="00305101" w:rsidP="001A4A51">
            <w:pPr>
              <w:pStyle w:val="E3TableHeading"/>
            </w:pPr>
            <w:r w:rsidRPr="00067F58">
              <w:t>&lt;400</w:t>
            </w:r>
          </w:p>
        </w:tc>
      </w:tr>
      <w:tr w:rsidR="00305101" w:rsidRPr="00067F58" w14:paraId="2AFAACCD" w14:textId="77777777" w:rsidTr="002060E2">
        <w:tc>
          <w:tcPr>
            <w:tcW w:w="2410" w:type="dxa"/>
            <w:vAlign w:val="bottom"/>
          </w:tcPr>
          <w:p w14:paraId="18D03F28"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Coles-Bi Lo</w:t>
            </w:r>
          </w:p>
        </w:tc>
        <w:tc>
          <w:tcPr>
            <w:tcW w:w="1393" w:type="dxa"/>
            <w:vAlign w:val="bottom"/>
          </w:tcPr>
          <w:p w14:paraId="081390F7"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762</w:t>
            </w:r>
          </w:p>
        </w:tc>
        <w:tc>
          <w:tcPr>
            <w:tcW w:w="1442" w:type="dxa"/>
            <w:vAlign w:val="bottom"/>
          </w:tcPr>
          <w:p w14:paraId="71AD0661"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152</w:t>
            </w:r>
          </w:p>
        </w:tc>
        <w:tc>
          <w:tcPr>
            <w:tcW w:w="1588" w:type="dxa"/>
            <w:vAlign w:val="bottom"/>
          </w:tcPr>
          <w:p w14:paraId="15DAAF5A"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381</w:t>
            </w:r>
          </w:p>
        </w:tc>
        <w:tc>
          <w:tcPr>
            <w:tcW w:w="1389" w:type="dxa"/>
            <w:vAlign w:val="bottom"/>
          </w:tcPr>
          <w:p w14:paraId="0185C9C5"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229</w:t>
            </w:r>
          </w:p>
        </w:tc>
        <w:tc>
          <w:tcPr>
            <w:tcW w:w="1304" w:type="dxa"/>
            <w:vAlign w:val="bottom"/>
          </w:tcPr>
          <w:p w14:paraId="049A3548"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0</w:t>
            </w:r>
          </w:p>
        </w:tc>
      </w:tr>
      <w:tr w:rsidR="00305101" w:rsidRPr="00067F58" w14:paraId="6D612434" w14:textId="77777777" w:rsidTr="002060E2">
        <w:tc>
          <w:tcPr>
            <w:tcW w:w="2410" w:type="dxa"/>
            <w:vAlign w:val="bottom"/>
          </w:tcPr>
          <w:p w14:paraId="6DC408CC"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Woolworths-Safeway</w:t>
            </w:r>
          </w:p>
        </w:tc>
        <w:tc>
          <w:tcPr>
            <w:tcW w:w="1393" w:type="dxa"/>
            <w:vAlign w:val="bottom"/>
          </w:tcPr>
          <w:p w14:paraId="1492703D"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920</w:t>
            </w:r>
          </w:p>
        </w:tc>
        <w:tc>
          <w:tcPr>
            <w:tcW w:w="1442" w:type="dxa"/>
            <w:vAlign w:val="bottom"/>
          </w:tcPr>
          <w:p w14:paraId="50E8823E"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184</w:t>
            </w:r>
          </w:p>
        </w:tc>
        <w:tc>
          <w:tcPr>
            <w:tcW w:w="1588" w:type="dxa"/>
            <w:vAlign w:val="bottom"/>
          </w:tcPr>
          <w:p w14:paraId="02D95334"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460</w:t>
            </w:r>
          </w:p>
        </w:tc>
        <w:tc>
          <w:tcPr>
            <w:tcW w:w="1389" w:type="dxa"/>
            <w:vAlign w:val="bottom"/>
          </w:tcPr>
          <w:p w14:paraId="66599AB9"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276</w:t>
            </w:r>
          </w:p>
        </w:tc>
        <w:tc>
          <w:tcPr>
            <w:tcW w:w="1304" w:type="dxa"/>
            <w:vAlign w:val="bottom"/>
          </w:tcPr>
          <w:p w14:paraId="1691AB31"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0</w:t>
            </w:r>
          </w:p>
        </w:tc>
      </w:tr>
      <w:tr w:rsidR="00305101" w:rsidRPr="00067F58" w14:paraId="59EADA1B" w14:textId="77777777" w:rsidTr="002060E2">
        <w:tc>
          <w:tcPr>
            <w:tcW w:w="2410" w:type="dxa"/>
            <w:vAlign w:val="bottom"/>
          </w:tcPr>
          <w:p w14:paraId="42B6E1F1"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Aldi</w:t>
            </w:r>
          </w:p>
        </w:tc>
        <w:tc>
          <w:tcPr>
            <w:tcW w:w="1393" w:type="dxa"/>
            <w:vAlign w:val="bottom"/>
          </w:tcPr>
          <w:p w14:paraId="7D06A88C"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339</w:t>
            </w:r>
          </w:p>
        </w:tc>
        <w:tc>
          <w:tcPr>
            <w:tcW w:w="1442" w:type="dxa"/>
            <w:vAlign w:val="bottom"/>
          </w:tcPr>
          <w:p w14:paraId="037D0670"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0</w:t>
            </w:r>
          </w:p>
        </w:tc>
        <w:tc>
          <w:tcPr>
            <w:tcW w:w="1588" w:type="dxa"/>
            <w:vAlign w:val="bottom"/>
          </w:tcPr>
          <w:p w14:paraId="6E6CA8AA"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0</w:t>
            </w:r>
          </w:p>
        </w:tc>
        <w:tc>
          <w:tcPr>
            <w:tcW w:w="1389" w:type="dxa"/>
            <w:vAlign w:val="bottom"/>
          </w:tcPr>
          <w:p w14:paraId="598F6184"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339</w:t>
            </w:r>
          </w:p>
        </w:tc>
        <w:tc>
          <w:tcPr>
            <w:tcW w:w="1304" w:type="dxa"/>
            <w:vAlign w:val="bottom"/>
          </w:tcPr>
          <w:p w14:paraId="6C9CE42F"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0</w:t>
            </w:r>
          </w:p>
        </w:tc>
      </w:tr>
      <w:tr w:rsidR="00305101" w:rsidRPr="00067F58" w14:paraId="728E2BB6" w14:textId="77777777" w:rsidTr="002060E2">
        <w:tc>
          <w:tcPr>
            <w:tcW w:w="2410" w:type="dxa"/>
            <w:vAlign w:val="bottom"/>
          </w:tcPr>
          <w:p w14:paraId="21BE218A"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IGA</w:t>
            </w:r>
          </w:p>
        </w:tc>
        <w:tc>
          <w:tcPr>
            <w:tcW w:w="1393" w:type="dxa"/>
            <w:vAlign w:val="bottom"/>
          </w:tcPr>
          <w:p w14:paraId="16197BE9"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1,393</w:t>
            </w:r>
          </w:p>
        </w:tc>
        <w:tc>
          <w:tcPr>
            <w:tcW w:w="1442" w:type="dxa"/>
            <w:vAlign w:val="bottom"/>
          </w:tcPr>
          <w:p w14:paraId="6AB345C6"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0</w:t>
            </w:r>
          </w:p>
        </w:tc>
        <w:tc>
          <w:tcPr>
            <w:tcW w:w="1588" w:type="dxa"/>
            <w:vAlign w:val="bottom"/>
          </w:tcPr>
          <w:p w14:paraId="7A88BC9B"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139</w:t>
            </w:r>
          </w:p>
        </w:tc>
        <w:tc>
          <w:tcPr>
            <w:tcW w:w="1389" w:type="dxa"/>
            <w:vAlign w:val="bottom"/>
          </w:tcPr>
          <w:p w14:paraId="6AB873ED"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1,114</w:t>
            </w:r>
          </w:p>
        </w:tc>
        <w:tc>
          <w:tcPr>
            <w:tcW w:w="1304" w:type="dxa"/>
            <w:vAlign w:val="bottom"/>
          </w:tcPr>
          <w:p w14:paraId="41444169"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139</w:t>
            </w:r>
          </w:p>
        </w:tc>
      </w:tr>
      <w:tr w:rsidR="00305101" w:rsidRPr="00067F58" w14:paraId="52CBDD71" w14:textId="77777777" w:rsidTr="002060E2">
        <w:tc>
          <w:tcPr>
            <w:tcW w:w="2410" w:type="dxa"/>
            <w:vAlign w:val="bottom"/>
          </w:tcPr>
          <w:p w14:paraId="532FEBC3"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IGA (Friendly Grocer/Eziway)</w:t>
            </w:r>
          </w:p>
        </w:tc>
        <w:tc>
          <w:tcPr>
            <w:tcW w:w="1393" w:type="dxa"/>
            <w:vAlign w:val="bottom"/>
          </w:tcPr>
          <w:p w14:paraId="70748169"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348</w:t>
            </w:r>
          </w:p>
        </w:tc>
        <w:tc>
          <w:tcPr>
            <w:tcW w:w="1442" w:type="dxa"/>
            <w:vAlign w:val="bottom"/>
          </w:tcPr>
          <w:p w14:paraId="409596BA"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0</w:t>
            </w:r>
          </w:p>
        </w:tc>
        <w:tc>
          <w:tcPr>
            <w:tcW w:w="1588" w:type="dxa"/>
            <w:vAlign w:val="bottom"/>
          </w:tcPr>
          <w:p w14:paraId="45C42188"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0</w:t>
            </w:r>
          </w:p>
        </w:tc>
        <w:tc>
          <w:tcPr>
            <w:tcW w:w="1389" w:type="dxa"/>
            <w:vAlign w:val="bottom"/>
          </w:tcPr>
          <w:p w14:paraId="10472E95"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0</w:t>
            </w:r>
          </w:p>
        </w:tc>
        <w:tc>
          <w:tcPr>
            <w:tcW w:w="1304" w:type="dxa"/>
            <w:vAlign w:val="bottom"/>
          </w:tcPr>
          <w:p w14:paraId="15D2CB3F"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348</w:t>
            </w:r>
          </w:p>
        </w:tc>
      </w:tr>
      <w:tr w:rsidR="00305101" w:rsidRPr="00067F58" w14:paraId="634BACA1" w14:textId="77777777" w:rsidTr="002060E2">
        <w:tc>
          <w:tcPr>
            <w:tcW w:w="2410" w:type="dxa"/>
            <w:vAlign w:val="bottom"/>
          </w:tcPr>
          <w:p w14:paraId="71FB22AC"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AUR-Foodland branded</w:t>
            </w:r>
          </w:p>
        </w:tc>
        <w:tc>
          <w:tcPr>
            <w:tcW w:w="1393" w:type="dxa"/>
            <w:vAlign w:val="bottom"/>
          </w:tcPr>
          <w:p w14:paraId="4A6E0C88"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439</w:t>
            </w:r>
          </w:p>
        </w:tc>
        <w:tc>
          <w:tcPr>
            <w:tcW w:w="1442" w:type="dxa"/>
            <w:vAlign w:val="bottom"/>
          </w:tcPr>
          <w:p w14:paraId="7AE3948B"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0</w:t>
            </w:r>
          </w:p>
        </w:tc>
        <w:tc>
          <w:tcPr>
            <w:tcW w:w="1588" w:type="dxa"/>
            <w:vAlign w:val="bottom"/>
          </w:tcPr>
          <w:p w14:paraId="07C6A238"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44</w:t>
            </w:r>
          </w:p>
        </w:tc>
        <w:tc>
          <w:tcPr>
            <w:tcW w:w="1389" w:type="dxa"/>
            <w:vAlign w:val="bottom"/>
          </w:tcPr>
          <w:p w14:paraId="6A49EC6C"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263</w:t>
            </w:r>
          </w:p>
        </w:tc>
        <w:tc>
          <w:tcPr>
            <w:tcW w:w="1304" w:type="dxa"/>
            <w:vAlign w:val="bottom"/>
          </w:tcPr>
          <w:p w14:paraId="30FFE046"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132</w:t>
            </w:r>
          </w:p>
        </w:tc>
      </w:tr>
      <w:tr w:rsidR="00305101" w:rsidRPr="00067F58" w14:paraId="698295FC" w14:textId="77777777" w:rsidTr="002060E2">
        <w:tc>
          <w:tcPr>
            <w:tcW w:w="2410" w:type="dxa"/>
            <w:vAlign w:val="bottom"/>
          </w:tcPr>
          <w:p w14:paraId="692A761A"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AUR-Foodland (un-branded)</w:t>
            </w:r>
          </w:p>
        </w:tc>
        <w:tc>
          <w:tcPr>
            <w:tcW w:w="1393" w:type="dxa"/>
            <w:vAlign w:val="bottom"/>
          </w:tcPr>
          <w:p w14:paraId="1D01A694"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179</w:t>
            </w:r>
          </w:p>
        </w:tc>
        <w:tc>
          <w:tcPr>
            <w:tcW w:w="1442" w:type="dxa"/>
            <w:vAlign w:val="bottom"/>
          </w:tcPr>
          <w:p w14:paraId="63603B27"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0</w:t>
            </w:r>
          </w:p>
        </w:tc>
        <w:tc>
          <w:tcPr>
            <w:tcW w:w="1588" w:type="dxa"/>
            <w:vAlign w:val="bottom"/>
          </w:tcPr>
          <w:p w14:paraId="7DCA3AA1"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0</w:t>
            </w:r>
          </w:p>
        </w:tc>
        <w:tc>
          <w:tcPr>
            <w:tcW w:w="1389" w:type="dxa"/>
            <w:vAlign w:val="bottom"/>
          </w:tcPr>
          <w:p w14:paraId="52382F2B"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0</w:t>
            </w:r>
          </w:p>
        </w:tc>
        <w:tc>
          <w:tcPr>
            <w:tcW w:w="1304" w:type="dxa"/>
            <w:vAlign w:val="bottom"/>
          </w:tcPr>
          <w:p w14:paraId="5076680D"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179</w:t>
            </w:r>
          </w:p>
        </w:tc>
      </w:tr>
      <w:tr w:rsidR="00305101" w:rsidRPr="00067F58" w14:paraId="3AF4F2F6" w14:textId="77777777" w:rsidTr="002060E2">
        <w:tc>
          <w:tcPr>
            <w:tcW w:w="2410" w:type="dxa"/>
            <w:vAlign w:val="bottom"/>
          </w:tcPr>
          <w:p w14:paraId="51C0C787"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Costco</w:t>
            </w:r>
          </w:p>
        </w:tc>
        <w:tc>
          <w:tcPr>
            <w:tcW w:w="1393" w:type="dxa"/>
            <w:vAlign w:val="bottom"/>
          </w:tcPr>
          <w:p w14:paraId="6BB35DDB"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6</w:t>
            </w:r>
          </w:p>
        </w:tc>
        <w:tc>
          <w:tcPr>
            <w:tcW w:w="1442" w:type="dxa"/>
            <w:vAlign w:val="bottom"/>
          </w:tcPr>
          <w:p w14:paraId="5B249644"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6</w:t>
            </w:r>
          </w:p>
        </w:tc>
        <w:tc>
          <w:tcPr>
            <w:tcW w:w="1588" w:type="dxa"/>
            <w:vAlign w:val="bottom"/>
          </w:tcPr>
          <w:p w14:paraId="25A58459"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0</w:t>
            </w:r>
          </w:p>
        </w:tc>
        <w:tc>
          <w:tcPr>
            <w:tcW w:w="1389" w:type="dxa"/>
            <w:vAlign w:val="bottom"/>
          </w:tcPr>
          <w:p w14:paraId="59D31569"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0</w:t>
            </w:r>
          </w:p>
        </w:tc>
        <w:tc>
          <w:tcPr>
            <w:tcW w:w="1304" w:type="dxa"/>
            <w:vAlign w:val="bottom"/>
          </w:tcPr>
          <w:p w14:paraId="11E93723"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0</w:t>
            </w:r>
          </w:p>
        </w:tc>
      </w:tr>
      <w:tr w:rsidR="00305101" w:rsidRPr="00067F58" w14:paraId="4A70C481" w14:textId="77777777" w:rsidTr="002060E2">
        <w:tc>
          <w:tcPr>
            <w:tcW w:w="2410" w:type="dxa"/>
            <w:vAlign w:val="bottom"/>
          </w:tcPr>
          <w:p w14:paraId="62199883"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SPAR</w:t>
            </w:r>
          </w:p>
        </w:tc>
        <w:tc>
          <w:tcPr>
            <w:tcW w:w="1393" w:type="dxa"/>
            <w:vAlign w:val="bottom"/>
          </w:tcPr>
          <w:p w14:paraId="0AFCCEEE"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135</w:t>
            </w:r>
          </w:p>
        </w:tc>
        <w:tc>
          <w:tcPr>
            <w:tcW w:w="1442" w:type="dxa"/>
            <w:vAlign w:val="bottom"/>
          </w:tcPr>
          <w:p w14:paraId="1F9B452C"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0</w:t>
            </w:r>
          </w:p>
        </w:tc>
        <w:tc>
          <w:tcPr>
            <w:tcW w:w="1588" w:type="dxa"/>
            <w:vAlign w:val="bottom"/>
          </w:tcPr>
          <w:p w14:paraId="22B9721E"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0</w:t>
            </w:r>
          </w:p>
        </w:tc>
        <w:tc>
          <w:tcPr>
            <w:tcW w:w="1389" w:type="dxa"/>
            <w:vAlign w:val="bottom"/>
          </w:tcPr>
          <w:p w14:paraId="3F5BA72A"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27</w:t>
            </w:r>
          </w:p>
        </w:tc>
        <w:tc>
          <w:tcPr>
            <w:tcW w:w="1304" w:type="dxa"/>
            <w:vAlign w:val="bottom"/>
          </w:tcPr>
          <w:p w14:paraId="3A28CDED"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108</w:t>
            </w:r>
          </w:p>
        </w:tc>
      </w:tr>
      <w:tr w:rsidR="00305101" w:rsidRPr="00067F58" w14:paraId="0E75B403" w14:textId="77777777" w:rsidTr="002060E2">
        <w:tc>
          <w:tcPr>
            <w:tcW w:w="2410" w:type="dxa"/>
            <w:vAlign w:val="bottom"/>
          </w:tcPr>
          <w:p w14:paraId="632F66AC"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Convenience stores</w:t>
            </w:r>
          </w:p>
        </w:tc>
        <w:tc>
          <w:tcPr>
            <w:tcW w:w="1393" w:type="dxa"/>
            <w:vAlign w:val="bottom"/>
          </w:tcPr>
          <w:p w14:paraId="2C82BE36"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5,992</w:t>
            </w:r>
          </w:p>
        </w:tc>
        <w:tc>
          <w:tcPr>
            <w:tcW w:w="1442" w:type="dxa"/>
            <w:vAlign w:val="bottom"/>
          </w:tcPr>
          <w:p w14:paraId="2EC7DC69"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0</w:t>
            </w:r>
          </w:p>
        </w:tc>
        <w:tc>
          <w:tcPr>
            <w:tcW w:w="1588" w:type="dxa"/>
            <w:vAlign w:val="bottom"/>
          </w:tcPr>
          <w:p w14:paraId="445F63DD"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0</w:t>
            </w:r>
          </w:p>
        </w:tc>
        <w:tc>
          <w:tcPr>
            <w:tcW w:w="1389" w:type="dxa"/>
            <w:vAlign w:val="bottom"/>
          </w:tcPr>
          <w:p w14:paraId="1A86E636"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0</w:t>
            </w:r>
          </w:p>
        </w:tc>
        <w:tc>
          <w:tcPr>
            <w:tcW w:w="1304" w:type="dxa"/>
            <w:vAlign w:val="bottom"/>
          </w:tcPr>
          <w:p w14:paraId="443A5FB0"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5,992</w:t>
            </w:r>
          </w:p>
        </w:tc>
      </w:tr>
      <w:tr w:rsidR="00305101" w:rsidRPr="00067F58" w14:paraId="567C5B01" w14:textId="77777777" w:rsidTr="002060E2">
        <w:tc>
          <w:tcPr>
            <w:tcW w:w="2410" w:type="dxa"/>
            <w:vAlign w:val="bottom"/>
          </w:tcPr>
          <w:p w14:paraId="54879F18" w14:textId="77777777" w:rsidR="00305101" w:rsidRPr="0041262C" w:rsidRDefault="00305101" w:rsidP="002060E2">
            <w:pPr>
              <w:pStyle w:val="E3tabletext1"/>
              <w:jc w:val="both"/>
              <w:rPr>
                <w:rFonts w:ascii="Helvetica" w:hAnsi="Helvetica" w:cs="Helvetica"/>
                <w:sz w:val="15"/>
                <w:szCs w:val="15"/>
              </w:rPr>
            </w:pPr>
          </w:p>
        </w:tc>
        <w:tc>
          <w:tcPr>
            <w:tcW w:w="1393" w:type="dxa"/>
            <w:vAlign w:val="bottom"/>
          </w:tcPr>
          <w:p w14:paraId="71EF4AE9" w14:textId="77777777" w:rsidR="00305101" w:rsidRPr="0041262C" w:rsidRDefault="00305101" w:rsidP="002060E2">
            <w:pPr>
              <w:pStyle w:val="E3tabletext1"/>
              <w:jc w:val="both"/>
              <w:rPr>
                <w:rFonts w:ascii="Helvetica" w:hAnsi="Helvetica" w:cs="Helvetica"/>
                <w:sz w:val="15"/>
                <w:szCs w:val="15"/>
              </w:rPr>
            </w:pPr>
          </w:p>
        </w:tc>
        <w:tc>
          <w:tcPr>
            <w:tcW w:w="1442" w:type="dxa"/>
            <w:vAlign w:val="bottom"/>
          </w:tcPr>
          <w:p w14:paraId="0419BBC4"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b/>
                <w:sz w:val="15"/>
                <w:szCs w:val="15"/>
              </w:rPr>
              <w:t>342</w:t>
            </w:r>
          </w:p>
        </w:tc>
        <w:tc>
          <w:tcPr>
            <w:tcW w:w="1588" w:type="dxa"/>
            <w:vAlign w:val="bottom"/>
          </w:tcPr>
          <w:p w14:paraId="6A451010"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b/>
                <w:sz w:val="15"/>
                <w:szCs w:val="15"/>
              </w:rPr>
              <w:t>1,024</w:t>
            </w:r>
          </w:p>
        </w:tc>
        <w:tc>
          <w:tcPr>
            <w:tcW w:w="1389" w:type="dxa"/>
            <w:vAlign w:val="bottom"/>
          </w:tcPr>
          <w:p w14:paraId="7686290D"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b/>
                <w:sz w:val="15"/>
                <w:szCs w:val="15"/>
              </w:rPr>
              <w:t>2,248</w:t>
            </w:r>
          </w:p>
        </w:tc>
        <w:tc>
          <w:tcPr>
            <w:tcW w:w="1304" w:type="dxa"/>
            <w:vAlign w:val="bottom"/>
          </w:tcPr>
          <w:p w14:paraId="13E1BF80"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b/>
                <w:sz w:val="15"/>
                <w:szCs w:val="15"/>
              </w:rPr>
              <w:t>6,898</w:t>
            </w:r>
          </w:p>
        </w:tc>
      </w:tr>
    </w:tbl>
    <w:p w14:paraId="7BBC1678" w14:textId="77777777" w:rsidR="00305101" w:rsidRDefault="00305101" w:rsidP="00305101">
      <w:pPr>
        <w:pStyle w:val="E3Caption"/>
        <w:jc w:val="both"/>
      </w:pPr>
      <w:r>
        <w:t>(Sources: WF 2014, WW 2014, MET 2014, and industry informants)</w:t>
      </w:r>
    </w:p>
    <w:p w14:paraId="79B6E304" w14:textId="77777777" w:rsidR="00305101" w:rsidRPr="001C4112" w:rsidRDefault="00305101" w:rsidP="00305101">
      <w:pPr>
        <w:pStyle w:val="E3Caption"/>
        <w:numPr>
          <w:ilvl w:val="0"/>
          <w:numId w:val="45"/>
        </w:numPr>
        <w:spacing w:before="60" w:after="120"/>
        <w:jc w:val="both"/>
      </w:pPr>
      <w:r w:rsidRPr="001C4112">
        <w:t>Dissection of trading floor is estimated following discussions with industry informants.</w:t>
      </w:r>
    </w:p>
    <w:p w14:paraId="7830002B" w14:textId="77777777" w:rsidR="00305101" w:rsidRDefault="00305101" w:rsidP="00305101">
      <w:pPr>
        <w:pStyle w:val="E3BodyText"/>
      </w:pPr>
    </w:p>
    <w:p w14:paraId="64836B3A" w14:textId="77777777" w:rsidR="00305101" w:rsidRPr="00AC7259" w:rsidRDefault="00305101" w:rsidP="00305101">
      <w:pPr>
        <w:pStyle w:val="E3BodyText"/>
      </w:pPr>
      <w:r w:rsidRPr="00AC7259">
        <w:t xml:space="preserve">The </w:t>
      </w:r>
      <w:r>
        <w:t xml:space="preserve">Australian </w:t>
      </w:r>
      <w:r w:rsidRPr="00AC7259">
        <w:t xml:space="preserve">supermarket industry </w:t>
      </w:r>
      <w:r>
        <w:t>accounts for around 25% of all cabinets. These are of</w:t>
      </w:r>
      <w:r w:rsidRPr="00AC7259">
        <w:t xml:space="preserve"> a wide variety with an estimated 116,000 remote display cabinets and 70,000 integral. </w:t>
      </w:r>
      <w:r>
        <w:t xml:space="preserve">It is </w:t>
      </w:r>
      <w:r>
        <w:lastRenderedPageBreak/>
        <w:t xml:space="preserve">estimated that in </w:t>
      </w:r>
      <w:r w:rsidRPr="00AC7259">
        <w:t xml:space="preserve">convenience stores there </w:t>
      </w:r>
      <w:r>
        <w:t xml:space="preserve">are </w:t>
      </w:r>
      <w:r w:rsidRPr="00AC7259">
        <w:t>6,000 remote display cabinets and 65,000 integral.</w:t>
      </w:r>
    </w:p>
    <w:p w14:paraId="20B588C8" w14:textId="77C0457E" w:rsidR="00305101" w:rsidRDefault="00305101" w:rsidP="00305101">
      <w:pPr>
        <w:pStyle w:val="E3BodyText"/>
      </w:pPr>
      <w:r w:rsidRPr="00AC7259">
        <w:t xml:space="preserve">The number of small food retail outlets is summarised in </w:t>
      </w:r>
      <w:r w:rsidRPr="00AC7259">
        <w:rPr>
          <w:b/>
        </w:rPr>
        <w:fldChar w:fldCharType="begin"/>
      </w:r>
      <w:r w:rsidRPr="00AC7259">
        <w:rPr>
          <w:b/>
        </w:rPr>
        <w:instrText xml:space="preserve"> REF _Ref450032354 \h  \* MERGEFORMAT </w:instrText>
      </w:r>
      <w:r w:rsidRPr="00AC7259">
        <w:rPr>
          <w:b/>
        </w:rPr>
      </w:r>
      <w:r w:rsidRPr="00AC7259">
        <w:rPr>
          <w:b/>
        </w:rPr>
        <w:fldChar w:fldCharType="separate"/>
      </w:r>
      <w:r w:rsidR="00D51B4B" w:rsidRPr="00D51B4B">
        <w:rPr>
          <w:b/>
        </w:rPr>
        <w:t>Table B2</w:t>
      </w:r>
      <w:r w:rsidRPr="00AC7259">
        <w:rPr>
          <w:b/>
        </w:rPr>
        <w:fldChar w:fldCharType="end"/>
      </w:r>
      <w:r w:rsidRPr="00AC7259">
        <w:t xml:space="preserve"> below. In each sector there are some large businesses that have multiple outlets and larger fleets of equipment. For example</w:t>
      </w:r>
      <w:r>
        <w:t>,</w:t>
      </w:r>
      <w:r w:rsidRPr="00AC7259">
        <w:t xml:space="preserve"> Woolworths has 345 freestanding liquor outlets (including Dan Murphy’s) and 534 ALH Retail liquor outlets (including BWS); Coles liquor has 98 1</w:t>
      </w:r>
      <w:r w:rsidRPr="00AC7259">
        <w:rPr>
          <w:vertAlign w:val="superscript"/>
        </w:rPr>
        <w:t>st</w:t>
      </w:r>
      <w:r w:rsidRPr="00AC7259">
        <w:t xml:space="preserve"> Choice, 78 Vintage Cellars and 648 Liquorland; and IGA-Metcash have 2,262 liquor outlets (including Cellarbrations, Bottle-O, Club Partners, Liquor @ and 457 liquor outlets branded IGA Liquor). </w:t>
      </w:r>
    </w:p>
    <w:p w14:paraId="6F4D2C08" w14:textId="77777777" w:rsidR="00305101" w:rsidRPr="00AC7259" w:rsidRDefault="00305101" w:rsidP="00305101">
      <w:pPr>
        <w:pStyle w:val="E3BodyText"/>
      </w:pPr>
      <w:r w:rsidRPr="00AC7259">
        <w:t>A wide variety of refrigeration equipment can be found in liquor outlets, for example some may contain as many as 15 integral units whilst others may have a walk-in cool</w:t>
      </w:r>
      <w:r>
        <w:t xml:space="preserve"> </w:t>
      </w:r>
      <w:r w:rsidRPr="00AC7259">
        <w:t>room with glass doors or panels plus 4 or more Glass Door Merchandisers and sometimes open multi</w:t>
      </w:r>
      <w:r>
        <w:t>-</w:t>
      </w:r>
      <w:r w:rsidRPr="00AC7259">
        <w:t xml:space="preserve">deck cases. If </w:t>
      </w:r>
      <w:r>
        <w:t xml:space="preserve">it is </w:t>
      </w:r>
      <w:r w:rsidRPr="00AC7259">
        <w:t>assume</w:t>
      </w:r>
      <w:r>
        <w:t>d that</w:t>
      </w:r>
      <w:r w:rsidRPr="00AC7259">
        <w:t xml:space="preserve"> the average liquor outlet has </w:t>
      </w:r>
      <w:r>
        <w:t>one</w:t>
      </w:r>
      <w:r w:rsidRPr="00AC7259">
        <w:t xml:space="preserve"> remote display cabinet and </w:t>
      </w:r>
      <w:r>
        <w:t>six</w:t>
      </w:r>
      <w:r w:rsidRPr="00AC7259">
        <w:t xml:space="preserve"> integrals over 4,000 liquor outlets</w:t>
      </w:r>
      <w:r>
        <w:t>,</w:t>
      </w:r>
      <w:r w:rsidRPr="00AC7259">
        <w:t xml:space="preserve"> this equates to around 4,000 remote and 24,000 integral display cabinets.</w:t>
      </w:r>
    </w:p>
    <w:p w14:paraId="3A5268C4" w14:textId="77EFC75D" w:rsidR="00305101" w:rsidRPr="00AC7259" w:rsidRDefault="00305101" w:rsidP="00305101">
      <w:pPr>
        <w:pStyle w:val="E3BodyText"/>
      </w:pPr>
      <w:r w:rsidRPr="00AC7259">
        <w:t>Fresh meat, fish and poultry retailing will store most of their produce in coo</w:t>
      </w:r>
      <w:r>
        <w:t>l rooms, and may typically have two to four</w:t>
      </w:r>
      <w:r w:rsidRPr="00AC7259">
        <w:t xml:space="preserve"> integral display cabinets, equating to around 17,000 integral display cabinets as well as some remote units and storage cabinets. Other food retail</w:t>
      </w:r>
      <w:r>
        <w:t>ers</w:t>
      </w:r>
      <w:r w:rsidRPr="00AC7259">
        <w:t xml:space="preserve"> have much smaller requirements for display cabinets and account for a further 7,000 integral display cabinets.</w:t>
      </w:r>
    </w:p>
    <w:p w14:paraId="068A00E5" w14:textId="5515B6A3" w:rsidR="00305101" w:rsidRPr="00C56DE6" w:rsidRDefault="00A46E34" w:rsidP="00305101">
      <w:pPr>
        <w:pStyle w:val="E3TableTitles"/>
        <w:rPr>
          <w:i/>
        </w:rPr>
      </w:pPr>
      <w:bookmarkStart w:id="301" w:name="_Ref450032354"/>
      <w:bookmarkStart w:id="302" w:name="_Toc449708974"/>
      <w:bookmarkStart w:id="303" w:name="_Toc456164730"/>
      <w:bookmarkStart w:id="304" w:name="_Toc500159671"/>
      <w:r>
        <w:t>Table B</w:t>
      </w:r>
      <w:r w:rsidR="00305101">
        <w:fldChar w:fldCharType="begin"/>
      </w:r>
      <w:r w:rsidR="00305101">
        <w:instrText xml:space="preserve"> SEQ Table_B \* ARABIC </w:instrText>
      </w:r>
      <w:r w:rsidR="00305101">
        <w:fldChar w:fldCharType="separate"/>
      </w:r>
      <w:r w:rsidR="00D51B4B">
        <w:rPr>
          <w:noProof/>
        </w:rPr>
        <w:t>2</w:t>
      </w:r>
      <w:r w:rsidR="00305101">
        <w:rPr>
          <w:noProof/>
        </w:rPr>
        <w:fldChar w:fldCharType="end"/>
      </w:r>
      <w:bookmarkEnd w:id="301"/>
      <w:r w:rsidR="00305101" w:rsidRPr="00C56DE6">
        <w:t>: ABS count of small retail food and liquor retailing businesses in Australia.</w:t>
      </w:r>
      <w:bookmarkEnd w:id="302"/>
      <w:bookmarkEnd w:id="303"/>
      <w:bookmarkEnd w:id="304"/>
      <w:r w:rsidR="00305101" w:rsidRPr="00C56DE6">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701"/>
        <w:gridCol w:w="1559"/>
        <w:gridCol w:w="1418"/>
        <w:gridCol w:w="1417"/>
      </w:tblGrid>
      <w:tr w:rsidR="00305101" w14:paraId="1F0BC6E3" w14:textId="77777777" w:rsidTr="002060E2">
        <w:tc>
          <w:tcPr>
            <w:tcW w:w="3544" w:type="dxa"/>
            <w:vMerge w:val="restart"/>
            <w:shd w:val="clear" w:color="auto" w:fill="0C0C0C"/>
            <w:vAlign w:val="center"/>
          </w:tcPr>
          <w:p w14:paraId="775114EC" w14:textId="77777777" w:rsidR="00305101" w:rsidRPr="009C11BC" w:rsidRDefault="00305101" w:rsidP="002060E2">
            <w:pPr>
              <w:pStyle w:val="E3TableHeading"/>
              <w:jc w:val="both"/>
            </w:pPr>
          </w:p>
        </w:tc>
        <w:tc>
          <w:tcPr>
            <w:tcW w:w="4678" w:type="dxa"/>
            <w:gridSpan w:val="3"/>
            <w:shd w:val="clear" w:color="auto" w:fill="0C0C0C"/>
            <w:vAlign w:val="center"/>
          </w:tcPr>
          <w:p w14:paraId="7C9CA9BA" w14:textId="77777777" w:rsidR="00305101" w:rsidRPr="009C11BC" w:rsidRDefault="00305101" w:rsidP="002060E2">
            <w:pPr>
              <w:pStyle w:val="E3TableHeading"/>
              <w:jc w:val="both"/>
            </w:pPr>
            <w:r>
              <w:t>Sum of e</w:t>
            </w:r>
            <w:r w:rsidRPr="009C11BC">
              <w:t>mployees</w:t>
            </w:r>
            <w:r>
              <w:t xml:space="preserve"> in business</w:t>
            </w:r>
          </w:p>
        </w:tc>
        <w:tc>
          <w:tcPr>
            <w:tcW w:w="1417" w:type="dxa"/>
            <w:vMerge w:val="restart"/>
            <w:shd w:val="clear" w:color="auto" w:fill="0C0C0C"/>
            <w:vAlign w:val="center"/>
          </w:tcPr>
          <w:p w14:paraId="2128387D" w14:textId="77777777" w:rsidR="00305101" w:rsidRPr="009C11BC" w:rsidRDefault="00305101" w:rsidP="002060E2">
            <w:pPr>
              <w:pStyle w:val="E3TableHeading"/>
              <w:jc w:val="both"/>
            </w:pPr>
            <w:r w:rsidRPr="009C11BC">
              <w:t>Totals</w:t>
            </w:r>
          </w:p>
        </w:tc>
      </w:tr>
      <w:tr w:rsidR="00305101" w14:paraId="7D80E469" w14:textId="77777777" w:rsidTr="002060E2">
        <w:tc>
          <w:tcPr>
            <w:tcW w:w="3544" w:type="dxa"/>
            <w:vMerge/>
            <w:shd w:val="clear" w:color="auto" w:fill="0C0C0C"/>
            <w:vAlign w:val="center"/>
          </w:tcPr>
          <w:p w14:paraId="21D9C424" w14:textId="77777777" w:rsidR="00305101" w:rsidRPr="009C11BC" w:rsidRDefault="00305101" w:rsidP="002060E2">
            <w:pPr>
              <w:pStyle w:val="E3tabletext1"/>
              <w:jc w:val="both"/>
            </w:pPr>
          </w:p>
        </w:tc>
        <w:tc>
          <w:tcPr>
            <w:tcW w:w="1701" w:type="dxa"/>
            <w:shd w:val="clear" w:color="auto" w:fill="0C0C0C"/>
            <w:vAlign w:val="center"/>
          </w:tcPr>
          <w:p w14:paraId="3A464C1B" w14:textId="77777777" w:rsidR="00305101" w:rsidRPr="009C11BC" w:rsidRDefault="00305101" w:rsidP="002060E2">
            <w:pPr>
              <w:pStyle w:val="E3tabletext1"/>
              <w:jc w:val="both"/>
            </w:pPr>
            <w:r>
              <w:t>1 to 19</w:t>
            </w:r>
          </w:p>
        </w:tc>
        <w:tc>
          <w:tcPr>
            <w:tcW w:w="1559" w:type="dxa"/>
            <w:shd w:val="clear" w:color="auto" w:fill="0C0C0C"/>
            <w:vAlign w:val="center"/>
          </w:tcPr>
          <w:p w14:paraId="35E27609" w14:textId="77777777" w:rsidR="00305101" w:rsidRPr="009C11BC" w:rsidRDefault="00305101" w:rsidP="002060E2">
            <w:pPr>
              <w:pStyle w:val="E3tabletext1"/>
              <w:jc w:val="both"/>
            </w:pPr>
            <w:r>
              <w:t>20 to 199</w:t>
            </w:r>
          </w:p>
        </w:tc>
        <w:tc>
          <w:tcPr>
            <w:tcW w:w="1418" w:type="dxa"/>
            <w:shd w:val="clear" w:color="auto" w:fill="0C0C0C"/>
            <w:vAlign w:val="center"/>
          </w:tcPr>
          <w:p w14:paraId="4BD70306" w14:textId="77777777" w:rsidR="00305101" w:rsidRPr="009C11BC" w:rsidRDefault="00305101" w:rsidP="002060E2">
            <w:pPr>
              <w:pStyle w:val="E3tabletext1"/>
              <w:jc w:val="both"/>
            </w:pPr>
            <w:r>
              <w:t>200 plus</w:t>
            </w:r>
          </w:p>
        </w:tc>
        <w:tc>
          <w:tcPr>
            <w:tcW w:w="1417" w:type="dxa"/>
            <w:vMerge/>
            <w:shd w:val="clear" w:color="auto" w:fill="0C0C0C"/>
            <w:vAlign w:val="center"/>
          </w:tcPr>
          <w:p w14:paraId="129BC929" w14:textId="77777777" w:rsidR="00305101" w:rsidRPr="009C11BC" w:rsidRDefault="00305101" w:rsidP="002060E2">
            <w:pPr>
              <w:pStyle w:val="E3tabletext1"/>
              <w:jc w:val="both"/>
            </w:pPr>
          </w:p>
        </w:tc>
      </w:tr>
      <w:tr w:rsidR="00305101" w:rsidRPr="001312BC" w14:paraId="093F650C" w14:textId="77777777" w:rsidTr="002060E2">
        <w:tc>
          <w:tcPr>
            <w:tcW w:w="3544" w:type="dxa"/>
            <w:vAlign w:val="center"/>
          </w:tcPr>
          <w:p w14:paraId="54C78B07" w14:textId="77777777" w:rsidR="00305101" w:rsidRPr="001312BC" w:rsidRDefault="00305101" w:rsidP="002060E2">
            <w:pPr>
              <w:pStyle w:val="E3tabletext1"/>
              <w:jc w:val="both"/>
            </w:pPr>
            <w:r w:rsidRPr="001312BC">
              <w:t>Fresh meat, fish and poultry retailing</w:t>
            </w:r>
          </w:p>
        </w:tc>
        <w:tc>
          <w:tcPr>
            <w:tcW w:w="1701" w:type="dxa"/>
            <w:vAlign w:val="bottom"/>
          </w:tcPr>
          <w:p w14:paraId="062D6131" w14:textId="77777777" w:rsidR="00305101" w:rsidRPr="001312BC" w:rsidRDefault="00305101" w:rsidP="002060E2">
            <w:pPr>
              <w:pStyle w:val="E3tabletext1"/>
              <w:jc w:val="both"/>
            </w:pPr>
            <w:r w:rsidRPr="001312BC">
              <w:t>3</w:t>
            </w:r>
            <w:r>
              <w:t>,</w:t>
            </w:r>
            <w:r w:rsidRPr="001312BC">
              <w:t>534</w:t>
            </w:r>
          </w:p>
        </w:tc>
        <w:tc>
          <w:tcPr>
            <w:tcW w:w="1559" w:type="dxa"/>
            <w:vAlign w:val="bottom"/>
          </w:tcPr>
          <w:p w14:paraId="15F63985" w14:textId="77777777" w:rsidR="00305101" w:rsidRPr="001312BC" w:rsidRDefault="00305101" w:rsidP="002060E2">
            <w:pPr>
              <w:pStyle w:val="E3tabletext1"/>
              <w:jc w:val="both"/>
            </w:pPr>
            <w:r w:rsidRPr="001312BC">
              <w:t>154</w:t>
            </w:r>
          </w:p>
        </w:tc>
        <w:tc>
          <w:tcPr>
            <w:tcW w:w="1418" w:type="dxa"/>
            <w:vAlign w:val="bottom"/>
          </w:tcPr>
          <w:p w14:paraId="220956F2" w14:textId="77777777" w:rsidR="00305101" w:rsidRPr="001312BC" w:rsidRDefault="00305101" w:rsidP="002060E2">
            <w:pPr>
              <w:pStyle w:val="E3tabletext1"/>
              <w:jc w:val="both"/>
            </w:pPr>
            <w:r w:rsidRPr="001312BC">
              <w:t>6</w:t>
            </w:r>
          </w:p>
        </w:tc>
        <w:tc>
          <w:tcPr>
            <w:tcW w:w="1417" w:type="dxa"/>
            <w:vAlign w:val="bottom"/>
          </w:tcPr>
          <w:p w14:paraId="5B593B28" w14:textId="77777777" w:rsidR="00305101" w:rsidRPr="001312BC" w:rsidRDefault="00305101" w:rsidP="002060E2">
            <w:pPr>
              <w:pStyle w:val="E3tabletext1"/>
              <w:jc w:val="both"/>
            </w:pPr>
            <w:r w:rsidRPr="001312BC">
              <w:t>3</w:t>
            </w:r>
            <w:r>
              <w:t>,</w:t>
            </w:r>
            <w:r w:rsidRPr="001312BC">
              <w:t>694</w:t>
            </w:r>
          </w:p>
        </w:tc>
      </w:tr>
      <w:tr w:rsidR="00305101" w:rsidRPr="001312BC" w14:paraId="2B8635C4" w14:textId="77777777" w:rsidTr="002060E2">
        <w:tc>
          <w:tcPr>
            <w:tcW w:w="3544" w:type="dxa"/>
            <w:vAlign w:val="center"/>
          </w:tcPr>
          <w:p w14:paraId="601425F8" w14:textId="77777777" w:rsidR="00305101" w:rsidRPr="001312BC" w:rsidRDefault="00305101" w:rsidP="002060E2">
            <w:pPr>
              <w:pStyle w:val="E3tabletext1"/>
              <w:jc w:val="both"/>
            </w:pPr>
            <w:r w:rsidRPr="001312BC">
              <w:t>Fruit and vegetable retailing</w:t>
            </w:r>
          </w:p>
        </w:tc>
        <w:tc>
          <w:tcPr>
            <w:tcW w:w="1701" w:type="dxa"/>
            <w:vAlign w:val="bottom"/>
          </w:tcPr>
          <w:p w14:paraId="0001862C" w14:textId="77777777" w:rsidR="00305101" w:rsidRPr="001312BC" w:rsidRDefault="00305101" w:rsidP="002060E2">
            <w:pPr>
              <w:pStyle w:val="E3tabletext1"/>
              <w:jc w:val="both"/>
            </w:pPr>
            <w:r w:rsidRPr="001312BC">
              <w:t>1</w:t>
            </w:r>
            <w:r>
              <w:t>,</w:t>
            </w:r>
            <w:r w:rsidRPr="001312BC">
              <w:t>527</w:t>
            </w:r>
          </w:p>
        </w:tc>
        <w:tc>
          <w:tcPr>
            <w:tcW w:w="1559" w:type="dxa"/>
            <w:vAlign w:val="bottom"/>
          </w:tcPr>
          <w:p w14:paraId="5584E8C0" w14:textId="77777777" w:rsidR="00305101" w:rsidRPr="001312BC" w:rsidRDefault="00305101" w:rsidP="002060E2">
            <w:pPr>
              <w:pStyle w:val="E3tabletext1"/>
              <w:jc w:val="both"/>
            </w:pPr>
            <w:r w:rsidRPr="001312BC">
              <w:t>191</w:t>
            </w:r>
          </w:p>
        </w:tc>
        <w:tc>
          <w:tcPr>
            <w:tcW w:w="1418" w:type="dxa"/>
            <w:vAlign w:val="bottom"/>
          </w:tcPr>
          <w:p w14:paraId="66E1F261" w14:textId="77777777" w:rsidR="00305101" w:rsidRPr="001312BC" w:rsidRDefault="00305101" w:rsidP="002060E2">
            <w:pPr>
              <w:pStyle w:val="E3tabletext1"/>
              <w:jc w:val="both"/>
            </w:pPr>
            <w:r w:rsidRPr="001312BC">
              <w:t>0</w:t>
            </w:r>
          </w:p>
        </w:tc>
        <w:tc>
          <w:tcPr>
            <w:tcW w:w="1417" w:type="dxa"/>
            <w:vAlign w:val="bottom"/>
          </w:tcPr>
          <w:p w14:paraId="051C58C5" w14:textId="77777777" w:rsidR="00305101" w:rsidRPr="001312BC" w:rsidRDefault="00305101" w:rsidP="002060E2">
            <w:pPr>
              <w:pStyle w:val="E3tabletext1"/>
              <w:jc w:val="both"/>
            </w:pPr>
            <w:r w:rsidRPr="001312BC">
              <w:t>1</w:t>
            </w:r>
            <w:r>
              <w:t>,</w:t>
            </w:r>
            <w:r w:rsidRPr="001312BC">
              <w:t>718</w:t>
            </w:r>
          </w:p>
        </w:tc>
      </w:tr>
      <w:tr w:rsidR="00305101" w:rsidRPr="001312BC" w14:paraId="7C990C1F" w14:textId="77777777" w:rsidTr="002060E2">
        <w:tc>
          <w:tcPr>
            <w:tcW w:w="3544" w:type="dxa"/>
            <w:vAlign w:val="center"/>
          </w:tcPr>
          <w:p w14:paraId="56C95C85" w14:textId="77777777" w:rsidR="00305101" w:rsidRPr="001312BC" w:rsidRDefault="00305101" w:rsidP="002060E2">
            <w:pPr>
              <w:pStyle w:val="E3tabletext1"/>
              <w:jc w:val="both"/>
            </w:pPr>
            <w:r w:rsidRPr="001312BC">
              <w:t>Liquor retailing</w:t>
            </w:r>
          </w:p>
        </w:tc>
        <w:tc>
          <w:tcPr>
            <w:tcW w:w="1701" w:type="dxa"/>
            <w:vAlign w:val="bottom"/>
          </w:tcPr>
          <w:p w14:paraId="05EF3CA0" w14:textId="77777777" w:rsidR="00305101" w:rsidRPr="001312BC" w:rsidRDefault="00305101" w:rsidP="002060E2">
            <w:pPr>
              <w:pStyle w:val="E3tabletext1"/>
              <w:jc w:val="both"/>
            </w:pPr>
            <w:r w:rsidRPr="001312BC">
              <w:t>1</w:t>
            </w:r>
            <w:r>
              <w:t>,</w:t>
            </w:r>
            <w:r w:rsidRPr="001312BC">
              <w:t>341</w:t>
            </w:r>
          </w:p>
        </w:tc>
        <w:tc>
          <w:tcPr>
            <w:tcW w:w="1559" w:type="dxa"/>
            <w:vAlign w:val="bottom"/>
          </w:tcPr>
          <w:p w14:paraId="45F58597" w14:textId="77777777" w:rsidR="00305101" w:rsidRPr="001312BC" w:rsidRDefault="00305101" w:rsidP="002060E2">
            <w:pPr>
              <w:pStyle w:val="E3tabletext1"/>
              <w:jc w:val="both"/>
            </w:pPr>
            <w:r w:rsidRPr="001312BC">
              <w:t>116</w:t>
            </w:r>
          </w:p>
        </w:tc>
        <w:tc>
          <w:tcPr>
            <w:tcW w:w="1418" w:type="dxa"/>
            <w:vAlign w:val="bottom"/>
          </w:tcPr>
          <w:p w14:paraId="7712C5EC" w14:textId="77777777" w:rsidR="00305101" w:rsidRPr="001312BC" w:rsidRDefault="00305101" w:rsidP="002060E2">
            <w:pPr>
              <w:pStyle w:val="E3tabletext1"/>
              <w:jc w:val="both"/>
            </w:pPr>
            <w:r w:rsidRPr="001312BC">
              <w:t>6</w:t>
            </w:r>
          </w:p>
        </w:tc>
        <w:tc>
          <w:tcPr>
            <w:tcW w:w="1417" w:type="dxa"/>
            <w:vAlign w:val="bottom"/>
          </w:tcPr>
          <w:p w14:paraId="263FE74C" w14:textId="77777777" w:rsidR="00305101" w:rsidRPr="001312BC" w:rsidRDefault="00305101" w:rsidP="002060E2">
            <w:pPr>
              <w:pStyle w:val="E3tabletext1"/>
              <w:jc w:val="both"/>
            </w:pPr>
            <w:r w:rsidRPr="001312BC">
              <w:t>1</w:t>
            </w:r>
            <w:r>
              <w:t>,</w:t>
            </w:r>
            <w:r w:rsidRPr="001312BC">
              <w:t>463</w:t>
            </w:r>
          </w:p>
        </w:tc>
      </w:tr>
      <w:tr w:rsidR="00305101" w:rsidRPr="001312BC" w14:paraId="32C0B118" w14:textId="77777777" w:rsidTr="002060E2">
        <w:tc>
          <w:tcPr>
            <w:tcW w:w="3544" w:type="dxa"/>
            <w:vAlign w:val="center"/>
          </w:tcPr>
          <w:p w14:paraId="16730656" w14:textId="77777777" w:rsidR="00305101" w:rsidRPr="001312BC" w:rsidRDefault="00305101" w:rsidP="002060E2">
            <w:pPr>
              <w:pStyle w:val="E3tabletext1"/>
              <w:jc w:val="both"/>
            </w:pPr>
            <w:r w:rsidRPr="001312BC">
              <w:t>Other specialised food retailing</w:t>
            </w:r>
          </w:p>
        </w:tc>
        <w:tc>
          <w:tcPr>
            <w:tcW w:w="1701" w:type="dxa"/>
            <w:vAlign w:val="bottom"/>
          </w:tcPr>
          <w:p w14:paraId="55C6DB7F" w14:textId="77777777" w:rsidR="00305101" w:rsidRPr="001312BC" w:rsidRDefault="00305101" w:rsidP="002060E2">
            <w:pPr>
              <w:pStyle w:val="E3tabletext1"/>
              <w:jc w:val="both"/>
            </w:pPr>
            <w:r w:rsidRPr="001312BC">
              <w:t>3</w:t>
            </w:r>
            <w:r>
              <w:t>,</w:t>
            </w:r>
            <w:r w:rsidRPr="001312BC">
              <w:t>263</w:t>
            </w:r>
          </w:p>
        </w:tc>
        <w:tc>
          <w:tcPr>
            <w:tcW w:w="1559" w:type="dxa"/>
            <w:vAlign w:val="bottom"/>
          </w:tcPr>
          <w:p w14:paraId="48DF7133" w14:textId="77777777" w:rsidR="00305101" w:rsidRPr="001312BC" w:rsidRDefault="00305101" w:rsidP="002060E2">
            <w:pPr>
              <w:pStyle w:val="E3tabletext1"/>
              <w:jc w:val="both"/>
            </w:pPr>
            <w:r w:rsidRPr="001312BC">
              <w:t>206</w:t>
            </w:r>
          </w:p>
        </w:tc>
        <w:tc>
          <w:tcPr>
            <w:tcW w:w="1418" w:type="dxa"/>
            <w:vAlign w:val="bottom"/>
          </w:tcPr>
          <w:p w14:paraId="3F06981B" w14:textId="77777777" w:rsidR="00305101" w:rsidRPr="001312BC" w:rsidRDefault="00305101" w:rsidP="002060E2">
            <w:pPr>
              <w:pStyle w:val="E3tabletext1"/>
              <w:jc w:val="both"/>
            </w:pPr>
            <w:r w:rsidRPr="001312BC">
              <w:t>3</w:t>
            </w:r>
          </w:p>
        </w:tc>
        <w:tc>
          <w:tcPr>
            <w:tcW w:w="1417" w:type="dxa"/>
            <w:vAlign w:val="bottom"/>
          </w:tcPr>
          <w:p w14:paraId="7B0610D5" w14:textId="77777777" w:rsidR="00305101" w:rsidRPr="001312BC" w:rsidRDefault="00305101" w:rsidP="002060E2">
            <w:pPr>
              <w:pStyle w:val="E3tabletext1"/>
              <w:jc w:val="both"/>
            </w:pPr>
            <w:r w:rsidRPr="001312BC">
              <w:t>3</w:t>
            </w:r>
            <w:r>
              <w:t>,</w:t>
            </w:r>
            <w:r w:rsidRPr="001312BC">
              <w:t>472</w:t>
            </w:r>
          </w:p>
        </w:tc>
      </w:tr>
      <w:tr w:rsidR="00305101" w:rsidRPr="001312BC" w14:paraId="62849714" w14:textId="77777777" w:rsidTr="002060E2">
        <w:tc>
          <w:tcPr>
            <w:tcW w:w="3544" w:type="dxa"/>
            <w:vAlign w:val="center"/>
          </w:tcPr>
          <w:p w14:paraId="2556A6FC" w14:textId="77777777" w:rsidR="00305101" w:rsidRPr="001312BC" w:rsidRDefault="00305101" w:rsidP="002060E2">
            <w:pPr>
              <w:pStyle w:val="E3tabletext1"/>
              <w:jc w:val="both"/>
            </w:pPr>
            <w:r w:rsidRPr="001312BC">
              <w:t>Totals</w:t>
            </w:r>
          </w:p>
        </w:tc>
        <w:tc>
          <w:tcPr>
            <w:tcW w:w="1701" w:type="dxa"/>
            <w:vAlign w:val="center"/>
          </w:tcPr>
          <w:p w14:paraId="0850CD0B" w14:textId="77777777" w:rsidR="00305101" w:rsidRPr="001312BC" w:rsidRDefault="00305101" w:rsidP="002060E2">
            <w:pPr>
              <w:pStyle w:val="E3tabletext1"/>
              <w:jc w:val="both"/>
            </w:pPr>
          </w:p>
        </w:tc>
        <w:tc>
          <w:tcPr>
            <w:tcW w:w="1559" w:type="dxa"/>
            <w:vAlign w:val="center"/>
          </w:tcPr>
          <w:p w14:paraId="1ED6DB04" w14:textId="77777777" w:rsidR="00305101" w:rsidRPr="001312BC" w:rsidRDefault="00305101" w:rsidP="002060E2">
            <w:pPr>
              <w:pStyle w:val="E3tabletext1"/>
              <w:jc w:val="both"/>
            </w:pPr>
          </w:p>
        </w:tc>
        <w:tc>
          <w:tcPr>
            <w:tcW w:w="1418" w:type="dxa"/>
            <w:vAlign w:val="center"/>
          </w:tcPr>
          <w:p w14:paraId="339CEEE3" w14:textId="77777777" w:rsidR="00305101" w:rsidRPr="001312BC" w:rsidRDefault="00305101" w:rsidP="002060E2">
            <w:pPr>
              <w:pStyle w:val="E3tabletext1"/>
              <w:jc w:val="both"/>
            </w:pPr>
          </w:p>
        </w:tc>
        <w:tc>
          <w:tcPr>
            <w:tcW w:w="1417" w:type="dxa"/>
            <w:vAlign w:val="center"/>
          </w:tcPr>
          <w:p w14:paraId="26854A6A" w14:textId="77777777" w:rsidR="00305101" w:rsidRPr="001312BC" w:rsidRDefault="00305101" w:rsidP="002060E2">
            <w:pPr>
              <w:pStyle w:val="E3tabletext1"/>
              <w:jc w:val="both"/>
            </w:pPr>
            <w:r w:rsidRPr="001312BC">
              <w:t>10,347</w:t>
            </w:r>
          </w:p>
        </w:tc>
      </w:tr>
    </w:tbl>
    <w:p w14:paraId="13A4BA8D" w14:textId="77777777" w:rsidR="00305101" w:rsidRPr="0027493F" w:rsidRDefault="00305101" w:rsidP="00305101">
      <w:pPr>
        <w:pStyle w:val="E3Caption"/>
        <w:jc w:val="both"/>
      </w:pPr>
      <w:r w:rsidRPr="0027493F">
        <w:t>(Source: ABS 8165.0 2013)</w:t>
      </w:r>
    </w:p>
    <w:p w14:paraId="3195765C" w14:textId="77777777" w:rsidR="00305101" w:rsidRPr="00AC7259" w:rsidRDefault="00305101" w:rsidP="00305101">
      <w:pPr>
        <w:pStyle w:val="E3BodyText"/>
      </w:pPr>
      <w:r w:rsidRPr="00AC7259">
        <w:t xml:space="preserve">The total estimated </w:t>
      </w:r>
      <w:r>
        <w:t xml:space="preserve">cabinet </w:t>
      </w:r>
      <w:r w:rsidRPr="00AC7259">
        <w:t xml:space="preserve">stock in </w:t>
      </w:r>
      <w:r>
        <w:t xml:space="preserve">Australian </w:t>
      </w:r>
      <w:r w:rsidRPr="00AC7259">
        <w:t xml:space="preserve">supermarkets, convenience stores and </w:t>
      </w:r>
      <w:r>
        <w:t xml:space="preserve">in the </w:t>
      </w:r>
      <w:r w:rsidRPr="00AC7259">
        <w:t xml:space="preserve">small retail sector is over 129,000 remote display cabinets, 184,000 integral display cabinets and 3,000 storage cabinets or 316,000 </w:t>
      </w:r>
      <w:r>
        <w:t xml:space="preserve">cabinets </w:t>
      </w:r>
      <w:r w:rsidRPr="00AC7259">
        <w:t>in total.</w:t>
      </w:r>
    </w:p>
    <w:p w14:paraId="4DEA77AB" w14:textId="77777777" w:rsidR="00305101" w:rsidRPr="0041262C" w:rsidRDefault="00305101" w:rsidP="00305101">
      <w:pPr>
        <w:pStyle w:val="E3Heading2"/>
        <w:rPr>
          <w:rFonts w:ascii="Georgia" w:hAnsi="Georgia"/>
          <w:sz w:val="24"/>
        </w:rPr>
      </w:pPr>
      <w:bookmarkStart w:id="305" w:name="_Toc280615560"/>
      <w:bookmarkStart w:id="306" w:name="_Toc447533624"/>
      <w:bookmarkStart w:id="307" w:name="_Toc449708796"/>
      <w:bookmarkStart w:id="308" w:name="_Toc450032153"/>
      <w:bookmarkStart w:id="309" w:name="_Toc494897987"/>
      <w:bookmarkStart w:id="310" w:name="_Toc494955779"/>
      <w:bookmarkStart w:id="311" w:name="_Toc494959587"/>
      <w:bookmarkStart w:id="312" w:name="_Toc494972713"/>
      <w:bookmarkStart w:id="313" w:name="_Toc494973900"/>
      <w:bookmarkStart w:id="314" w:name="_Toc494974589"/>
      <w:bookmarkStart w:id="315" w:name="_Toc500151831"/>
      <w:r w:rsidRPr="0041262C">
        <w:rPr>
          <w:rFonts w:ascii="Georgia" w:hAnsi="Georgia"/>
          <w:sz w:val="24"/>
        </w:rPr>
        <w:t>Food service channels</w:t>
      </w:r>
      <w:bookmarkEnd w:id="305"/>
      <w:bookmarkEnd w:id="306"/>
      <w:bookmarkEnd w:id="307"/>
      <w:bookmarkEnd w:id="308"/>
      <w:bookmarkEnd w:id="309"/>
      <w:bookmarkEnd w:id="310"/>
      <w:bookmarkEnd w:id="311"/>
      <w:bookmarkEnd w:id="312"/>
      <w:bookmarkEnd w:id="313"/>
      <w:bookmarkEnd w:id="314"/>
      <w:bookmarkEnd w:id="315"/>
    </w:p>
    <w:p w14:paraId="36FDC991" w14:textId="77777777" w:rsidR="00305101" w:rsidRPr="00AC7259" w:rsidRDefault="00305101" w:rsidP="00305101">
      <w:pPr>
        <w:pStyle w:val="E3BodyText"/>
      </w:pPr>
      <w:r w:rsidRPr="00AC7259">
        <w:t>The food service channels include catering, hospitality and small retail outlets that are generally dissected into two broad categories:</w:t>
      </w:r>
    </w:p>
    <w:p w14:paraId="1BD14F6F" w14:textId="77777777" w:rsidR="00DD102F" w:rsidRDefault="00305101" w:rsidP="00DD102F">
      <w:pPr>
        <w:pStyle w:val="E3SubSubBullets"/>
      </w:pPr>
      <w:r w:rsidRPr="00AC7259">
        <w:rPr>
          <w:b/>
        </w:rPr>
        <w:t>Institutional</w:t>
      </w:r>
      <w:r w:rsidRPr="00AC7259">
        <w:t xml:space="preserve"> including hospitals, nursing homes, tertiary institutions, schools, work</w:t>
      </w:r>
      <w:r>
        <w:t xml:space="preserve"> or private canteens, c</w:t>
      </w:r>
      <w:r w:rsidRPr="00AC7259">
        <w:t>haritable organisations and Government ca</w:t>
      </w:r>
      <w:r>
        <w:t>nteens (i.e. prisons, military).</w:t>
      </w:r>
    </w:p>
    <w:p w14:paraId="583E1C2A" w14:textId="4E472E8A" w:rsidR="00305101" w:rsidRPr="00AC7259" w:rsidRDefault="00305101" w:rsidP="00DD102F">
      <w:pPr>
        <w:pStyle w:val="E3SubSubBullets"/>
      </w:pPr>
      <w:r w:rsidRPr="00DD102F">
        <w:rPr>
          <w:b/>
        </w:rPr>
        <w:lastRenderedPageBreak/>
        <w:t>Commercial</w:t>
      </w:r>
      <w:r w:rsidRPr="00AC7259">
        <w:t xml:space="preserve"> including restaurants, </w:t>
      </w:r>
      <w:r>
        <w:t xml:space="preserve">cafes, hotels/motels, fast food or </w:t>
      </w:r>
      <w:r w:rsidRPr="00AC7259">
        <w:t>take-away</w:t>
      </w:r>
      <w:r>
        <w:t xml:space="preserve"> outlets</w:t>
      </w:r>
      <w:r w:rsidRPr="00AC7259">
        <w:t xml:space="preserve">, clubs, caterers, function centres, fresh meat </w:t>
      </w:r>
      <w:r>
        <w:t xml:space="preserve">(including </w:t>
      </w:r>
      <w:r w:rsidRPr="00AC7259">
        <w:t>fish and poultry retailing</w:t>
      </w:r>
      <w:r>
        <w:t>)</w:t>
      </w:r>
      <w:r w:rsidRPr="00AC7259">
        <w:t>;</w:t>
      </w:r>
      <w:r>
        <w:t xml:space="preserve"> fruit and vegetable retailing </w:t>
      </w:r>
      <w:r w:rsidRPr="00AC7259">
        <w:t>and liquor retailing.</w:t>
      </w:r>
    </w:p>
    <w:p w14:paraId="61CB6001" w14:textId="77777777" w:rsidR="00305101" w:rsidRPr="00AC7259" w:rsidRDefault="00305101" w:rsidP="00305101">
      <w:pPr>
        <w:pStyle w:val="E3BodyText"/>
      </w:pPr>
      <w:r w:rsidRPr="00AC7259">
        <w:t>There is an estimated 15,500 institutional establishment</w:t>
      </w:r>
      <w:r>
        <w:t>s</w:t>
      </w:r>
      <w:r w:rsidRPr="00AC7259">
        <w:t xml:space="preserve"> containing a mix of display cabinets </w:t>
      </w:r>
      <w:r w:rsidRPr="00AB4EBC">
        <w:t>and</w:t>
      </w:r>
      <w:r w:rsidRPr="00AC7259">
        <w:t xml:space="preserve"> storage cabinets in a variety of formats including upright refrigerators (upright with 1, 2 and 3 doors, and under bench), freezers (upright with 1, 2 and 3 doors, and under bench) plus chest freezers. The estimated number of refrigeration cabinets in the institutional channel is 23,500 integral display cabinets and 30,250 storage cabinets.</w:t>
      </w:r>
    </w:p>
    <w:p w14:paraId="47D0E496" w14:textId="77777777" w:rsidR="00D51B4B" w:rsidRDefault="00305101" w:rsidP="00305101">
      <w:pPr>
        <w:pStyle w:val="E3BodyText"/>
      </w:pPr>
      <w:r w:rsidRPr="00AC7259">
        <w:t>The commercial food service channel is much larger than the institutional channel, containing around 26,500 remote display cabinets, 244,600 integral display cabinets and 117,100 storage cabinets, which include an allowance of 15,000 integral display cabinets and 5,000 storage cabinets found in other locations. This estimate covers all of the business types listed in</w:t>
      </w:r>
      <w:r w:rsidR="001A4A51">
        <w:t xml:space="preserve"> </w:t>
      </w:r>
      <w:r w:rsidRPr="00AC7259">
        <w:rPr>
          <w:b/>
        </w:rPr>
        <w:fldChar w:fldCharType="begin"/>
      </w:r>
      <w:r w:rsidRPr="00AC7259">
        <w:rPr>
          <w:b/>
        </w:rPr>
        <w:instrText xml:space="preserve"> REF _Ref450032388 \h  \* MERGEFORMAT </w:instrText>
      </w:r>
      <w:r w:rsidRPr="00AC7259">
        <w:rPr>
          <w:b/>
        </w:rPr>
      </w:r>
      <w:r w:rsidRPr="00AC7259">
        <w:rPr>
          <w:b/>
        </w:rPr>
        <w:fldChar w:fldCharType="separate"/>
      </w:r>
    </w:p>
    <w:p w14:paraId="70B9FEBE" w14:textId="05EB139F" w:rsidR="00305101" w:rsidRDefault="00D51B4B" w:rsidP="00305101">
      <w:pPr>
        <w:pStyle w:val="E3BodyText"/>
      </w:pPr>
      <w:r>
        <w:t>Table</w:t>
      </w:r>
      <w:r>
        <w:rPr>
          <w:noProof/>
        </w:rPr>
        <w:t xml:space="preserve"> </w:t>
      </w:r>
      <w:r>
        <w:t>B</w:t>
      </w:r>
      <w:r>
        <w:rPr>
          <w:noProof/>
        </w:rPr>
        <w:t xml:space="preserve"> 3</w:t>
      </w:r>
      <w:r w:rsidR="00305101" w:rsidRPr="00AC7259">
        <w:rPr>
          <w:b/>
        </w:rPr>
        <w:fldChar w:fldCharType="end"/>
      </w:r>
      <w:r w:rsidR="00305101" w:rsidRPr="00AC7259">
        <w:t>.</w:t>
      </w:r>
      <w:r w:rsidR="00305101" w:rsidRPr="00AC7259">
        <w:rPr>
          <w:rStyle w:val="FootnoteReference"/>
        </w:rPr>
        <w:footnoteReference w:id="54"/>
      </w:r>
      <w:bookmarkStart w:id="316" w:name="_Ref450032388"/>
      <w:bookmarkStart w:id="317" w:name="_Toc449708975"/>
      <w:bookmarkStart w:id="318" w:name="_Toc456164731"/>
    </w:p>
    <w:p w14:paraId="7399FD9C" w14:textId="2F69E120" w:rsidR="00305101" w:rsidRPr="00670D67" w:rsidRDefault="00305101" w:rsidP="00305101">
      <w:pPr>
        <w:pStyle w:val="E3TableTitles"/>
        <w:spacing w:before="240"/>
        <w:rPr>
          <w:i/>
        </w:rPr>
      </w:pPr>
      <w:bookmarkStart w:id="319" w:name="_Toc500159672"/>
      <w:r>
        <w:t xml:space="preserve">Table B </w:t>
      </w:r>
      <w:r>
        <w:fldChar w:fldCharType="begin"/>
      </w:r>
      <w:r>
        <w:instrText xml:space="preserve"> SEQ Table_B \* ARABIC </w:instrText>
      </w:r>
      <w:r>
        <w:fldChar w:fldCharType="separate"/>
      </w:r>
      <w:r w:rsidR="00D51B4B">
        <w:rPr>
          <w:noProof/>
        </w:rPr>
        <w:t>3</w:t>
      </w:r>
      <w:r>
        <w:rPr>
          <w:noProof/>
        </w:rPr>
        <w:fldChar w:fldCharType="end"/>
      </w:r>
      <w:bookmarkEnd w:id="316"/>
      <w:r w:rsidRPr="00670D67">
        <w:t>: ABS count of catering and hospitality businesses in Australia.</w:t>
      </w:r>
      <w:bookmarkEnd w:id="317"/>
      <w:bookmarkEnd w:id="318"/>
      <w:bookmarkEnd w:id="319"/>
      <w:r w:rsidRPr="00670D67">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1683"/>
        <w:gridCol w:w="1542"/>
        <w:gridCol w:w="1404"/>
        <w:gridCol w:w="1392"/>
      </w:tblGrid>
      <w:tr w:rsidR="00305101" w:rsidRPr="001312BC" w14:paraId="076E09F1" w14:textId="77777777" w:rsidTr="002060E2">
        <w:tc>
          <w:tcPr>
            <w:tcW w:w="3544" w:type="dxa"/>
            <w:vMerge w:val="restart"/>
            <w:shd w:val="clear" w:color="auto" w:fill="0C0C0C"/>
            <w:vAlign w:val="center"/>
          </w:tcPr>
          <w:p w14:paraId="75A34766" w14:textId="77777777" w:rsidR="00305101" w:rsidRPr="001312BC" w:rsidRDefault="00305101" w:rsidP="002060E2">
            <w:pPr>
              <w:pStyle w:val="E3TableHeading"/>
              <w:jc w:val="both"/>
            </w:pPr>
            <w:r>
              <w:t>Type of business</w:t>
            </w:r>
          </w:p>
        </w:tc>
        <w:tc>
          <w:tcPr>
            <w:tcW w:w="4678" w:type="dxa"/>
            <w:gridSpan w:val="3"/>
            <w:shd w:val="clear" w:color="auto" w:fill="0C0C0C"/>
            <w:vAlign w:val="center"/>
          </w:tcPr>
          <w:p w14:paraId="13F70C78" w14:textId="77777777" w:rsidR="00305101" w:rsidRPr="001312BC" w:rsidRDefault="00305101" w:rsidP="002060E2">
            <w:pPr>
              <w:pStyle w:val="E3TableHeading"/>
              <w:jc w:val="both"/>
            </w:pPr>
            <w:r w:rsidRPr="001312BC">
              <w:t>Sum of employees in business</w:t>
            </w:r>
          </w:p>
        </w:tc>
        <w:tc>
          <w:tcPr>
            <w:tcW w:w="1402" w:type="dxa"/>
            <w:vMerge w:val="restart"/>
            <w:shd w:val="clear" w:color="auto" w:fill="0C0C0C"/>
            <w:vAlign w:val="center"/>
          </w:tcPr>
          <w:p w14:paraId="07A6072D" w14:textId="77777777" w:rsidR="00305101" w:rsidRPr="001312BC" w:rsidRDefault="00305101" w:rsidP="002060E2">
            <w:pPr>
              <w:pStyle w:val="E3TableHeading"/>
              <w:jc w:val="both"/>
            </w:pPr>
            <w:r w:rsidRPr="001312BC">
              <w:t>Totals</w:t>
            </w:r>
          </w:p>
        </w:tc>
      </w:tr>
      <w:tr w:rsidR="00305101" w:rsidRPr="001312BC" w14:paraId="65852FF6" w14:textId="77777777" w:rsidTr="002060E2">
        <w:tc>
          <w:tcPr>
            <w:tcW w:w="3544" w:type="dxa"/>
            <w:vMerge/>
            <w:shd w:val="clear" w:color="auto" w:fill="0C0C0C"/>
            <w:vAlign w:val="center"/>
          </w:tcPr>
          <w:p w14:paraId="238005B2" w14:textId="77777777" w:rsidR="00305101" w:rsidRPr="001312BC" w:rsidRDefault="00305101" w:rsidP="002060E2">
            <w:pPr>
              <w:pStyle w:val="E3TableHeading"/>
              <w:jc w:val="both"/>
            </w:pPr>
          </w:p>
        </w:tc>
        <w:tc>
          <w:tcPr>
            <w:tcW w:w="1701" w:type="dxa"/>
            <w:shd w:val="clear" w:color="auto" w:fill="0C0C0C"/>
            <w:vAlign w:val="center"/>
          </w:tcPr>
          <w:p w14:paraId="01673869" w14:textId="77777777" w:rsidR="00305101" w:rsidRPr="001312BC" w:rsidRDefault="00305101" w:rsidP="002060E2">
            <w:pPr>
              <w:pStyle w:val="E3TableHeading"/>
              <w:jc w:val="both"/>
            </w:pPr>
            <w:r w:rsidRPr="001312BC">
              <w:t>1 to 19</w:t>
            </w:r>
          </w:p>
        </w:tc>
        <w:tc>
          <w:tcPr>
            <w:tcW w:w="1559" w:type="dxa"/>
            <w:shd w:val="clear" w:color="auto" w:fill="0C0C0C"/>
            <w:vAlign w:val="center"/>
          </w:tcPr>
          <w:p w14:paraId="6FEBD734" w14:textId="77777777" w:rsidR="00305101" w:rsidRPr="001312BC" w:rsidRDefault="00305101" w:rsidP="002060E2">
            <w:pPr>
              <w:pStyle w:val="E3TableHeading"/>
              <w:jc w:val="both"/>
            </w:pPr>
            <w:r w:rsidRPr="001312BC">
              <w:t>20 to 199</w:t>
            </w:r>
          </w:p>
        </w:tc>
        <w:tc>
          <w:tcPr>
            <w:tcW w:w="1418" w:type="dxa"/>
            <w:shd w:val="clear" w:color="auto" w:fill="0C0C0C"/>
            <w:vAlign w:val="center"/>
          </w:tcPr>
          <w:p w14:paraId="45ABD589" w14:textId="77777777" w:rsidR="00305101" w:rsidRPr="001312BC" w:rsidRDefault="00305101" w:rsidP="002060E2">
            <w:pPr>
              <w:pStyle w:val="E3TableHeading"/>
              <w:jc w:val="both"/>
            </w:pPr>
            <w:r w:rsidRPr="001312BC">
              <w:t>200 plus</w:t>
            </w:r>
          </w:p>
        </w:tc>
        <w:tc>
          <w:tcPr>
            <w:tcW w:w="1402" w:type="dxa"/>
            <w:vMerge/>
            <w:shd w:val="clear" w:color="auto" w:fill="0C0C0C"/>
            <w:vAlign w:val="center"/>
          </w:tcPr>
          <w:p w14:paraId="6C2BC082" w14:textId="77777777" w:rsidR="00305101" w:rsidRPr="001312BC" w:rsidRDefault="00305101" w:rsidP="002060E2">
            <w:pPr>
              <w:pStyle w:val="E3TableHeading"/>
              <w:jc w:val="both"/>
            </w:pPr>
          </w:p>
        </w:tc>
      </w:tr>
      <w:tr w:rsidR="00305101" w:rsidRPr="001312BC" w14:paraId="4DF42DEE" w14:textId="77777777" w:rsidTr="002060E2">
        <w:tc>
          <w:tcPr>
            <w:tcW w:w="3544" w:type="dxa"/>
            <w:vAlign w:val="center"/>
          </w:tcPr>
          <w:p w14:paraId="418DF092"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Cafes and restaurants</w:t>
            </w:r>
          </w:p>
        </w:tc>
        <w:tc>
          <w:tcPr>
            <w:tcW w:w="1701" w:type="dxa"/>
            <w:vAlign w:val="bottom"/>
          </w:tcPr>
          <w:p w14:paraId="7D52E2B5"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24,217</w:t>
            </w:r>
          </w:p>
        </w:tc>
        <w:tc>
          <w:tcPr>
            <w:tcW w:w="1559" w:type="dxa"/>
            <w:vAlign w:val="bottom"/>
          </w:tcPr>
          <w:p w14:paraId="6FD03981"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2,115</w:t>
            </w:r>
          </w:p>
        </w:tc>
        <w:tc>
          <w:tcPr>
            <w:tcW w:w="1418" w:type="dxa"/>
            <w:vAlign w:val="bottom"/>
          </w:tcPr>
          <w:p w14:paraId="223AFE87"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50</w:t>
            </w:r>
          </w:p>
        </w:tc>
        <w:tc>
          <w:tcPr>
            <w:tcW w:w="1402" w:type="dxa"/>
            <w:vAlign w:val="bottom"/>
          </w:tcPr>
          <w:p w14:paraId="4C4353D7"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26,382</w:t>
            </w:r>
          </w:p>
        </w:tc>
      </w:tr>
      <w:tr w:rsidR="00305101" w:rsidRPr="001312BC" w14:paraId="77C0E12C" w14:textId="77777777" w:rsidTr="002060E2">
        <w:tc>
          <w:tcPr>
            <w:tcW w:w="3544" w:type="dxa"/>
            <w:vAlign w:val="center"/>
          </w:tcPr>
          <w:p w14:paraId="2B92E099"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Catering services</w:t>
            </w:r>
          </w:p>
        </w:tc>
        <w:tc>
          <w:tcPr>
            <w:tcW w:w="1701" w:type="dxa"/>
            <w:vAlign w:val="bottom"/>
          </w:tcPr>
          <w:p w14:paraId="3CBF1EF4"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1,847</w:t>
            </w:r>
          </w:p>
        </w:tc>
        <w:tc>
          <w:tcPr>
            <w:tcW w:w="1559" w:type="dxa"/>
            <w:vAlign w:val="bottom"/>
          </w:tcPr>
          <w:p w14:paraId="0B135A86"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265</w:t>
            </w:r>
          </w:p>
        </w:tc>
        <w:tc>
          <w:tcPr>
            <w:tcW w:w="1418" w:type="dxa"/>
            <w:vAlign w:val="bottom"/>
          </w:tcPr>
          <w:p w14:paraId="00847F08"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22</w:t>
            </w:r>
          </w:p>
        </w:tc>
        <w:tc>
          <w:tcPr>
            <w:tcW w:w="1402" w:type="dxa"/>
            <w:vAlign w:val="bottom"/>
          </w:tcPr>
          <w:p w14:paraId="7609F9CB"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2,134</w:t>
            </w:r>
          </w:p>
        </w:tc>
      </w:tr>
      <w:tr w:rsidR="00305101" w:rsidRPr="001312BC" w14:paraId="1C10C767" w14:textId="77777777" w:rsidTr="002060E2">
        <w:tc>
          <w:tcPr>
            <w:tcW w:w="3544" w:type="dxa"/>
            <w:vAlign w:val="center"/>
          </w:tcPr>
          <w:p w14:paraId="3D8B471A"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Clubs (hospitality)</w:t>
            </w:r>
          </w:p>
        </w:tc>
        <w:tc>
          <w:tcPr>
            <w:tcW w:w="1701" w:type="dxa"/>
            <w:vAlign w:val="bottom"/>
          </w:tcPr>
          <w:p w14:paraId="23337C80"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1,771</w:t>
            </w:r>
          </w:p>
        </w:tc>
        <w:tc>
          <w:tcPr>
            <w:tcW w:w="1559" w:type="dxa"/>
            <w:vAlign w:val="bottom"/>
          </w:tcPr>
          <w:p w14:paraId="093BFBFE"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652</w:t>
            </w:r>
          </w:p>
        </w:tc>
        <w:tc>
          <w:tcPr>
            <w:tcW w:w="1418" w:type="dxa"/>
            <w:vAlign w:val="bottom"/>
          </w:tcPr>
          <w:p w14:paraId="5D3EE94F"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31</w:t>
            </w:r>
          </w:p>
        </w:tc>
        <w:tc>
          <w:tcPr>
            <w:tcW w:w="1402" w:type="dxa"/>
            <w:vAlign w:val="bottom"/>
          </w:tcPr>
          <w:p w14:paraId="518951B7"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2,454</w:t>
            </w:r>
          </w:p>
        </w:tc>
      </w:tr>
      <w:tr w:rsidR="00305101" w:rsidRPr="001312BC" w14:paraId="567A54CC" w14:textId="77777777" w:rsidTr="002060E2">
        <w:tc>
          <w:tcPr>
            <w:tcW w:w="3544" w:type="dxa"/>
            <w:vAlign w:val="center"/>
          </w:tcPr>
          <w:p w14:paraId="4ABE7FCD"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Pubs, taverns and bars</w:t>
            </w:r>
          </w:p>
        </w:tc>
        <w:tc>
          <w:tcPr>
            <w:tcW w:w="1701" w:type="dxa"/>
            <w:vAlign w:val="bottom"/>
          </w:tcPr>
          <w:p w14:paraId="0939BCF5"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3,094</w:t>
            </w:r>
          </w:p>
        </w:tc>
        <w:tc>
          <w:tcPr>
            <w:tcW w:w="1559" w:type="dxa"/>
            <w:vAlign w:val="bottom"/>
          </w:tcPr>
          <w:p w14:paraId="0712C28C"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1,257</w:t>
            </w:r>
          </w:p>
        </w:tc>
        <w:tc>
          <w:tcPr>
            <w:tcW w:w="1418" w:type="dxa"/>
            <w:vAlign w:val="bottom"/>
          </w:tcPr>
          <w:p w14:paraId="75BE2988"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22</w:t>
            </w:r>
          </w:p>
        </w:tc>
        <w:tc>
          <w:tcPr>
            <w:tcW w:w="1402" w:type="dxa"/>
            <w:vAlign w:val="bottom"/>
          </w:tcPr>
          <w:p w14:paraId="1B4C3AD9"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4,373</w:t>
            </w:r>
          </w:p>
        </w:tc>
      </w:tr>
      <w:tr w:rsidR="00305101" w:rsidRPr="001312BC" w14:paraId="58888F95" w14:textId="77777777" w:rsidTr="002060E2">
        <w:tc>
          <w:tcPr>
            <w:tcW w:w="3544" w:type="dxa"/>
            <w:vAlign w:val="center"/>
          </w:tcPr>
          <w:p w14:paraId="2E13F844"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Takeaway food services</w:t>
            </w:r>
          </w:p>
        </w:tc>
        <w:tc>
          <w:tcPr>
            <w:tcW w:w="1701" w:type="dxa"/>
            <w:vAlign w:val="bottom"/>
          </w:tcPr>
          <w:p w14:paraId="4F282098"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14,996</w:t>
            </w:r>
          </w:p>
        </w:tc>
        <w:tc>
          <w:tcPr>
            <w:tcW w:w="1559" w:type="dxa"/>
            <w:vAlign w:val="bottom"/>
          </w:tcPr>
          <w:p w14:paraId="51774388"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1,065</w:t>
            </w:r>
          </w:p>
        </w:tc>
        <w:tc>
          <w:tcPr>
            <w:tcW w:w="1418" w:type="dxa"/>
            <w:vAlign w:val="bottom"/>
          </w:tcPr>
          <w:p w14:paraId="676689DA"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91</w:t>
            </w:r>
          </w:p>
        </w:tc>
        <w:tc>
          <w:tcPr>
            <w:tcW w:w="1402" w:type="dxa"/>
            <w:vAlign w:val="bottom"/>
          </w:tcPr>
          <w:p w14:paraId="63C35B0B"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16,152</w:t>
            </w:r>
          </w:p>
        </w:tc>
      </w:tr>
      <w:tr w:rsidR="00305101" w:rsidRPr="001312BC" w14:paraId="51345CB0" w14:textId="77777777" w:rsidTr="002060E2">
        <w:tc>
          <w:tcPr>
            <w:tcW w:w="3544" w:type="dxa"/>
            <w:vAlign w:val="center"/>
          </w:tcPr>
          <w:p w14:paraId="09F93820"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Hotels and motels</w:t>
            </w:r>
          </w:p>
        </w:tc>
        <w:tc>
          <w:tcPr>
            <w:tcW w:w="1701" w:type="dxa"/>
            <w:vAlign w:val="center"/>
          </w:tcPr>
          <w:p w14:paraId="38EAD3CE"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w:t>
            </w:r>
          </w:p>
        </w:tc>
        <w:tc>
          <w:tcPr>
            <w:tcW w:w="1559" w:type="dxa"/>
            <w:vAlign w:val="center"/>
          </w:tcPr>
          <w:p w14:paraId="23CC57CF"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w:t>
            </w:r>
          </w:p>
        </w:tc>
        <w:tc>
          <w:tcPr>
            <w:tcW w:w="1418" w:type="dxa"/>
            <w:vAlign w:val="center"/>
          </w:tcPr>
          <w:p w14:paraId="71516F19"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w:t>
            </w:r>
          </w:p>
        </w:tc>
        <w:tc>
          <w:tcPr>
            <w:tcW w:w="1402" w:type="dxa"/>
            <w:vAlign w:val="center"/>
          </w:tcPr>
          <w:p w14:paraId="5C1FF62F"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4,000</w:t>
            </w:r>
          </w:p>
        </w:tc>
      </w:tr>
      <w:tr w:rsidR="00305101" w:rsidRPr="001312BC" w14:paraId="2FBFE63B" w14:textId="77777777" w:rsidTr="002060E2">
        <w:tc>
          <w:tcPr>
            <w:tcW w:w="3544" w:type="dxa"/>
            <w:vAlign w:val="center"/>
          </w:tcPr>
          <w:p w14:paraId="60D4B031"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Grand total</w:t>
            </w:r>
          </w:p>
        </w:tc>
        <w:tc>
          <w:tcPr>
            <w:tcW w:w="1701" w:type="dxa"/>
            <w:vAlign w:val="center"/>
          </w:tcPr>
          <w:p w14:paraId="5A7822FD" w14:textId="77777777" w:rsidR="00305101" w:rsidRPr="0041262C" w:rsidRDefault="00305101" w:rsidP="002060E2">
            <w:pPr>
              <w:pStyle w:val="E3tabletext1"/>
              <w:jc w:val="both"/>
              <w:rPr>
                <w:rFonts w:ascii="Helvetica" w:hAnsi="Helvetica" w:cs="Helvetica"/>
                <w:sz w:val="15"/>
                <w:szCs w:val="15"/>
              </w:rPr>
            </w:pPr>
          </w:p>
        </w:tc>
        <w:tc>
          <w:tcPr>
            <w:tcW w:w="1559" w:type="dxa"/>
            <w:vAlign w:val="center"/>
          </w:tcPr>
          <w:p w14:paraId="4DE31FEC" w14:textId="77777777" w:rsidR="00305101" w:rsidRPr="0041262C" w:rsidRDefault="00305101" w:rsidP="002060E2">
            <w:pPr>
              <w:pStyle w:val="E3tabletext1"/>
              <w:jc w:val="both"/>
              <w:rPr>
                <w:rFonts w:ascii="Helvetica" w:hAnsi="Helvetica" w:cs="Helvetica"/>
                <w:sz w:val="15"/>
                <w:szCs w:val="15"/>
              </w:rPr>
            </w:pPr>
          </w:p>
        </w:tc>
        <w:tc>
          <w:tcPr>
            <w:tcW w:w="1418" w:type="dxa"/>
            <w:vAlign w:val="center"/>
          </w:tcPr>
          <w:p w14:paraId="1D4C7CAD" w14:textId="77777777" w:rsidR="00305101" w:rsidRPr="0041262C" w:rsidRDefault="00305101" w:rsidP="002060E2">
            <w:pPr>
              <w:pStyle w:val="E3tabletext1"/>
              <w:jc w:val="both"/>
              <w:rPr>
                <w:rFonts w:ascii="Helvetica" w:hAnsi="Helvetica" w:cs="Helvetica"/>
                <w:sz w:val="15"/>
                <w:szCs w:val="15"/>
              </w:rPr>
            </w:pPr>
          </w:p>
        </w:tc>
        <w:tc>
          <w:tcPr>
            <w:tcW w:w="1402" w:type="dxa"/>
            <w:vAlign w:val="center"/>
          </w:tcPr>
          <w:p w14:paraId="1A57A775" w14:textId="77777777" w:rsidR="00305101" w:rsidRPr="0041262C" w:rsidRDefault="00305101" w:rsidP="002060E2">
            <w:pPr>
              <w:pStyle w:val="E3tabletext1"/>
              <w:jc w:val="both"/>
              <w:rPr>
                <w:rFonts w:ascii="Helvetica" w:hAnsi="Helvetica" w:cs="Helvetica"/>
                <w:sz w:val="15"/>
                <w:szCs w:val="15"/>
              </w:rPr>
            </w:pPr>
            <w:r w:rsidRPr="0041262C">
              <w:rPr>
                <w:rFonts w:ascii="Helvetica" w:hAnsi="Helvetica" w:cs="Helvetica"/>
                <w:sz w:val="15"/>
                <w:szCs w:val="15"/>
              </w:rPr>
              <w:t>55,495</w:t>
            </w:r>
          </w:p>
        </w:tc>
      </w:tr>
    </w:tbl>
    <w:p w14:paraId="6FF03E25" w14:textId="77777777" w:rsidR="00305101" w:rsidRPr="0027493F" w:rsidRDefault="00305101" w:rsidP="00305101">
      <w:pPr>
        <w:pStyle w:val="E3Caption"/>
        <w:jc w:val="both"/>
      </w:pPr>
      <w:r w:rsidRPr="0027493F">
        <w:t>(Source: ABS 8165.0 2013)</w:t>
      </w:r>
    </w:p>
    <w:p w14:paraId="6E8D140A" w14:textId="77777777" w:rsidR="00305101" w:rsidRDefault="00305101" w:rsidP="000F7D7D">
      <w:pPr>
        <w:pStyle w:val="E3BodyText"/>
        <w:spacing w:before="240"/>
        <w:jc w:val="both"/>
      </w:pPr>
      <w:r w:rsidRPr="00F47E7A">
        <w:t xml:space="preserve">The total estimated stock of display cases in the food service channel is 26,500 remote </w:t>
      </w:r>
      <w:r>
        <w:t>display cabinets</w:t>
      </w:r>
      <w:r w:rsidRPr="00F47E7A">
        <w:t xml:space="preserve">, 268,100 integral </w:t>
      </w:r>
      <w:r>
        <w:t>display cabinets</w:t>
      </w:r>
      <w:r w:rsidRPr="00F47E7A">
        <w:t xml:space="preserve"> and 147,400 </w:t>
      </w:r>
      <w:r>
        <w:t>storage cabinets</w:t>
      </w:r>
      <w:r w:rsidRPr="00F47E7A">
        <w:t xml:space="preserve"> totalling to 442,000 cabinets.</w:t>
      </w:r>
      <w:r>
        <w:t xml:space="preserve"> </w:t>
      </w:r>
      <w:r w:rsidRPr="00F47E7A">
        <w:t>This stock count is slightly higher than a similar count undertaken by BIS Shrapnel in 2012 as part of a Foodservice Equipment Study that estimated around 337,000 equivalent devices.</w:t>
      </w:r>
    </w:p>
    <w:p w14:paraId="3546B48D" w14:textId="77777777" w:rsidR="00305101" w:rsidRDefault="00305101" w:rsidP="001A4A51">
      <w:pPr>
        <w:pStyle w:val="E3BodyText"/>
        <w:spacing w:after="240"/>
        <w:jc w:val="both"/>
      </w:pPr>
      <w:r w:rsidRPr="00AC7259">
        <w:t>The</w:t>
      </w:r>
      <w:r>
        <w:t xml:space="preserve"> historical stock and sales figures were updated to 2016 values for this Decision RIS, based on updated sales estimates and other data sources.  </w:t>
      </w:r>
    </w:p>
    <w:p w14:paraId="748954DE" w14:textId="77777777" w:rsidR="00305101" w:rsidRPr="00AB4EBC" w:rsidRDefault="00305101" w:rsidP="000F7D7D">
      <w:pPr>
        <w:pStyle w:val="E3BodyText"/>
        <w:jc w:val="both"/>
      </w:pPr>
      <w:r w:rsidRPr="00AB4EBC">
        <w:lastRenderedPageBreak/>
        <w:t>The sales of RDCs and RSCs is largely driven by requirements in two major sectors:</w:t>
      </w:r>
    </w:p>
    <w:p w14:paraId="57977806" w14:textId="77777777" w:rsidR="00DD102F" w:rsidRDefault="00305101" w:rsidP="000F7D7D">
      <w:pPr>
        <w:pStyle w:val="E3SubSubBullets"/>
        <w:jc w:val="both"/>
      </w:pPr>
      <w:r w:rsidRPr="00B80217">
        <w:t>Food retail comprising supermarkets, convenience stores, liquor retailing and small food retail (i.e. fresh meat, fish and poultry; fruit and vegetable and specialised foods); and,</w:t>
      </w:r>
    </w:p>
    <w:p w14:paraId="6866BF74" w14:textId="33AEE517" w:rsidR="00305101" w:rsidRPr="00B80217" w:rsidRDefault="00305101" w:rsidP="001A4A51">
      <w:pPr>
        <w:pStyle w:val="E3SubSubBullets"/>
        <w:spacing w:after="360"/>
        <w:ind w:hanging="357"/>
        <w:jc w:val="both"/>
      </w:pPr>
      <w:r w:rsidRPr="00B80217">
        <w:t>Food service channels which includes catering and hospitality.</w:t>
      </w:r>
    </w:p>
    <w:p w14:paraId="48CBBB14" w14:textId="77777777" w:rsidR="00305101" w:rsidRPr="00B80217" w:rsidRDefault="00305101" w:rsidP="001A4A51">
      <w:pPr>
        <w:pStyle w:val="E3BodyText"/>
        <w:spacing w:after="120"/>
        <w:jc w:val="both"/>
      </w:pPr>
      <w:r w:rsidRPr="00B80217">
        <w:t xml:space="preserve">The performance of these major channels is </w:t>
      </w:r>
      <w:r>
        <w:t xml:space="preserve">reported in Australia in the </w:t>
      </w:r>
      <w:r w:rsidRPr="00FE0E0A">
        <w:t>ABS Retail trade index for food retail and hospitality in millions o</w:t>
      </w:r>
      <w:r>
        <w:t>f dollars of turnover per month where both sectors have grown by more than 3% per annum over the last decade.</w:t>
      </w:r>
      <w:r w:rsidRPr="00B80217">
        <w:t xml:space="preserve"> </w:t>
      </w:r>
    </w:p>
    <w:p w14:paraId="4AD4C45C" w14:textId="77777777" w:rsidR="00305101" w:rsidRPr="00B80217" w:rsidRDefault="00305101" w:rsidP="001A4A51">
      <w:pPr>
        <w:pStyle w:val="E3BodyText"/>
        <w:spacing w:after="120"/>
        <w:jc w:val="both"/>
      </w:pPr>
      <w:r>
        <w:t>In Australia, t</w:t>
      </w:r>
      <w:r w:rsidRPr="00B80217">
        <w:t>h</w:t>
      </w:r>
      <w:r>
        <w:t xml:space="preserve">is </w:t>
      </w:r>
      <w:r w:rsidRPr="00B80217">
        <w:t xml:space="preserve">growth in food retail revenue is supported </w:t>
      </w:r>
      <w:r>
        <w:t xml:space="preserve">by </w:t>
      </w:r>
      <w:r w:rsidRPr="00B80217">
        <w:t>growth in infrastructure where supermarkets including extra small stores with a trading floor less than 400 m</w:t>
      </w:r>
      <w:r w:rsidRPr="004E04A5">
        <w:rPr>
          <w:vertAlign w:val="superscript"/>
        </w:rPr>
        <w:t>2</w:t>
      </w:r>
      <w:r w:rsidRPr="00B80217">
        <w:t xml:space="preserve"> have grown from 4,205 in 2012 to 4,810 today equating </w:t>
      </w:r>
      <w:r>
        <w:t>3</w:t>
      </w:r>
      <w:r w:rsidRPr="00B80217">
        <w:t>% growth over the period. Convenience stores including Petrol Stations have not seen as much growth</w:t>
      </w:r>
      <w:r>
        <w:t xml:space="preserve">. In 2012 there were </w:t>
      </w:r>
      <w:r w:rsidRPr="00B80217">
        <w:t xml:space="preserve">5,817 </w:t>
      </w:r>
      <w:r>
        <w:t xml:space="preserve">compared to </w:t>
      </w:r>
      <w:r w:rsidRPr="00B80217">
        <w:t>6,100 today</w:t>
      </w:r>
      <w:r>
        <w:t xml:space="preserve">. The softer growth of convenience stores of around 1% per annum is </w:t>
      </w:r>
      <w:r w:rsidRPr="00B80217">
        <w:t>possibly due to acquisitions</w:t>
      </w:r>
      <w:r>
        <w:t>, fleet mergers</w:t>
      </w:r>
      <w:r w:rsidRPr="00B80217">
        <w:t xml:space="preserve"> and industry </w:t>
      </w:r>
      <w:r>
        <w:t>rationalisation</w:t>
      </w:r>
      <w:r w:rsidRPr="00B80217">
        <w:t>.</w:t>
      </w:r>
    </w:p>
    <w:p w14:paraId="5F7DCBF2" w14:textId="77777777" w:rsidR="00305101" w:rsidRPr="00B80217" w:rsidRDefault="00305101" w:rsidP="001A4A51">
      <w:pPr>
        <w:pStyle w:val="E3BodyText"/>
        <w:spacing w:after="120"/>
        <w:jc w:val="both"/>
      </w:pPr>
      <w:r w:rsidRPr="00B80217">
        <w:t xml:space="preserve">In 2012 </w:t>
      </w:r>
      <w:r>
        <w:t xml:space="preserve">the </w:t>
      </w:r>
      <w:r w:rsidRPr="00B80217">
        <w:t xml:space="preserve">pre-charged equipment imports were reviewed to establish sales levels of RDCs and RSCs in Australia. At the time industry participants considered the increase in imports in 2010 and 2011 as an extraordinary sales event </w:t>
      </w:r>
      <w:r>
        <w:t xml:space="preserve">(i.e. beverage company activity) </w:t>
      </w:r>
      <w:r w:rsidRPr="00B80217">
        <w:t xml:space="preserve">and that import quantities from 2006 to 2009 were more indicative of </w:t>
      </w:r>
      <w:r>
        <w:t>the 2012</w:t>
      </w:r>
      <w:r w:rsidRPr="00B80217">
        <w:t xml:space="preserve"> levels in Australia. The average imports through </w:t>
      </w:r>
      <w:r>
        <w:t xml:space="preserve">the 2006 to 2009 </w:t>
      </w:r>
      <w:r w:rsidRPr="00B80217">
        <w:t xml:space="preserve">period equated to around 63,000 integral RDC and RSCs imported, then allowing for remote RDCs and local manufacturing during this period equated to an estimated sales value of 75,000 to 80,000 pieces per annum. </w:t>
      </w:r>
    </w:p>
    <w:p w14:paraId="7805EA89" w14:textId="77777777" w:rsidR="00305101" w:rsidRDefault="00305101" w:rsidP="001A4A51">
      <w:pPr>
        <w:pStyle w:val="E3BodyText"/>
        <w:spacing w:after="120"/>
        <w:jc w:val="both"/>
      </w:pPr>
      <w:r w:rsidRPr="00B80217">
        <w:t xml:space="preserve">Analysis of pre-charged import data </w:t>
      </w:r>
      <w:r>
        <w:t xml:space="preserve">since 2012 </w:t>
      </w:r>
      <w:r w:rsidRPr="00B80217">
        <w:t xml:space="preserve">has become more difficult as </w:t>
      </w:r>
      <w:r>
        <w:t xml:space="preserve">around </w:t>
      </w:r>
      <w:r w:rsidRPr="00B80217">
        <w:t xml:space="preserve">25% of RDC and RSCs have transitioned to hydrocarbon refrigerants which is not reported. Since 2012 there has been strong growth in food retail and the food service channels (i.e. commercial including hospitality and institutional) and a slowdown in the beverage market as the key market </w:t>
      </w:r>
      <w:r>
        <w:t xml:space="preserve">beverage companies </w:t>
      </w:r>
      <w:r w:rsidRPr="00B80217">
        <w:t xml:space="preserve">Coca-Cola Amatil </w:t>
      </w:r>
      <w:r>
        <w:t xml:space="preserve">and </w:t>
      </w:r>
      <w:r w:rsidRPr="00B80217">
        <w:t>Asahi Beverages</w:t>
      </w:r>
      <w:r>
        <w:t xml:space="preserve"> (</w:t>
      </w:r>
      <w:r w:rsidRPr="00B80217">
        <w:t>Schweppes</w:t>
      </w:r>
      <w:r>
        <w:t>)</w:t>
      </w:r>
      <w:r w:rsidRPr="00B80217">
        <w:t xml:space="preserve"> undertook major </w:t>
      </w:r>
      <w:r>
        <w:t>refurbishments</w:t>
      </w:r>
      <w:r w:rsidRPr="00B80217">
        <w:t xml:space="preserve"> of their fleets </w:t>
      </w:r>
      <w:r>
        <w:t xml:space="preserve">from </w:t>
      </w:r>
      <w:r w:rsidRPr="00B80217">
        <w:t>2010 to 201</w:t>
      </w:r>
      <w:r>
        <w:t>3</w:t>
      </w:r>
      <w:r w:rsidRPr="00B80217">
        <w:t>. The pre-charged import data from 2012 to 2016 provide</w:t>
      </w:r>
      <w:r>
        <w:t>s</w:t>
      </w:r>
      <w:r w:rsidRPr="00B80217">
        <w:t xml:space="preserve"> </w:t>
      </w:r>
      <w:r>
        <w:t xml:space="preserve">sound </w:t>
      </w:r>
      <w:r w:rsidRPr="00B80217">
        <w:t xml:space="preserve">evidence of sales in access of 100,000 pieces per annum particularly when units charged with hydrocarbon are added as well as local manufacturing. A conservative sales growth of 2.5% per annum from the 77,500 pieces per annum </w:t>
      </w:r>
      <w:r>
        <w:t xml:space="preserve">baseline </w:t>
      </w:r>
      <w:r w:rsidRPr="00B80217">
        <w:t>has been assumed from 201</w:t>
      </w:r>
      <w:r>
        <w:t>4</w:t>
      </w:r>
      <w:r w:rsidRPr="00B80217">
        <w:t xml:space="preserve"> to 2020, followed by 2.0% growth per annum from 2020 to 2030, and 1.5% out to 2035.</w:t>
      </w:r>
    </w:p>
    <w:p w14:paraId="160391FE" w14:textId="41A4856E" w:rsidR="00305101" w:rsidRDefault="00305101" w:rsidP="000F7D7D">
      <w:pPr>
        <w:pStyle w:val="E3BodyText"/>
        <w:jc w:val="both"/>
      </w:pPr>
      <w:r>
        <w:t xml:space="preserve">The detailed data collected by </w:t>
      </w:r>
      <w:r w:rsidRPr="008A533D">
        <w:t xml:space="preserve">ECCA via the Energy Efficiency (Energy Using Products) Regulations </w:t>
      </w:r>
      <w:r>
        <w:t>was reviewed to assess sales growth in New Zealand and was found to be relatively flat over the period from 2012 to 2015. The New Zealand economy has also experienced growth in f</w:t>
      </w:r>
      <w:r w:rsidRPr="008A533D">
        <w:t>ood retail</w:t>
      </w:r>
      <w:r>
        <w:t xml:space="preserve"> and f</w:t>
      </w:r>
      <w:r w:rsidRPr="008A533D">
        <w:t>ood service channels</w:t>
      </w:r>
      <w:r>
        <w:t>. The supermarket fleet in New</w:t>
      </w:r>
      <w:r w:rsidR="001F3C44">
        <w:t> </w:t>
      </w:r>
      <w:r>
        <w:t xml:space="preserve">Zealand has grown from 642 in 2012 to 724 today, equating to around 3% growth per </w:t>
      </w:r>
      <w:r>
        <w:lastRenderedPageBreak/>
        <w:t>annum. A sales growth rate of 1.5% per annum in New Zealand is assumed from 2014 to 2035.</w:t>
      </w:r>
    </w:p>
    <w:p w14:paraId="22047971" w14:textId="77777777" w:rsidR="00305101" w:rsidRDefault="00305101" w:rsidP="000F7D7D">
      <w:pPr>
        <w:pStyle w:val="E3BodyText"/>
        <w:jc w:val="both"/>
      </w:pPr>
      <w:r>
        <w:t>The Consultation RIS assumed a growth rate of 2.5% per annum for both Australia and New Zealand from 2014 to 2035.  Considerable analysis was undertaken to estimate the sales and stock of RDCs and RSCs in 2013.  The latest evidence obtained from various sources described above for the Decision RIS has been used to review these growth rates and hence estimate stock and sales values in 2015.</w:t>
      </w:r>
    </w:p>
    <w:p w14:paraId="20B3B86C" w14:textId="4DF30771" w:rsidR="00E50722" w:rsidRDefault="00E50722">
      <w:pPr>
        <w:spacing w:after="0" w:line="240" w:lineRule="auto"/>
        <w:rPr>
          <w:rFonts w:eastAsia="Calibri" w:cs="Georgia"/>
          <w:color w:val="000000"/>
          <w:sz w:val="24"/>
          <w:szCs w:val="19"/>
          <w:lang w:val="en-US"/>
        </w:rPr>
      </w:pPr>
      <w:r>
        <w:br w:type="page"/>
      </w:r>
    </w:p>
    <w:p w14:paraId="55140993" w14:textId="77777777" w:rsidR="002060E2" w:rsidRDefault="002060E2" w:rsidP="00305101"/>
    <w:p w14:paraId="7CC01E4C" w14:textId="77777777" w:rsidR="002060E2" w:rsidRDefault="002060E2" w:rsidP="00305101"/>
    <w:p w14:paraId="715737E7" w14:textId="1AFEB35D" w:rsidR="002060E2" w:rsidRDefault="002060E2" w:rsidP="002060E2">
      <w:pPr>
        <w:pStyle w:val="E3ChapterTitle"/>
      </w:pPr>
      <w:bookmarkStart w:id="320" w:name="_Toc500151832"/>
      <w:r>
        <w:rPr>
          <w:noProof/>
          <w:lang w:eastAsia="en-AU"/>
        </w:rPr>
        <w:drawing>
          <wp:anchor distT="0" distB="0" distL="114300" distR="114300" simplePos="0" relativeHeight="251658251" behindDoc="1" locked="1" layoutInCell="1" allowOverlap="1" wp14:anchorId="542BA740" wp14:editId="4949F7FE">
            <wp:simplePos x="0" y="0"/>
            <wp:positionH relativeFrom="margin">
              <wp:align>left</wp:align>
            </wp:positionH>
            <wp:positionV relativeFrom="margin">
              <wp:align>top</wp:align>
            </wp:positionV>
            <wp:extent cx="6124575" cy="1800225"/>
            <wp:effectExtent l="0" t="0" r="9525" b="9525"/>
            <wp:wrapNone/>
            <wp:docPr id="29"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25"/>
                    <a:stretch>
                      <a:fillRect/>
                    </a:stretch>
                  </pic:blipFill>
                  <pic:spPr>
                    <a:xfrm>
                      <a:off x="0" y="0"/>
                      <a:ext cx="6124575" cy="1800225"/>
                    </a:xfrm>
                    <a:prstGeom prst="rect">
                      <a:avLst/>
                    </a:prstGeom>
                  </pic:spPr>
                </pic:pic>
              </a:graphicData>
            </a:graphic>
          </wp:anchor>
        </w:drawing>
      </w:r>
      <w:r w:rsidR="004C7417">
        <w:t>Attachment B</w:t>
      </w:r>
      <w:r>
        <w:t xml:space="preserve"> - New Zealand stock by major sectors</w:t>
      </w:r>
      <w:bookmarkEnd w:id="320"/>
    </w:p>
    <w:p w14:paraId="734F3564" w14:textId="15959932" w:rsidR="002060E2" w:rsidRPr="002060E2" w:rsidRDefault="002060E2" w:rsidP="004C7417">
      <w:pPr>
        <w:pStyle w:val="E3Heading2"/>
        <w:jc w:val="both"/>
      </w:pPr>
      <w:bookmarkStart w:id="321" w:name="_Toc280615562"/>
      <w:bookmarkStart w:id="322" w:name="_Toc447533627"/>
      <w:bookmarkStart w:id="323" w:name="_Toc449708799"/>
      <w:bookmarkStart w:id="324" w:name="_Toc450031681"/>
      <w:bookmarkStart w:id="325" w:name="_Toc450032156"/>
      <w:bookmarkStart w:id="326" w:name="_Toc500151833"/>
      <w:r w:rsidRPr="002060E2">
        <w:t>Supermarkets, convenience stores and small retail</w:t>
      </w:r>
      <w:bookmarkEnd w:id="321"/>
      <w:bookmarkEnd w:id="322"/>
      <w:bookmarkEnd w:id="323"/>
      <w:bookmarkEnd w:id="324"/>
      <w:bookmarkEnd w:id="325"/>
      <w:bookmarkEnd w:id="326"/>
    </w:p>
    <w:p w14:paraId="40C02C13" w14:textId="77777777" w:rsidR="002060E2" w:rsidRPr="00AC7259" w:rsidRDefault="002060E2" w:rsidP="004C7417">
      <w:pPr>
        <w:pStyle w:val="E3BodyText"/>
        <w:jc w:val="both"/>
      </w:pPr>
      <w:r w:rsidRPr="00AC7259">
        <w:t>The New Zealand industry structure is similar in some ways to that of Australia. Progressive Enterprises is an Australian owned company and a subsidiary of the Aus</w:t>
      </w:r>
      <w:r>
        <w:t xml:space="preserve">tralian retail group Woolworths. It </w:t>
      </w:r>
      <w:r w:rsidRPr="00AC7259">
        <w:t>own</w:t>
      </w:r>
      <w:r>
        <w:t xml:space="preserve">s </w:t>
      </w:r>
      <w:r w:rsidRPr="00AC7259">
        <w:t>and operat</w:t>
      </w:r>
      <w:r>
        <w:t xml:space="preserve">es approximately </w:t>
      </w:r>
      <w:r w:rsidRPr="00AC7259">
        <w:t>166 Countdown stores (including former Foodtown and Woolworths stores) throughout New Zealand. They are also the franchise co-ordinator for around 59 Freshchoice and Supervalue stores. The other main chain is Foodstuffs which comprises three regional co-operatives supplying around 471 major stores (i.e. New World, PAK</w:t>
      </w:r>
      <w:r>
        <w:t xml:space="preserve"> ‘</w:t>
      </w:r>
      <w:r w:rsidRPr="00AC7259">
        <w:t>n</w:t>
      </w:r>
      <w:r>
        <w:t xml:space="preserve">’ </w:t>
      </w:r>
      <w:r w:rsidRPr="00AC7259">
        <w:t xml:space="preserve">SAVE and Four Square) and around 152 convenience stores. Independently owned stores such as Night and Day and Bin Inn </w:t>
      </w:r>
      <w:r>
        <w:t xml:space="preserve">operate in </w:t>
      </w:r>
      <w:r w:rsidRPr="00AC7259">
        <w:t>smaller numbers</w:t>
      </w:r>
      <w:r>
        <w:t>,</w:t>
      </w:r>
      <w:r w:rsidRPr="00AC7259">
        <w:t xml:space="preserve"> with around 60 stores.</w:t>
      </w:r>
    </w:p>
    <w:p w14:paraId="27679A5D" w14:textId="77777777" w:rsidR="002060E2" w:rsidRPr="00AC7259" w:rsidRDefault="002060E2" w:rsidP="004C7417">
      <w:pPr>
        <w:pStyle w:val="E3BodyText"/>
        <w:jc w:val="both"/>
      </w:pPr>
      <w:r w:rsidRPr="00AC7259">
        <w:t xml:space="preserve">The supermarket industry in New Zealand typically has smaller stores </w:t>
      </w:r>
      <w:r>
        <w:t>which are of a similar style</w:t>
      </w:r>
      <w:r w:rsidRPr="00AC7259">
        <w:t xml:space="preserve"> and variety to Australia. There are an estimated 22,300 remote display cabinets and 5,000 integral display cabinets in supermarkets. </w:t>
      </w:r>
      <w:r>
        <w:t xml:space="preserve">It is estimated that </w:t>
      </w:r>
      <w:r w:rsidRPr="00AC7259">
        <w:t xml:space="preserve">convenience stores </w:t>
      </w:r>
      <w:r>
        <w:t xml:space="preserve">(which include </w:t>
      </w:r>
      <w:r w:rsidRPr="00AC7259">
        <w:t>1,172 petrol stations, mini-markets and small stores</w:t>
      </w:r>
      <w:r>
        <w:t xml:space="preserve">) account for around </w:t>
      </w:r>
      <w:r w:rsidRPr="00AC7259">
        <w:t>2,250 remote display cabinets and 17,300 integral display cabinets</w:t>
      </w:r>
      <w:r>
        <w:t>.</w:t>
      </w:r>
    </w:p>
    <w:p w14:paraId="4C99A3DF" w14:textId="77777777" w:rsidR="002060E2" w:rsidRPr="00AC7259" w:rsidRDefault="002060E2" w:rsidP="004C7417">
      <w:pPr>
        <w:pStyle w:val="E3BodyText"/>
        <w:jc w:val="both"/>
      </w:pPr>
      <w:r w:rsidRPr="00AC7259">
        <w:t xml:space="preserve">The total estimated stock of </w:t>
      </w:r>
      <w:r>
        <w:t xml:space="preserve">cabinets </w:t>
      </w:r>
      <w:r w:rsidRPr="00AC7259">
        <w:t xml:space="preserve">in the supermarkets, convenience stores and small retail sector is over 25,800 remote display cabinets, 31,600 integral display cabinets and 1900 storage </w:t>
      </w:r>
      <w:r w:rsidRPr="00743BDB">
        <w:t>cabinets (or 59,300 in total).</w:t>
      </w:r>
    </w:p>
    <w:p w14:paraId="3D3083CB" w14:textId="77777777" w:rsidR="002060E2" w:rsidRPr="002060E2" w:rsidRDefault="002060E2" w:rsidP="004C7417">
      <w:pPr>
        <w:pStyle w:val="E3Heading2"/>
        <w:jc w:val="both"/>
      </w:pPr>
      <w:bookmarkStart w:id="327" w:name="_Toc280615563"/>
      <w:bookmarkStart w:id="328" w:name="_Toc447533628"/>
      <w:bookmarkStart w:id="329" w:name="_Toc449708800"/>
      <w:bookmarkStart w:id="330" w:name="_Toc450031682"/>
      <w:bookmarkStart w:id="331" w:name="_Toc450032157"/>
      <w:bookmarkStart w:id="332" w:name="_Toc494897988"/>
      <w:bookmarkStart w:id="333" w:name="_Toc494955780"/>
      <w:bookmarkStart w:id="334" w:name="_Toc494959588"/>
      <w:bookmarkStart w:id="335" w:name="_Toc494972714"/>
      <w:bookmarkStart w:id="336" w:name="_Toc494973901"/>
      <w:bookmarkStart w:id="337" w:name="_Toc494974590"/>
      <w:bookmarkStart w:id="338" w:name="_Toc500151834"/>
      <w:r w:rsidRPr="002060E2">
        <w:t>Food service channels</w:t>
      </w:r>
      <w:bookmarkEnd w:id="327"/>
      <w:bookmarkEnd w:id="328"/>
      <w:bookmarkEnd w:id="329"/>
      <w:bookmarkEnd w:id="330"/>
      <w:bookmarkEnd w:id="331"/>
      <w:bookmarkEnd w:id="332"/>
      <w:bookmarkEnd w:id="333"/>
      <w:bookmarkEnd w:id="334"/>
      <w:bookmarkEnd w:id="335"/>
      <w:bookmarkEnd w:id="336"/>
      <w:bookmarkEnd w:id="337"/>
      <w:bookmarkEnd w:id="338"/>
    </w:p>
    <w:p w14:paraId="093CDE2A" w14:textId="77777777" w:rsidR="002060E2" w:rsidRPr="00AC7259" w:rsidRDefault="002060E2" w:rsidP="004C7417">
      <w:pPr>
        <w:pStyle w:val="E3BodyText"/>
        <w:jc w:val="both"/>
      </w:pPr>
      <w:r w:rsidRPr="00AC7259">
        <w:t xml:space="preserve">The structure of the New Zealand food service channels are similar to Australia containing similar store formats, brands and types of </w:t>
      </w:r>
      <w:r>
        <w:t xml:space="preserve">equipment, </w:t>
      </w:r>
      <w:r w:rsidRPr="00AC7259">
        <w:t>just on a smaller scale.</w:t>
      </w:r>
    </w:p>
    <w:p w14:paraId="7F239572" w14:textId="77777777" w:rsidR="002060E2" w:rsidRPr="00AC7259" w:rsidRDefault="002060E2" w:rsidP="004C7417">
      <w:pPr>
        <w:pStyle w:val="E3BodyText"/>
        <w:jc w:val="both"/>
      </w:pPr>
      <w:r w:rsidRPr="00AC7259">
        <w:t xml:space="preserve">There </w:t>
      </w:r>
      <w:r>
        <w:t xml:space="preserve">are </w:t>
      </w:r>
      <w:r w:rsidRPr="00AC7259">
        <w:t>almost 1,000 institutional establishment</w:t>
      </w:r>
      <w:r>
        <w:t>s,</w:t>
      </w:r>
      <w:r w:rsidRPr="00AC7259">
        <w:t xml:space="preserve"> including private and public hospitals, aged persons homes, primary schools through to tertiary institutions and canteens </w:t>
      </w:r>
      <w:r>
        <w:t xml:space="preserve">which have </w:t>
      </w:r>
      <w:r w:rsidRPr="00AC7259">
        <w:t xml:space="preserve">an estimated 2,300 integral display cabinets and 2,800 storage cabinets. Larger quantities are found in the commercial channel, </w:t>
      </w:r>
      <w:r>
        <w:t xml:space="preserve">which accounts for </w:t>
      </w:r>
      <w:r w:rsidRPr="00AC7259">
        <w:t>an estimated 68,500 integral display cabinets, 8,000 remote display cabinets and 35,900 storage cabinets.</w:t>
      </w:r>
    </w:p>
    <w:p w14:paraId="13292C5B" w14:textId="77777777" w:rsidR="002060E2" w:rsidRDefault="002060E2" w:rsidP="004C7417">
      <w:pPr>
        <w:pStyle w:val="E3BodyText"/>
        <w:jc w:val="both"/>
      </w:pPr>
    </w:p>
    <w:p w14:paraId="2D974EF0" w14:textId="77777777" w:rsidR="002060E2" w:rsidRDefault="002060E2" w:rsidP="004C7417">
      <w:pPr>
        <w:pStyle w:val="E3BodyText"/>
        <w:jc w:val="both"/>
      </w:pPr>
    </w:p>
    <w:p w14:paraId="20BC29A7" w14:textId="77777777" w:rsidR="002060E2" w:rsidRDefault="002060E2" w:rsidP="004C7417">
      <w:pPr>
        <w:pStyle w:val="E3BodyText"/>
        <w:jc w:val="both"/>
      </w:pPr>
      <w:r w:rsidRPr="00AC7259">
        <w:lastRenderedPageBreak/>
        <w:t>A Hospitality Report undertaken by Restaurant Association of New Zealand (2013) was one source used to estimate the number of businesses in this sector. A summary of the number of business types and cabinets (i.e. display cabinets and storage cabinets</w:t>
      </w:r>
      <w:r>
        <w:t>) is provided below.</w:t>
      </w:r>
    </w:p>
    <w:p w14:paraId="6D96A4B0" w14:textId="77777777" w:rsidR="002060E2" w:rsidRDefault="002060E2" w:rsidP="002060E2">
      <w:pPr>
        <w:pStyle w:val="E3BodyText"/>
        <w:rPr>
          <w:b/>
          <w:sz w:val="18"/>
        </w:rPr>
      </w:pPr>
      <w:bookmarkStart w:id="339" w:name="_Ref450032439"/>
      <w:bookmarkStart w:id="340" w:name="_Toc449708976"/>
      <w:bookmarkStart w:id="341" w:name="_Toc456164760"/>
    </w:p>
    <w:p w14:paraId="4738D68B" w14:textId="5D312CE7" w:rsidR="002060E2" w:rsidRPr="00BC6AD1" w:rsidRDefault="002060E2" w:rsidP="002060E2">
      <w:pPr>
        <w:pStyle w:val="E3BodyText"/>
        <w:rPr>
          <w:b/>
          <w:sz w:val="18"/>
        </w:rPr>
      </w:pPr>
      <w:r w:rsidRPr="00BC6AD1">
        <w:rPr>
          <w:b/>
          <w:sz w:val="18"/>
        </w:rPr>
        <w:t xml:space="preserve">Table C </w:t>
      </w:r>
      <w:r w:rsidRPr="00BC6AD1">
        <w:rPr>
          <w:b/>
          <w:sz w:val="18"/>
        </w:rPr>
        <w:fldChar w:fldCharType="begin"/>
      </w:r>
      <w:r w:rsidRPr="00BC6AD1">
        <w:rPr>
          <w:b/>
          <w:sz w:val="18"/>
        </w:rPr>
        <w:instrText xml:space="preserve"> SEQ Table_C \* ARABIC </w:instrText>
      </w:r>
      <w:r w:rsidRPr="00BC6AD1">
        <w:rPr>
          <w:b/>
          <w:sz w:val="18"/>
        </w:rPr>
        <w:fldChar w:fldCharType="separate"/>
      </w:r>
      <w:r w:rsidR="00D51B4B">
        <w:rPr>
          <w:b/>
          <w:noProof/>
          <w:sz w:val="18"/>
        </w:rPr>
        <w:t>1</w:t>
      </w:r>
      <w:r w:rsidRPr="00BC6AD1">
        <w:rPr>
          <w:b/>
          <w:noProof/>
          <w:sz w:val="18"/>
        </w:rPr>
        <w:fldChar w:fldCharType="end"/>
      </w:r>
      <w:bookmarkEnd w:id="339"/>
      <w:r w:rsidRPr="00BC6AD1">
        <w:rPr>
          <w:b/>
          <w:sz w:val="18"/>
        </w:rPr>
        <w:t>: Estimate of catering and hospitality businesses in New Zealand.</w:t>
      </w:r>
      <w:bookmarkEnd w:id="340"/>
      <w:bookmarkEnd w:id="3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2835"/>
        <w:gridCol w:w="2830"/>
      </w:tblGrid>
      <w:tr w:rsidR="002060E2" w:rsidRPr="009160F0" w14:paraId="6C61CD56" w14:textId="77777777" w:rsidTr="00E50722">
        <w:trPr>
          <w:trHeight w:val="710"/>
        </w:trPr>
        <w:tc>
          <w:tcPr>
            <w:tcW w:w="3856" w:type="dxa"/>
            <w:shd w:val="clear" w:color="auto" w:fill="0C0C0C"/>
            <w:vAlign w:val="center"/>
          </w:tcPr>
          <w:p w14:paraId="6A8B6DD5" w14:textId="77777777" w:rsidR="002060E2" w:rsidRPr="005435C9" w:rsidRDefault="002060E2" w:rsidP="00E50722">
            <w:pPr>
              <w:pStyle w:val="E3TableHeading"/>
              <w:jc w:val="center"/>
              <w:rPr>
                <w:szCs w:val="15"/>
              </w:rPr>
            </w:pPr>
            <w:r w:rsidRPr="005435C9">
              <w:rPr>
                <w:szCs w:val="15"/>
              </w:rPr>
              <w:t>Type of business</w:t>
            </w:r>
          </w:p>
        </w:tc>
        <w:tc>
          <w:tcPr>
            <w:tcW w:w="2835" w:type="dxa"/>
            <w:shd w:val="clear" w:color="auto" w:fill="0C0C0C"/>
            <w:vAlign w:val="center"/>
          </w:tcPr>
          <w:p w14:paraId="02016E55" w14:textId="77777777" w:rsidR="002060E2" w:rsidRPr="005435C9" w:rsidRDefault="002060E2" w:rsidP="00E50722">
            <w:pPr>
              <w:pStyle w:val="E3TableHeading"/>
              <w:jc w:val="center"/>
              <w:rPr>
                <w:szCs w:val="15"/>
              </w:rPr>
            </w:pPr>
            <w:r w:rsidRPr="005435C9">
              <w:rPr>
                <w:szCs w:val="15"/>
              </w:rPr>
              <w:t>Number of businesses</w:t>
            </w:r>
          </w:p>
        </w:tc>
        <w:tc>
          <w:tcPr>
            <w:tcW w:w="2830" w:type="dxa"/>
            <w:shd w:val="clear" w:color="auto" w:fill="0C0C0C"/>
            <w:vAlign w:val="center"/>
          </w:tcPr>
          <w:p w14:paraId="0BF26037" w14:textId="77777777" w:rsidR="002060E2" w:rsidRPr="005435C9" w:rsidRDefault="002060E2" w:rsidP="00E50722">
            <w:pPr>
              <w:pStyle w:val="E3TableHeading"/>
              <w:jc w:val="center"/>
              <w:rPr>
                <w:szCs w:val="15"/>
              </w:rPr>
            </w:pPr>
            <w:r w:rsidRPr="005435C9">
              <w:rPr>
                <w:szCs w:val="15"/>
              </w:rPr>
              <w:t>Display cabinets and Storage cabinet by business type</w:t>
            </w:r>
          </w:p>
        </w:tc>
      </w:tr>
      <w:tr w:rsidR="002060E2" w:rsidRPr="001312BC" w14:paraId="43580D17" w14:textId="77777777" w:rsidTr="00E50722">
        <w:tc>
          <w:tcPr>
            <w:tcW w:w="3856" w:type="dxa"/>
            <w:vAlign w:val="center"/>
          </w:tcPr>
          <w:p w14:paraId="7F0F4547" w14:textId="77777777" w:rsidR="002060E2" w:rsidRPr="005435C9" w:rsidRDefault="002060E2" w:rsidP="002060E2">
            <w:pPr>
              <w:pStyle w:val="E3tabletext1"/>
              <w:rPr>
                <w:rFonts w:ascii="Helvetica" w:hAnsi="Helvetica" w:cs="Helvetica"/>
                <w:sz w:val="15"/>
                <w:szCs w:val="15"/>
              </w:rPr>
            </w:pPr>
            <w:r w:rsidRPr="005435C9">
              <w:rPr>
                <w:rFonts w:ascii="Helvetica" w:hAnsi="Helvetica" w:cs="Helvetica"/>
                <w:sz w:val="15"/>
                <w:szCs w:val="15"/>
              </w:rPr>
              <w:t>Cafes and restaurants</w:t>
            </w:r>
          </w:p>
        </w:tc>
        <w:tc>
          <w:tcPr>
            <w:tcW w:w="2835" w:type="dxa"/>
            <w:vAlign w:val="bottom"/>
          </w:tcPr>
          <w:p w14:paraId="07E1BF30" w14:textId="77777777" w:rsidR="002060E2" w:rsidRPr="005435C9" w:rsidRDefault="002060E2" w:rsidP="002060E2">
            <w:pPr>
              <w:pStyle w:val="E3tabletext1"/>
              <w:rPr>
                <w:rFonts w:ascii="Helvetica" w:hAnsi="Helvetica" w:cs="Helvetica"/>
                <w:color w:val="000000"/>
                <w:sz w:val="15"/>
                <w:szCs w:val="15"/>
              </w:rPr>
            </w:pPr>
            <w:r w:rsidRPr="005435C9">
              <w:rPr>
                <w:rFonts w:ascii="Helvetica" w:hAnsi="Helvetica" w:cs="Helvetica"/>
                <w:color w:val="000000"/>
                <w:sz w:val="15"/>
                <w:szCs w:val="15"/>
              </w:rPr>
              <w:t>7,172</w:t>
            </w:r>
          </w:p>
        </w:tc>
        <w:tc>
          <w:tcPr>
            <w:tcW w:w="2830" w:type="dxa"/>
          </w:tcPr>
          <w:p w14:paraId="7A705ACB" w14:textId="77777777" w:rsidR="002060E2" w:rsidRPr="005435C9" w:rsidRDefault="002060E2" w:rsidP="002060E2">
            <w:pPr>
              <w:pStyle w:val="E3tabletext1"/>
              <w:rPr>
                <w:rFonts w:ascii="Helvetica" w:hAnsi="Helvetica" w:cs="Helvetica"/>
                <w:color w:val="000000"/>
                <w:sz w:val="15"/>
                <w:szCs w:val="15"/>
              </w:rPr>
            </w:pPr>
            <w:r w:rsidRPr="005435C9">
              <w:rPr>
                <w:rFonts w:ascii="Helvetica" w:hAnsi="Helvetica" w:cs="Helvetica"/>
                <w:color w:val="000000"/>
                <w:sz w:val="15"/>
                <w:szCs w:val="15"/>
              </w:rPr>
              <w:t>46,618</w:t>
            </w:r>
          </w:p>
        </w:tc>
      </w:tr>
      <w:tr w:rsidR="002060E2" w:rsidRPr="001312BC" w14:paraId="426CDD8B" w14:textId="77777777" w:rsidTr="00E50722">
        <w:tc>
          <w:tcPr>
            <w:tcW w:w="3856" w:type="dxa"/>
            <w:vAlign w:val="center"/>
          </w:tcPr>
          <w:p w14:paraId="23FB0233" w14:textId="77777777" w:rsidR="002060E2" w:rsidRPr="005435C9" w:rsidRDefault="002060E2" w:rsidP="002060E2">
            <w:pPr>
              <w:pStyle w:val="E3tabletext1"/>
              <w:rPr>
                <w:rFonts w:ascii="Helvetica" w:hAnsi="Helvetica" w:cs="Helvetica"/>
                <w:sz w:val="15"/>
                <w:szCs w:val="15"/>
              </w:rPr>
            </w:pPr>
            <w:r w:rsidRPr="005435C9">
              <w:rPr>
                <w:rFonts w:ascii="Helvetica" w:hAnsi="Helvetica" w:cs="Helvetica"/>
                <w:sz w:val="15"/>
                <w:szCs w:val="15"/>
              </w:rPr>
              <w:t>Catering services</w:t>
            </w:r>
          </w:p>
        </w:tc>
        <w:tc>
          <w:tcPr>
            <w:tcW w:w="2835" w:type="dxa"/>
            <w:vAlign w:val="bottom"/>
          </w:tcPr>
          <w:p w14:paraId="6F902602" w14:textId="77777777" w:rsidR="002060E2" w:rsidRPr="005435C9" w:rsidRDefault="002060E2" w:rsidP="002060E2">
            <w:pPr>
              <w:pStyle w:val="E3tabletext1"/>
              <w:rPr>
                <w:rFonts w:ascii="Helvetica" w:hAnsi="Helvetica" w:cs="Helvetica"/>
                <w:color w:val="000000"/>
                <w:sz w:val="15"/>
                <w:szCs w:val="15"/>
              </w:rPr>
            </w:pPr>
            <w:r w:rsidRPr="005435C9">
              <w:rPr>
                <w:rFonts w:ascii="Helvetica" w:hAnsi="Helvetica" w:cs="Helvetica"/>
                <w:color w:val="000000"/>
                <w:sz w:val="15"/>
                <w:szCs w:val="15"/>
              </w:rPr>
              <w:t>732</w:t>
            </w:r>
          </w:p>
        </w:tc>
        <w:tc>
          <w:tcPr>
            <w:tcW w:w="2830" w:type="dxa"/>
          </w:tcPr>
          <w:p w14:paraId="080EFF82" w14:textId="77777777" w:rsidR="002060E2" w:rsidRPr="005435C9" w:rsidRDefault="002060E2" w:rsidP="002060E2">
            <w:pPr>
              <w:pStyle w:val="E3tabletext1"/>
              <w:rPr>
                <w:rFonts w:ascii="Helvetica" w:hAnsi="Helvetica" w:cs="Helvetica"/>
                <w:color w:val="000000"/>
                <w:sz w:val="15"/>
                <w:szCs w:val="15"/>
              </w:rPr>
            </w:pPr>
            <w:r w:rsidRPr="005435C9">
              <w:rPr>
                <w:rFonts w:ascii="Helvetica" w:hAnsi="Helvetica" w:cs="Helvetica"/>
                <w:color w:val="000000"/>
                <w:sz w:val="15"/>
                <w:szCs w:val="15"/>
              </w:rPr>
              <w:t>3,660</w:t>
            </w:r>
          </w:p>
        </w:tc>
      </w:tr>
      <w:tr w:rsidR="002060E2" w:rsidRPr="001312BC" w14:paraId="2B4FDAF4" w14:textId="77777777" w:rsidTr="00E50722">
        <w:tc>
          <w:tcPr>
            <w:tcW w:w="3856" w:type="dxa"/>
            <w:vAlign w:val="center"/>
          </w:tcPr>
          <w:p w14:paraId="657BE3A1" w14:textId="77777777" w:rsidR="002060E2" w:rsidRPr="005435C9" w:rsidRDefault="002060E2" w:rsidP="002060E2">
            <w:pPr>
              <w:pStyle w:val="E3tabletext1"/>
              <w:rPr>
                <w:rFonts w:ascii="Helvetica" w:hAnsi="Helvetica" w:cs="Helvetica"/>
                <w:sz w:val="15"/>
                <w:szCs w:val="15"/>
              </w:rPr>
            </w:pPr>
            <w:r w:rsidRPr="005435C9">
              <w:rPr>
                <w:rFonts w:ascii="Helvetica" w:hAnsi="Helvetica" w:cs="Helvetica"/>
                <w:sz w:val="15"/>
                <w:szCs w:val="15"/>
              </w:rPr>
              <w:t>Clubs (hospitality)</w:t>
            </w:r>
          </w:p>
        </w:tc>
        <w:tc>
          <w:tcPr>
            <w:tcW w:w="2835" w:type="dxa"/>
            <w:vAlign w:val="bottom"/>
          </w:tcPr>
          <w:p w14:paraId="5CD871ED" w14:textId="77777777" w:rsidR="002060E2" w:rsidRPr="005435C9" w:rsidRDefault="002060E2" w:rsidP="002060E2">
            <w:pPr>
              <w:pStyle w:val="E3tabletext1"/>
              <w:rPr>
                <w:rFonts w:ascii="Helvetica" w:hAnsi="Helvetica" w:cs="Helvetica"/>
                <w:color w:val="000000"/>
                <w:sz w:val="15"/>
                <w:szCs w:val="15"/>
              </w:rPr>
            </w:pPr>
            <w:r w:rsidRPr="005435C9">
              <w:rPr>
                <w:rFonts w:ascii="Helvetica" w:hAnsi="Helvetica" w:cs="Helvetica"/>
                <w:color w:val="000000"/>
                <w:sz w:val="15"/>
                <w:szCs w:val="15"/>
              </w:rPr>
              <w:t>439</w:t>
            </w:r>
          </w:p>
        </w:tc>
        <w:tc>
          <w:tcPr>
            <w:tcW w:w="2830" w:type="dxa"/>
          </w:tcPr>
          <w:p w14:paraId="76977426" w14:textId="77777777" w:rsidR="002060E2" w:rsidRPr="005435C9" w:rsidRDefault="002060E2" w:rsidP="002060E2">
            <w:pPr>
              <w:pStyle w:val="E3tabletext1"/>
              <w:rPr>
                <w:rFonts w:ascii="Helvetica" w:hAnsi="Helvetica" w:cs="Helvetica"/>
                <w:color w:val="000000"/>
                <w:sz w:val="15"/>
                <w:szCs w:val="15"/>
              </w:rPr>
            </w:pPr>
            <w:r w:rsidRPr="005435C9">
              <w:rPr>
                <w:rFonts w:ascii="Helvetica" w:hAnsi="Helvetica" w:cs="Helvetica"/>
                <w:color w:val="000000"/>
                <w:sz w:val="15"/>
                <w:szCs w:val="15"/>
              </w:rPr>
              <w:t>2,634</w:t>
            </w:r>
          </w:p>
        </w:tc>
      </w:tr>
      <w:tr w:rsidR="002060E2" w:rsidRPr="001312BC" w14:paraId="45A0AAF6" w14:textId="77777777" w:rsidTr="00E50722">
        <w:tc>
          <w:tcPr>
            <w:tcW w:w="3856" w:type="dxa"/>
            <w:vAlign w:val="center"/>
          </w:tcPr>
          <w:p w14:paraId="318F93F0" w14:textId="77777777" w:rsidR="002060E2" w:rsidRPr="005435C9" w:rsidRDefault="002060E2" w:rsidP="002060E2">
            <w:pPr>
              <w:pStyle w:val="E3tabletext1"/>
              <w:rPr>
                <w:rFonts w:ascii="Helvetica" w:hAnsi="Helvetica" w:cs="Helvetica"/>
                <w:sz w:val="15"/>
                <w:szCs w:val="15"/>
              </w:rPr>
            </w:pPr>
            <w:r w:rsidRPr="005435C9">
              <w:rPr>
                <w:rFonts w:ascii="Helvetica" w:hAnsi="Helvetica" w:cs="Helvetica"/>
                <w:sz w:val="15"/>
                <w:szCs w:val="15"/>
              </w:rPr>
              <w:t>Pubs, taverns and bars</w:t>
            </w:r>
          </w:p>
        </w:tc>
        <w:tc>
          <w:tcPr>
            <w:tcW w:w="2835" w:type="dxa"/>
            <w:vAlign w:val="bottom"/>
          </w:tcPr>
          <w:p w14:paraId="6C2B3B19" w14:textId="77777777" w:rsidR="002060E2" w:rsidRPr="005435C9" w:rsidRDefault="002060E2" w:rsidP="002060E2">
            <w:pPr>
              <w:pStyle w:val="E3tabletext1"/>
              <w:rPr>
                <w:rFonts w:ascii="Helvetica" w:hAnsi="Helvetica" w:cs="Helvetica"/>
                <w:color w:val="000000"/>
                <w:sz w:val="15"/>
                <w:szCs w:val="15"/>
              </w:rPr>
            </w:pPr>
            <w:r w:rsidRPr="005435C9">
              <w:rPr>
                <w:rFonts w:ascii="Helvetica" w:hAnsi="Helvetica" w:cs="Helvetica"/>
                <w:color w:val="000000"/>
                <w:sz w:val="15"/>
                <w:szCs w:val="15"/>
              </w:rPr>
              <w:t>1,610</w:t>
            </w:r>
          </w:p>
        </w:tc>
        <w:tc>
          <w:tcPr>
            <w:tcW w:w="2830" w:type="dxa"/>
          </w:tcPr>
          <w:p w14:paraId="518710E9" w14:textId="77777777" w:rsidR="002060E2" w:rsidRPr="005435C9" w:rsidRDefault="002060E2" w:rsidP="002060E2">
            <w:pPr>
              <w:pStyle w:val="E3tabletext1"/>
              <w:rPr>
                <w:rFonts w:ascii="Helvetica" w:hAnsi="Helvetica" w:cs="Helvetica"/>
                <w:color w:val="000000"/>
                <w:sz w:val="15"/>
                <w:szCs w:val="15"/>
              </w:rPr>
            </w:pPr>
            <w:r w:rsidRPr="005435C9">
              <w:rPr>
                <w:rFonts w:ascii="Helvetica" w:hAnsi="Helvetica" w:cs="Helvetica"/>
                <w:color w:val="000000"/>
                <w:sz w:val="15"/>
                <w:szCs w:val="15"/>
              </w:rPr>
              <w:t>8,050</w:t>
            </w:r>
          </w:p>
        </w:tc>
      </w:tr>
      <w:tr w:rsidR="002060E2" w:rsidRPr="001312BC" w14:paraId="4627CEA1" w14:textId="77777777" w:rsidTr="00E50722">
        <w:tc>
          <w:tcPr>
            <w:tcW w:w="3856" w:type="dxa"/>
            <w:vAlign w:val="center"/>
          </w:tcPr>
          <w:p w14:paraId="3FCB83EC" w14:textId="77777777" w:rsidR="002060E2" w:rsidRPr="005435C9" w:rsidRDefault="002060E2" w:rsidP="002060E2">
            <w:pPr>
              <w:pStyle w:val="E3tabletext1"/>
              <w:rPr>
                <w:rFonts w:ascii="Helvetica" w:hAnsi="Helvetica" w:cs="Helvetica"/>
                <w:sz w:val="15"/>
                <w:szCs w:val="15"/>
              </w:rPr>
            </w:pPr>
            <w:r w:rsidRPr="005435C9">
              <w:rPr>
                <w:rFonts w:ascii="Helvetica" w:hAnsi="Helvetica" w:cs="Helvetica"/>
                <w:sz w:val="15"/>
                <w:szCs w:val="15"/>
              </w:rPr>
              <w:t>Takeaway food services</w:t>
            </w:r>
          </w:p>
        </w:tc>
        <w:tc>
          <w:tcPr>
            <w:tcW w:w="2835" w:type="dxa"/>
            <w:vAlign w:val="bottom"/>
          </w:tcPr>
          <w:p w14:paraId="7D90C56E" w14:textId="77777777" w:rsidR="002060E2" w:rsidRPr="005435C9" w:rsidRDefault="002060E2" w:rsidP="002060E2">
            <w:pPr>
              <w:pStyle w:val="E3tabletext1"/>
              <w:rPr>
                <w:rFonts w:ascii="Helvetica" w:hAnsi="Helvetica" w:cs="Helvetica"/>
                <w:color w:val="000000"/>
                <w:sz w:val="15"/>
                <w:szCs w:val="15"/>
              </w:rPr>
            </w:pPr>
            <w:r w:rsidRPr="005435C9">
              <w:rPr>
                <w:rFonts w:ascii="Helvetica" w:hAnsi="Helvetica" w:cs="Helvetica"/>
                <w:color w:val="000000"/>
                <w:sz w:val="15"/>
                <w:szCs w:val="15"/>
              </w:rPr>
              <w:t>4,684</w:t>
            </w:r>
          </w:p>
        </w:tc>
        <w:tc>
          <w:tcPr>
            <w:tcW w:w="2830" w:type="dxa"/>
          </w:tcPr>
          <w:p w14:paraId="35F2FEDA" w14:textId="77777777" w:rsidR="002060E2" w:rsidRPr="005435C9" w:rsidRDefault="002060E2" w:rsidP="002060E2">
            <w:pPr>
              <w:pStyle w:val="E3tabletext1"/>
              <w:rPr>
                <w:rFonts w:ascii="Helvetica" w:hAnsi="Helvetica" w:cs="Helvetica"/>
                <w:color w:val="000000"/>
                <w:sz w:val="15"/>
                <w:szCs w:val="15"/>
              </w:rPr>
            </w:pPr>
            <w:r w:rsidRPr="005435C9">
              <w:rPr>
                <w:rFonts w:ascii="Helvetica" w:hAnsi="Helvetica" w:cs="Helvetica"/>
                <w:color w:val="000000"/>
                <w:sz w:val="15"/>
                <w:szCs w:val="15"/>
              </w:rPr>
              <w:t>30,446</w:t>
            </w:r>
          </w:p>
        </w:tc>
      </w:tr>
      <w:tr w:rsidR="002060E2" w:rsidRPr="001312BC" w14:paraId="654A2024" w14:textId="77777777" w:rsidTr="00E50722">
        <w:tc>
          <w:tcPr>
            <w:tcW w:w="3856" w:type="dxa"/>
            <w:vAlign w:val="center"/>
          </w:tcPr>
          <w:p w14:paraId="002EE3BD" w14:textId="77777777" w:rsidR="002060E2" w:rsidRPr="005435C9" w:rsidRDefault="002060E2" w:rsidP="002060E2">
            <w:pPr>
              <w:pStyle w:val="E3tabletext1"/>
              <w:rPr>
                <w:rFonts w:ascii="Helvetica" w:hAnsi="Helvetica" w:cs="Helvetica"/>
                <w:sz w:val="15"/>
                <w:szCs w:val="15"/>
              </w:rPr>
            </w:pPr>
            <w:r w:rsidRPr="005435C9">
              <w:rPr>
                <w:rFonts w:ascii="Helvetica" w:hAnsi="Helvetica" w:cs="Helvetica"/>
                <w:sz w:val="15"/>
                <w:szCs w:val="15"/>
              </w:rPr>
              <w:t>Hotels and motels</w:t>
            </w:r>
          </w:p>
        </w:tc>
        <w:tc>
          <w:tcPr>
            <w:tcW w:w="2835" w:type="dxa"/>
            <w:vAlign w:val="bottom"/>
          </w:tcPr>
          <w:p w14:paraId="21E376B2" w14:textId="77777777" w:rsidR="002060E2" w:rsidRPr="005435C9" w:rsidRDefault="002060E2" w:rsidP="002060E2">
            <w:pPr>
              <w:pStyle w:val="E3tabletext1"/>
              <w:rPr>
                <w:rFonts w:ascii="Helvetica" w:hAnsi="Helvetica" w:cs="Helvetica"/>
                <w:color w:val="000000"/>
                <w:sz w:val="15"/>
                <w:szCs w:val="15"/>
              </w:rPr>
            </w:pPr>
            <w:r w:rsidRPr="005435C9">
              <w:rPr>
                <w:rFonts w:ascii="Helvetica" w:hAnsi="Helvetica" w:cs="Helvetica"/>
                <w:color w:val="000000"/>
                <w:sz w:val="15"/>
                <w:szCs w:val="15"/>
              </w:rPr>
              <w:t>2,376</w:t>
            </w:r>
          </w:p>
        </w:tc>
        <w:tc>
          <w:tcPr>
            <w:tcW w:w="2830" w:type="dxa"/>
          </w:tcPr>
          <w:p w14:paraId="2E4D4483" w14:textId="77777777" w:rsidR="002060E2" w:rsidRPr="005435C9" w:rsidRDefault="002060E2" w:rsidP="002060E2">
            <w:pPr>
              <w:pStyle w:val="E3tabletext1"/>
              <w:rPr>
                <w:rFonts w:ascii="Helvetica" w:hAnsi="Helvetica" w:cs="Helvetica"/>
                <w:color w:val="000000"/>
                <w:sz w:val="15"/>
                <w:szCs w:val="15"/>
              </w:rPr>
            </w:pPr>
            <w:r w:rsidRPr="005435C9">
              <w:rPr>
                <w:rFonts w:ascii="Helvetica" w:hAnsi="Helvetica" w:cs="Helvetica"/>
                <w:color w:val="000000"/>
                <w:sz w:val="15"/>
                <w:szCs w:val="15"/>
              </w:rPr>
              <w:t>10,692</w:t>
            </w:r>
          </w:p>
        </w:tc>
      </w:tr>
      <w:tr w:rsidR="002060E2" w:rsidRPr="001312BC" w14:paraId="578EAA3A" w14:textId="77777777" w:rsidTr="00E50722">
        <w:tc>
          <w:tcPr>
            <w:tcW w:w="3856" w:type="dxa"/>
            <w:vAlign w:val="center"/>
          </w:tcPr>
          <w:p w14:paraId="67BFFB03" w14:textId="77777777" w:rsidR="002060E2" w:rsidRPr="005435C9" w:rsidRDefault="002060E2" w:rsidP="002060E2">
            <w:pPr>
              <w:pStyle w:val="E3tabletext1"/>
              <w:rPr>
                <w:rFonts w:ascii="Helvetica" w:hAnsi="Helvetica" w:cs="Helvetica"/>
                <w:sz w:val="15"/>
                <w:szCs w:val="15"/>
              </w:rPr>
            </w:pPr>
            <w:r w:rsidRPr="005435C9">
              <w:rPr>
                <w:rFonts w:ascii="Helvetica" w:hAnsi="Helvetica" w:cs="Helvetica"/>
                <w:sz w:val="15"/>
                <w:szCs w:val="15"/>
              </w:rPr>
              <w:t>Other (i.e. miscellaneous locations such as hardware stores, airports, sports centre, etc.)</w:t>
            </w:r>
          </w:p>
        </w:tc>
        <w:tc>
          <w:tcPr>
            <w:tcW w:w="2835" w:type="dxa"/>
            <w:vAlign w:val="center"/>
          </w:tcPr>
          <w:p w14:paraId="4B0D9E8C" w14:textId="77777777" w:rsidR="002060E2" w:rsidRPr="005435C9" w:rsidRDefault="002060E2" w:rsidP="002060E2">
            <w:pPr>
              <w:pStyle w:val="E3tabletext1"/>
              <w:rPr>
                <w:rFonts w:ascii="Helvetica" w:hAnsi="Helvetica" w:cs="Helvetica"/>
                <w:sz w:val="15"/>
                <w:szCs w:val="15"/>
              </w:rPr>
            </w:pPr>
            <w:r w:rsidRPr="005435C9">
              <w:rPr>
                <w:rFonts w:ascii="Helvetica" w:hAnsi="Helvetica" w:cs="Helvetica"/>
                <w:sz w:val="15"/>
                <w:szCs w:val="15"/>
              </w:rPr>
              <w:t>450</w:t>
            </w:r>
          </w:p>
        </w:tc>
        <w:tc>
          <w:tcPr>
            <w:tcW w:w="2830" w:type="dxa"/>
          </w:tcPr>
          <w:p w14:paraId="64882F62" w14:textId="77777777" w:rsidR="002060E2" w:rsidRPr="005435C9" w:rsidRDefault="002060E2" w:rsidP="002060E2">
            <w:pPr>
              <w:pStyle w:val="E3tabletext1"/>
              <w:rPr>
                <w:rFonts w:ascii="Helvetica" w:hAnsi="Helvetica" w:cs="Helvetica"/>
                <w:color w:val="000000"/>
                <w:sz w:val="15"/>
                <w:szCs w:val="15"/>
              </w:rPr>
            </w:pPr>
            <w:r w:rsidRPr="005435C9">
              <w:rPr>
                <w:rFonts w:ascii="Helvetica" w:hAnsi="Helvetica" w:cs="Helvetica"/>
                <w:color w:val="000000"/>
                <w:sz w:val="15"/>
                <w:szCs w:val="15"/>
              </w:rPr>
              <w:t>2,250</w:t>
            </w:r>
          </w:p>
        </w:tc>
      </w:tr>
      <w:tr w:rsidR="002060E2" w:rsidRPr="001312BC" w14:paraId="1EEE49D9" w14:textId="77777777" w:rsidTr="00E50722">
        <w:tc>
          <w:tcPr>
            <w:tcW w:w="3856" w:type="dxa"/>
            <w:vAlign w:val="center"/>
          </w:tcPr>
          <w:p w14:paraId="172554EE" w14:textId="77777777" w:rsidR="002060E2" w:rsidRPr="005435C9" w:rsidRDefault="002060E2" w:rsidP="002060E2">
            <w:pPr>
              <w:pStyle w:val="E3tabletext1"/>
              <w:rPr>
                <w:rFonts w:ascii="Helvetica" w:hAnsi="Helvetica" w:cs="Helvetica"/>
                <w:sz w:val="15"/>
                <w:szCs w:val="15"/>
              </w:rPr>
            </w:pPr>
            <w:r w:rsidRPr="005435C9">
              <w:rPr>
                <w:rFonts w:ascii="Helvetica" w:hAnsi="Helvetica" w:cs="Helvetica"/>
                <w:sz w:val="15"/>
                <w:szCs w:val="15"/>
              </w:rPr>
              <w:t>Grand total</w:t>
            </w:r>
          </w:p>
        </w:tc>
        <w:tc>
          <w:tcPr>
            <w:tcW w:w="2835" w:type="dxa"/>
            <w:vAlign w:val="center"/>
          </w:tcPr>
          <w:p w14:paraId="0E37EA7B" w14:textId="77777777" w:rsidR="002060E2" w:rsidRPr="005435C9" w:rsidRDefault="002060E2" w:rsidP="002060E2">
            <w:pPr>
              <w:pStyle w:val="E3tabletext1"/>
              <w:rPr>
                <w:rFonts w:ascii="Helvetica" w:hAnsi="Helvetica" w:cs="Helvetica"/>
                <w:sz w:val="15"/>
                <w:szCs w:val="15"/>
              </w:rPr>
            </w:pPr>
            <w:r w:rsidRPr="005435C9">
              <w:rPr>
                <w:rFonts w:ascii="Helvetica" w:hAnsi="Helvetica" w:cs="Helvetica"/>
                <w:sz w:val="15"/>
                <w:szCs w:val="15"/>
              </w:rPr>
              <w:t>17,013</w:t>
            </w:r>
          </w:p>
        </w:tc>
        <w:tc>
          <w:tcPr>
            <w:tcW w:w="2830" w:type="dxa"/>
            <w:vAlign w:val="center"/>
          </w:tcPr>
          <w:p w14:paraId="122B371F" w14:textId="77777777" w:rsidR="002060E2" w:rsidRPr="005435C9" w:rsidRDefault="002060E2" w:rsidP="002060E2">
            <w:pPr>
              <w:pStyle w:val="E3tabletext1"/>
              <w:rPr>
                <w:rFonts w:ascii="Helvetica" w:hAnsi="Helvetica" w:cs="Helvetica"/>
                <w:color w:val="000000"/>
                <w:sz w:val="15"/>
                <w:szCs w:val="15"/>
              </w:rPr>
            </w:pPr>
            <w:r w:rsidRPr="005435C9">
              <w:rPr>
                <w:rFonts w:ascii="Helvetica" w:hAnsi="Helvetica" w:cs="Helvetica"/>
                <w:color w:val="000000"/>
                <w:sz w:val="15"/>
                <w:szCs w:val="15"/>
              </w:rPr>
              <w:t>104,350</w:t>
            </w:r>
          </w:p>
        </w:tc>
      </w:tr>
    </w:tbl>
    <w:p w14:paraId="3693DC67" w14:textId="77777777" w:rsidR="002060E2" w:rsidRDefault="002060E2" w:rsidP="002060E2">
      <w:pPr>
        <w:tabs>
          <w:tab w:val="left" w:pos="1440"/>
        </w:tabs>
      </w:pPr>
    </w:p>
    <w:p w14:paraId="617B3BB3" w14:textId="77777777" w:rsidR="002060E2" w:rsidRDefault="002060E2" w:rsidP="002060E2">
      <w:pPr>
        <w:tabs>
          <w:tab w:val="left" w:pos="1440"/>
        </w:tabs>
      </w:pPr>
    </w:p>
    <w:p w14:paraId="4FAE2B87" w14:textId="77777777" w:rsidR="002060E2" w:rsidRDefault="002060E2" w:rsidP="002060E2">
      <w:pPr>
        <w:tabs>
          <w:tab w:val="left" w:pos="1440"/>
        </w:tabs>
      </w:pPr>
    </w:p>
    <w:p w14:paraId="67C8AA4A" w14:textId="77777777" w:rsidR="002060E2" w:rsidRDefault="002060E2" w:rsidP="002060E2">
      <w:pPr>
        <w:tabs>
          <w:tab w:val="left" w:pos="1440"/>
        </w:tabs>
      </w:pPr>
    </w:p>
    <w:p w14:paraId="1839C754" w14:textId="77777777" w:rsidR="002060E2" w:rsidRDefault="002060E2" w:rsidP="002060E2">
      <w:pPr>
        <w:tabs>
          <w:tab w:val="left" w:pos="1440"/>
        </w:tabs>
      </w:pPr>
    </w:p>
    <w:p w14:paraId="7BA0B150" w14:textId="77777777" w:rsidR="002060E2" w:rsidRDefault="002060E2" w:rsidP="002060E2">
      <w:pPr>
        <w:tabs>
          <w:tab w:val="left" w:pos="1440"/>
        </w:tabs>
      </w:pPr>
    </w:p>
    <w:p w14:paraId="5EBF350F" w14:textId="77777777" w:rsidR="002060E2" w:rsidRDefault="002060E2" w:rsidP="002060E2">
      <w:pPr>
        <w:tabs>
          <w:tab w:val="left" w:pos="1440"/>
        </w:tabs>
      </w:pPr>
    </w:p>
    <w:p w14:paraId="686368F9" w14:textId="77777777" w:rsidR="002060E2" w:rsidRDefault="002060E2" w:rsidP="002060E2">
      <w:pPr>
        <w:tabs>
          <w:tab w:val="left" w:pos="1440"/>
        </w:tabs>
      </w:pPr>
    </w:p>
    <w:p w14:paraId="48BF0135" w14:textId="77777777" w:rsidR="002060E2" w:rsidRDefault="002060E2" w:rsidP="002060E2">
      <w:pPr>
        <w:tabs>
          <w:tab w:val="left" w:pos="1440"/>
        </w:tabs>
      </w:pPr>
    </w:p>
    <w:p w14:paraId="629E258B" w14:textId="77777777" w:rsidR="002060E2" w:rsidRDefault="002060E2" w:rsidP="002060E2">
      <w:pPr>
        <w:tabs>
          <w:tab w:val="left" w:pos="1440"/>
        </w:tabs>
      </w:pPr>
    </w:p>
    <w:p w14:paraId="681336C9" w14:textId="77777777" w:rsidR="002060E2" w:rsidRDefault="002060E2" w:rsidP="002060E2">
      <w:pPr>
        <w:tabs>
          <w:tab w:val="left" w:pos="1440"/>
        </w:tabs>
      </w:pPr>
    </w:p>
    <w:p w14:paraId="4429AF6F" w14:textId="77777777" w:rsidR="002060E2" w:rsidRDefault="002060E2" w:rsidP="002060E2">
      <w:pPr>
        <w:tabs>
          <w:tab w:val="left" w:pos="1440"/>
        </w:tabs>
      </w:pPr>
    </w:p>
    <w:p w14:paraId="0E3C1D2E" w14:textId="77777777" w:rsidR="002060E2" w:rsidRDefault="002060E2" w:rsidP="002060E2">
      <w:pPr>
        <w:tabs>
          <w:tab w:val="left" w:pos="1440"/>
        </w:tabs>
      </w:pPr>
    </w:p>
    <w:p w14:paraId="333817BF" w14:textId="77777777" w:rsidR="002060E2" w:rsidRDefault="002060E2" w:rsidP="002060E2">
      <w:pPr>
        <w:tabs>
          <w:tab w:val="left" w:pos="1440"/>
        </w:tabs>
      </w:pPr>
    </w:p>
    <w:p w14:paraId="09F3D068" w14:textId="77777777" w:rsidR="002060E2" w:rsidRDefault="002060E2" w:rsidP="002060E2">
      <w:pPr>
        <w:tabs>
          <w:tab w:val="left" w:pos="1440"/>
        </w:tabs>
      </w:pPr>
    </w:p>
    <w:p w14:paraId="698EED56" w14:textId="77777777" w:rsidR="002060E2" w:rsidRDefault="002060E2" w:rsidP="002060E2">
      <w:pPr>
        <w:tabs>
          <w:tab w:val="left" w:pos="1440"/>
        </w:tabs>
      </w:pPr>
    </w:p>
    <w:p w14:paraId="2B33E7FE" w14:textId="77777777" w:rsidR="002060E2" w:rsidRDefault="002060E2" w:rsidP="002060E2">
      <w:pPr>
        <w:tabs>
          <w:tab w:val="left" w:pos="1440"/>
        </w:tabs>
      </w:pPr>
    </w:p>
    <w:p w14:paraId="0157B665" w14:textId="77777777" w:rsidR="002060E2" w:rsidRDefault="002060E2" w:rsidP="002060E2">
      <w:pPr>
        <w:tabs>
          <w:tab w:val="left" w:pos="1440"/>
        </w:tabs>
      </w:pPr>
    </w:p>
    <w:p w14:paraId="1CFD003C" w14:textId="77777777" w:rsidR="002060E2" w:rsidRDefault="002060E2" w:rsidP="002060E2">
      <w:pPr>
        <w:tabs>
          <w:tab w:val="left" w:pos="1440"/>
        </w:tabs>
      </w:pPr>
    </w:p>
    <w:p w14:paraId="30FEB279" w14:textId="77777777" w:rsidR="002060E2" w:rsidRDefault="002060E2" w:rsidP="002060E2">
      <w:pPr>
        <w:tabs>
          <w:tab w:val="left" w:pos="1440"/>
        </w:tabs>
      </w:pPr>
    </w:p>
    <w:p w14:paraId="3611A589" w14:textId="77777777" w:rsidR="002060E2" w:rsidRDefault="002060E2" w:rsidP="002060E2">
      <w:pPr>
        <w:tabs>
          <w:tab w:val="left" w:pos="1440"/>
        </w:tabs>
      </w:pPr>
    </w:p>
    <w:p w14:paraId="5E08453B" w14:textId="77777777" w:rsidR="002060E2" w:rsidRDefault="002060E2" w:rsidP="002060E2">
      <w:pPr>
        <w:tabs>
          <w:tab w:val="left" w:pos="1440"/>
        </w:tabs>
      </w:pPr>
    </w:p>
    <w:p w14:paraId="7E54E376" w14:textId="77777777" w:rsidR="002060E2" w:rsidRDefault="002060E2" w:rsidP="002060E2">
      <w:pPr>
        <w:tabs>
          <w:tab w:val="left" w:pos="1440"/>
        </w:tabs>
      </w:pPr>
    </w:p>
    <w:p w14:paraId="19A72FD0" w14:textId="0B724BAB" w:rsidR="002060E2" w:rsidRPr="002060E2" w:rsidRDefault="002060E2" w:rsidP="00E50722">
      <w:pPr>
        <w:pStyle w:val="E3ChapterTitle"/>
        <w:spacing w:after="1200"/>
      </w:pPr>
      <w:bookmarkStart w:id="342" w:name="_Toc500151835"/>
      <w:r>
        <w:lastRenderedPageBreak/>
        <w:t>A</w:t>
      </w:r>
      <w:r>
        <w:rPr>
          <w:noProof/>
          <w:lang w:eastAsia="en-AU"/>
        </w:rPr>
        <w:drawing>
          <wp:anchor distT="0" distB="0" distL="114300" distR="114300" simplePos="0" relativeHeight="251658252" behindDoc="1" locked="1" layoutInCell="1" allowOverlap="1" wp14:anchorId="1D4EE2D9" wp14:editId="76616FE7">
            <wp:simplePos x="0" y="0"/>
            <wp:positionH relativeFrom="margin">
              <wp:align>left</wp:align>
            </wp:positionH>
            <wp:positionV relativeFrom="margin">
              <wp:posOffset>-400685</wp:posOffset>
            </wp:positionV>
            <wp:extent cx="6124575" cy="1800225"/>
            <wp:effectExtent l="0" t="0" r="9525" b="9525"/>
            <wp:wrapNone/>
            <wp:docPr id="227"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25"/>
                    <a:stretch>
                      <a:fillRect/>
                    </a:stretch>
                  </pic:blipFill>
                  <pic:spPr>
                    <a:xfrm>
                      <a:off x="0" y="0"/>
                      <a:ext cx="6124575" cy="1800225"/>
                    </a:xfrm>
                    <a:prstGeom prst="rect">
                      <a:avLst/>
                    </a:prstGeom>
                  </pic:spPr>
                </pic:pic>
              </a:graphicData>
            </a:graphic>
          </wp:anchor>
        </w:drawing>
      </w:r>
      <w:r>
        <w:t xml:space="preserve">ttachment </w:t>
      </w:r>
      <w:r w:rsidR="004C7417">
        <w:t>C</w:t>
      </w:r>
      <w:r>
        <w:t>- Stock modelling</w:t>
      </w:r>
      <w:r w:rsidR="00AF174C">
        <w:t>,</w:t>
      </w:r>
      <w:r>
        <w:t xml:space="preserve"> assumptions</w:t>
      </w:r>
      <w:r w:rsidR="00AF174C">
        <w:t xml:space="preserve"> / Cost-Benefit methodology</w:t>
      </w:r>
      <w:bookmarkEnd w:id="342"/>
    </w:p>
    <w:p w14:paraId="38AA3CB1" w14:textId="77777777" w:rsidR="00D51B4B" w:rsidRDefault="002060E2" w:rsidP="004C7417">
      <w:pPr>
        <w:pStyle w:val="E3BodyText"/>
        <w:spacing w:before="240"/>
        <w:jc w:val="both"/>
      </w:pPr>
      <w:bookmarkStart w:id="343" w:name="_Toc449708802"/>
      <w:r w:rsidRPr="00D100F1">
        <w:rPr>
          <w:szCs w:val="24"/>
        </w:rPr>
        <w:t>The stock modelling and assumptions and Cost-Benefit methodology were provided by the consultancy firms Expert Group and Energy Consult who have expertise in this area.</w:t>
      </w:r>
      <w:r w:rsidR="00D100F1">
        <w:rPr>
          <w:szCs w:val="24"/>
        </w:rPr>
        <w:t xml:space="preserve"> </w:t>
      </w:r>
      <w:r w:rsidRPr="0041262C">
        <w:t>Stock Analysis</w:t>
      </w:r>
      <w:bookmarkEnd w:id="343"/>
      <w:r w:rsidR="00B026F4">
        <w:t xml:space="preserve"> </w:t>
      </w:r>
      <w:r w:rsidRPr="0041262C">
        <w:fldChar w:fldCharType="begin"/>
      </w:r>
      <w:r w:rsidRPr="0041262C">
        <w:instrText xml:space="preserve"> REF _Ref450032492 \h  \* MERGEFORMAT </w:instrText>
      </w:r>
      <w:r w:rsidRPr="0041262C">
        <w:fldChar w:fldCharType="separate"/>
      </w:r>
      <w:r w:rsidR="00D51B4B">
        <w:t xml:space="preserve"> </w:t>
      </w:r>
    </w:p>
    <w:p w14:paraId="26B94DF1" w14:textId="7134D8B3" w:rsidR="00D100F1" w:rsidRDefault="00D51B4B" w:rsidP="004C7417">
      <w:pPr>
        <w:pStyle w:val="E3BodyText"/>
        <w:spacing w:before="240"/>
        <w:jc w:val="both"/>
      </w:pPr>
      <w:r w:rsidRPr="00D51B4B">
        <w:t xml:space="preserve">Table </w:t>
      </w:r>
      <w:r w:rsidRPr="00D51B4B">
        <w:rPr>
          <w:noProof/>
        </w:rPr>
        <w:t xml:space="preserve">D </w:t>
      </w:r>
      <w:r>
        <w:rPr>
          <w:b/>
          <w:noProof/>
          <w:sz w:val="18"/>
        </w:rPr>
        <w:t>1</w:t>
      </w:r>
      <w:r w:rsidR="002060E2" w:rsidRPr="0041262C">
        <w:rPr>
          <w:b/>
        </w:rPr>
        <w:fldChar w:fldCharType="end"/>
      </w:r>
      <w:r w:rsidR="002060E2" w:rsidRPr="00AC7259">
        <w:t xml:space="preserve"> below </w:t>
      </w:r>
      <w:r w:rsidR="002060E2">
        <w:t xml:space="preserve">shows the number of refrigerated commercial </w:t>
      </w:r>
      <w:r w:rsidR="002060E2" w:rsidRPr="00AC7259">
        <w:t>cabinets estimated for each type of outlet</w:t>
      </w:r>
      <w:r w:rsidR="002060E2">
        <w:t>, for the purpose of</w:t>
      </w:r>
      <w:r w:rsidR="002060E2" w:rsidRPr="00AC7259">
        <w:t xml:space="preserve"> </w:t>
      </w:r>
      <w:r w:rsidR="002060E2">
        <w:t>undertaking</w:t>
      </w:r>
      <w:r w:rsidR="002060E2" w:rsidRPr="00AC7259">
        <w:t xml:space="preserve"> a stock calculation for each major channel, and outlet type.</w:t>
      </w:r>
      <w:bookmarkStart w:id="344" w:name="_Ref450032492"/>
      <w:bookmarkStart w:id="345" w:name="_Toc449708977"/>
      <w:bookmarkStart w:id="346" w:name="_Toc456164775"/>
      <w:r w:rsidR="00B026F4">
        <w:t xml:space="preserve"> </w:t>
      </w:r>
    </w:p>
    <w:p w14:paraId="645E36FD" w14:textId="2DEFF0D7" w:rsidR="002060E2" w:rsidRPr="00D100F1" w:rsidRDefault="002060E2" w:rsidP="00D100F1">
      <w:pPr>
        <w:pStyle w:val="E3BodyText"/>
        <w:rPr>
          <w:b/>
          <w:sz w:val="18"/>
        </w:rPr>
      </w:pPr>
      <w:r w:rsidRPr="00D100F1">
        <w:rPr>
          <w:b/>
          <w:sz w:val="18"/>
        </w:rPr>
        <w:t xml:space="preserve">Table D </w:t>
      </w:r>
      <w:r w:rsidRPr="00D100F1">
        <w:rPr>
          <w:b/>
          <w:sz w:val="18"/>
        </w:rPr>
        <w:fldChar w:fldCharType="begin"/>
      </w:r>
      <w:r w:rsidRPr="00D100F1">
        <w:rPr>
          <w:b/>
          <w:sz w:val="18"/>
        </w:rPr>
        <w:instrText xml:space="preserve"> SEQ Table_D \* ARABIC </w:instrText>
      </w:r>
      <w:r w:rsidRPr="00D100F1">
        <w:rPr>
          <w:b/>
          <w:sz w:val="18"/>
        </w:rPr>
        <w:fldChar w:fldCharType="separate"/>
      </w:r>
      <w:r w:rsidR="00D51B4B">
        <w:rPr>
          <w:b/>
          <w:noProof/>
          <w:sz w:val="18"/>
        </w:rPr>
        <w:t>1</w:t>
      </w:r>
      <w:r w:rsidRPr="00D100F1">
        <w:rPr>
          <w:b/>
          <w:sz w:val="18"/>
        </w:rPr>
        <w:fldChar w:fldCharType="end"/>
      </w:r>
      <w:bookmarkEnd w:id="344"/>
      <w:r w:rsidRPr="00D100F1">
        <w:rPr>
          <w:b/>
          <w:sz w:val="18"/>
        </w:rPr>
        <w:t>: Typical number of refrigeration cabinets by outlet for each major category.</w:t>
      </w:r>
      <w:bookmarkEnd w:id="345"/>
      <w:bookmarkEnd w:id="346"/>
    </w:p>
    <w:tbl>
      <w:tblPr>
        <w:tblW w:w="95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126"/>
        <w:gridCol w:w="1701"/>
        <w:gridCol w:w="1660"/>
      </w:tblGrid>
      <w:tr w:rsidR="002060E2" w:rsidRPr="00C56DE6" w14:paraId="0FF3FD7F" w14:textId="77777777" w:rsidTr="002060E2">
        <w:tc>
          <w:tcPr>
            <w:tcW w:w="4111" w:type="dxa"/>
            <w:vMerge w:val="restart"/>
            <w:shd w:val="clear" w:color="auto" w:fill="0C0C0C"/>
            <w:vAlign w:val="center"/>
          </w:tcPr>
          <w:p w14:paraId="0D706B0B" w14:textId="77777777" w:rsidR="002060E2" w:rsidRPr="00C56DE6" w:rsidRDefault="002060E2" w:rsidP="002060E2">
            <w:pPr>
              <w:pStyle w:val="E3TableHeading"/>
            </w:pPr>
            <w:r w:rsidRPr="00C56DE6">
              <w:t>Type of outlet</w:t>
            </w:r>
          </w:p>
        </w:tc>
        <w:tc>
          <w:tcPr>
            <w:tcW w:w="3827" w:type="dxa"/>
            <w:gridSpan w:val="2"/>
            <w:shd w:val="clear" w:color="auto" w:fill="0C0C0C"/>
            <w:vAlign w:val="center"/>
          </w:tcPr>
          <w:p w14:paraId="2CC74463" w14:textId="77777777" w:rsidR="002060E2" w:rsidRPr="00C56DE6" w:rsidRDefault="002060E2" w:rsidP="002060E2">
            <w:pPr>
              <w:pStyle w:val="E3TableHeading"/>
            </w:pPr>
            <w:r>
              <w:t>Display cabinets</w:t>
            </w:r>
          </w:p>
        </w:tc>
        <w:tc>
          <w:tcPr>
            <w:tcW w:w="1660" w:type="dxa"/>
            <w:vMerge w:val="restart"/>
            <w:shd w:val="clear" w:color="auto" w:fill="0C0C0C"/>
            <w:vAlign w:val="center"/>
          </w:tcPr>
          <w:p w14:paraId="73975710" w14:textId="77777777" w:rsidR="002060E2" w:rsidRPr="00C56DE6" w:rsidRDefault="002060E2" w:rsidP="002060E2">
            <w:pPr>
              <w:pStyle w:val="E3TableHeading"/>
            </w:pPr>
            <w:r>
              <w:t>Storage cabinets</w:t>
            </w:r>
          </w:p>
        </w:tc>
      </w:tr>
      <w:tr w:rsidR="002060E2" w:rsidRPr="00C56DE6" w14:paraId="3CF18D1B" w14:textId="77777777" w:rsidTr="002060E2">
        <w:tc>
          <w:tcPr>
            <w:tcW w:w="4111" w:type="dxa"/>
            <w:vMerge/>
            <w:shd w:val="clear" w:color="auto" w:fill="0C0C0C"/>
            <w:vAlign w:val="center"/>
          </w:tcPr>
          <w:p w14:paraId="1E50AE35" w14:textId="77777777" w:rsidR="002060E2" w:rsidRPr="00C56DE6" w:rsidRDefault="002060E2" w:rsidP="002060E2">
            <w:pPr>
              <w:pStyle w:val="E3TableHeading"/>
            </w:pPr>
          </w:p>
        </w:tc>
        <w:tc>
          <w:tcPr>
            <w:tcW w:w="2126" w:type="dxa"/>
            <w:shd w:val="clear" w:color="auto" w:fill="0C0C0C"/>
            <w:vAlign w:val="center"/>
          </w:tcPr>
          <w:p w14:paraId="1837DC28" w14:textId="77777777" w:rsidR="002060E2" w:rsidRPr="00C56DE6" w:rsidRDefault="002060E2" w:rsidP="002060E2">
            <w:pPr>
              <w:pStyle w:val="E3TableHeading"/>
            </w:pPr>
            <w:r w:rsidRPr="00C56DE6">
              <w:t>Integral</w:t>
            </w:r>
          </w:p>
        </w:tc>
        <w:tc>
          <w:tcPr>
            <w:tcW w:w="1701" w:type="dxa"/>
            <w:shd w:val="clear" w:color="auto" w:fill="0C0C0C"/>
            <w:vAlign w:val="center"/>
          </w:tcPr>
          <w:p w14:paraId="3205A726" w14:textId="77777777" w:rsidR="002060E2" w:rsidRPr="00C56DE6" w:rsidRDefault="002060E2" w:rsidP="002060E2">
            <w:pPr>
              <w:pStyle w:val="E3TableHeading"/>
            </w:pPr>
            <w:r w:rsidRPr="00C56DE6">
              <w:t>Remote</w:t>
            </w:r>
          </w:p>
        </w:tc>
        <w:tc>
          <w:tcPr>
            <w:tcW w:w="1660" w:type="dxa"/>
            <w:vMerge/>
            <w:shd w:val="clear" w:color="auto" w:fill="0C0C0C"/>
            <w:vAlign w:val="center"/>
          </w:tcPr>
          <w:p w14:paraId="1DEA34A0" w14:textId="77777777" w:rsidR="002060E2" w:rsidRPr="00C56DE6" w:rsidRDefault="002060E2" w:rsidP="002060E2">
            <w:pPr>
              <w:pStyle w:val="E3TableHeading"/>
            </w:pPr>
          </w:p>
        </w:tc>
      </w:tr>
      <w:tr w:rsidR="002060E2" w:rsidRPr="00857604" w14:paraId="5363BF59" w14:textId="77777777" w:rsidTr="002060E2">
        <w:tc>
          <w:tcPr>
            <w:tcW w:w="9598" w:type="dxa"/>
            <w:gridSpan w:val="4"/>
            <w:vAlign w:val="center"/>
          </w:tcPr>
          <w:p w14:paraId="19BF1A61" w14:textId="77777777" w:rsidR="002060E2" w:rsidRPr="0041262C" w:rsidRDefault="002060E2" w:rsidP="002060E2">
            <w:pPr>
              <w:pStyle w:val="E3tabletext1"/>
              <w:rPr>
                <w:rFonts w:ascii="Helvetica" w:hAnsi="Helvetica" w:cs="Helvetica"/>
                <w:b/>
                <w:sz w:val="15"/>
                <w:szCs w:val="15"/>
              </w:rPr>
            </w:pPr>
            <w:r w:rsidRPr="0041262C">
              <w:rPr>
                <w:rFonts w:ascii="Helvetica" w:hAnsi="Helvetica" w:cs="Helvetica"/>
                <w:b/>
                <w:sz w:val="15"/>
                <w:szCs w:val="15"/>
              </w:rPr>
              <w:t>Food retail</w:t>
            </w:r>
          </w:p>
        </w:tc>
      </w:tr>
      <w:tr w:rsidR="002060E2" w:rsidRPr="00857604" w14:paraId="00223E31" w14:textId="77777777" w:rsidTr="002060E2">
        <w:tc>
          <w:tcPr>
            <w:tcW w:w="4111" w:type="dxa"/>
            <w:vAlign w:val="center"/>
          </w:tcPr>
          <w:p w14:paraId="34B09771"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 xml:space="preserve">Supermarket: Large </w:t>
            </w:r>
            <w:r w:rsidRPr="0041262C">
              <w:rPr>
                <w:rFonts w:ascii="Helvetica" w:hAnsi="Helvetica" w:cs="Helvetica"/>
                <w:sz w:val="15"/>
                <w:szCs w:val="15"/>
                <w:vertAlign w:val="superscript"/>
              </w:rPr>
              <w:t>(1)</w:t>
            </w:r>
            <w:r w:rsidRPr="0041262C">
              <w:rPr>
                <w:rStyle w:val="FootnoteReference"/>
                <w:rFonts w:ascii="Helvetica" w:hAnsi="Helvetica" w:cs="Helvetica"/>
                <w:sz w:val="15"/>
                <w:szCs w:val="15"/>
              </w:rPr>
              <w:footnoteReference w:id="55"/>
            </w:r>
          </w:p>
        </w:tc>
        <w:tc>
          <w:tcPr>
            <w:tcW w:w="2126" w:type="dxa"/>
            <w:vAlign w:val="center"/>
          </w:tcPr>
          <w:p w14:paraId="48A12A30"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22</w:t>
            </w:r>
          </w:p>
        </w:tc>
        <w:tc>
          <w:tcPr>
            <w:tcW w:w="1701" w:type="dxa"/>
            <w:vAlign w:val="center"/>
          </w:tcPr>
          <w:p w14:paraId="69DC572A"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58</w:t>
            </w:r>
          </w:p>
        </w:tc>
        <w:tc>
          <w:tcPr>
            <w:tcW w:w="1660" w:type="dxa"/>
            <w:vAlign w:val="center"/>
          </w:tcPr>
          <w:p w14:paraId="4508DD65"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0</w:t>
            </w:r>
          </w:p>
        </w:tc>
      </w:tr>
      <w:tr w:rsidR="002060E2" w:rsidRPr="00857604" w14:paraId="70400216" w14:textId="77777777" w:rsidTr="002060E2">
        <w:tc>
          <w:tcPr>
            <w:tcW w:w="4111" w:type="dxa"/>
            <w:vAlign w:val="center"/>
          </w:tcPr>
          <w:p w14:paraId="3CB890C1"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Supermarket: Medium</w:t>
            </w:r>
          </w:p>
        </w:tc>
        <w:tc>
          <w:tcPr>
            <w:tcW w:w="2126" w:type="dxa"/>
            <w:vAlign w:val="center"/>
          </w:tcPr>
          <w:p w14:paraId="0F960360"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20</w:t>
            </w:r>
          </w:p>
        </w:tc>
        <w:tc>
          <w:tcPr>
            <w:tcW w:w="1701" w:type="dxa"/>
            <w:vAlign w:val="center"/>
          </w:tcPr>
          <w:p w14:paraId="090C31C6"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43</w:t>
            </w:r>
          </w:p>
        </w:tc>
        <w:tc>
          <w:tcPr>
            <w:tcW w:w="1660" w:type="dxa"/>
            <w:vAlign w:val="center"/>
          </w:tcPr>
          <w:p w14:paraId="33DE3FBD"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0</w:t>
            </w:r>
          </w:p>
        </w:tc>
      </w:tr>
      <w:tr w:rsidR="002060E2" w:rsidRPr="00857604" w14:paraId="40D7D674" w14:textId="77777777" w:rsidTr="002060E2">
        <w:tc>
          <w:tcPr>
            <w:tcW w:w="4111" w:type="dxa"/>
            <w:vAlign w:val="center"/>
          </w:tcPr>
          <w:p w14:paraId="629CEA52"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Supermarket: Small</w:t>
            </w:r>
          </w:p>
        </w:tc>
        <w:tc>
          <w:tcPr>
            <w:tcW w:w="2126" w:type="dxa"/>
            <w:vAlign w:val="center"/>
          </w:tcPr>
          <w:p w14:paraId="38D62E05"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15</w:t>
            </w:r>
          </w:p>
        </w:tc>
        <w:tc>
          <w:tcPr>
            <w:tcW w:w="1701" w:type="dxa"/>
            <w:vAlign w:val="center"/>
          </w:tcPr>
          <w:p w14:paraId="0BB054AE"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18</w:t>
            </w:r>
          </w:p>
        </w:tc>
        <w:tc>
          <w:tcPr>
            <w:tcW w:w="1660" w:type="dxa"/>
            <w:vAlign w:val="center"/>
          </w:tcPr>
          <w:p w14:paraId="06AD490B"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0</w:t>
            </w:r>
          </w:p>
        </w:tc>
      </w:tr>
      <w:tr w:rsidR="002060E2" w:rsidRPr="00857604" w14:paraId="1915D00A" w14:textId="77777777" w:rsidTr="002060E2">
        <w:tc>
          <w:tcPr>
            <w:tcW w:w="4111" w:type="dxa"/>
            <w:vAlign w:val="center"/>
          </w:tcPr>
          <w:p w14:paraId="334B0778"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Supermarket: Extra small</w:t>
            </w:r>
          </w:p>
        </w:tc>
        <w:tc>
          <w:tcPr>
            <w:tcW w:w="2126" w:type="dxa"/>
            <w:vAlign w:val="center"/>
          </w:tcPr>
          <w:p w14:paraId="606A4C93"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9</w:t>
            </w:r>
          </w:p>
        </w:tc>
        <w:tc>
          <w:tcPr>
            <w:tcW w:w="1701" w:type="dxa"/>
            <w:vAlign w:val="center"/>
          </w:tcPr>
          <w:p w14:paraId="69089644"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13</w:t>
            </w:r>
          </w:p>
        </w:tc>
        <w:tc>
          <w:tcPr>
            <w:tcW w:w="1660" w:type="dxa"/>
            <w:vAlign w:val="center"/>
          </w:tcPr>
          <w:p w14:paraId="09799A01"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0</w:t>
            </w:r>
          </w:p>
        </w:tc>
      </w:tr>
      <w:tr w:rsidR="002060E2" w:rsidRPr="00857604" w14:paraId="00029BB4" w14:textId="77777777" w:rsidTr="002060E2">
        <w:tc>
          <w:tcPr>
            <w:tcW w:w="4111" w:type="dxa"/>
            <w:vAlign w:val="center"/>
          </w:tcPr>
          <w:p w14:paraId="74DAC188"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Convenience stores</w:t>
            </w:r>
          </w:p>
        </w:tc>
        <w:tc>
          <w:tcPr>
            <w:tcW w:w="2126" w:type="dxa"/>
            <w:vAlign w:val="center"/>
          </w:tcPr>
          <w:p w14:paraId="073F7D90"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11</w:t>
            </w:r>
          </w:p>
        </w:tc>
        <w:tc>
          <w:tcPr>
            <w:tcW w:w="1701" w:type="dxa"/>
            <w:vAlign w:val="center"/>
          </w:tcPr>
          <w:p w14:paraId="29C0BA3B"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1</w:t>
            </w:r>
          </w:p>
        </w:tc>
        <w:tc>
          <w:tcPr>
            <w:tcW w:w="1660" w:type="dxa"/>
            <w:vAlign w:val="center"/>
          </w:tcPr>
          <w:p w14:paraId="61B536C2"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0</w:t>
            </w:r>
          </w:p>
        </w:tc>
      </w:tr>
      <w:tr w:rsidR="002060E2" w:rsidRPr="00857604" w14:paraId="1EE985EF" w14:textId="77777777" w:rsidTr="002060E2">
        <w:tc>
          <w:tcPr>
            <w:tcW w:w="4111" w:type="dxa"/>
            <w:vAlign w:val="center"/>
          </w:tcPr>
          <w:p w14:paraId="7F1BF917"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Fresh meat, fish and poultry retailing</w:t>
            </w:r>
          </w:p>
        </w:tc>
        <w:tc>
          <w:tcPr>
            <w:tcW w:w="2126" w:type="dxa"/>
            <w:vAlign w:val="bottom"/>
          </w:tcPr>
          <w:p w14:paraId="6F2FEA1B"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3</w:t>
            </w:r>
          </w:p>
        </w:tc>
        <w:tc>
          <w:tcPr>
            <w:tcW w:w="1701" w:type="dxa"/>
            <w:vAlign w:val="bottom"/>
          </w:tcPr>
          <w:p w14:paraId="1C34F417"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0.5</w:t>
            </w:r>
          </w:p>
        </w:tc>
        <w:tc>
          <w:tcPr>
            <w:tcW w:w="1660" w:type="dxa"/>
            <w:vAlign w:val="bottom"/>
          </w:tcPr>
          <w:p w14:paraId="3684C796"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0.5</w:t>
            </w:r>
          </w:p>
        </w:tc>
      </w:tr>
      <w:tr w:rsidR="002060E2" w:rsidRPr="00857604" w14:paraId="6A8F1D31" w14:textId="77777777" w:rsidTr="002060E2">
        <w:tc>
          <w:tcPr>
            <w:tcW w:w="4111" w:type="dxa"/>
            <w:vAlign w:val="center"/>
          </w:tcPr>
          <w:p w14:paraId="7FC3DD63"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Fruit and vegetable retailing</w:t>
            </w:r>
          </w:p>
        </w:tc>
        <w:tc>
          <w:tcPr>
            <w:tcW w:w="2126" w:type="dxa"/>
            <w:vAlign w:val="bottom"/>
          </w:tcPr>
          <w:p w14:paraId="18112EAE"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3</w:t>
            </w:r>
          </w:p>
        </w:tc>
        <w:tc>
          <w:tcPr>
            <w:tcW w:w="1701" w:type="dxa"/>
            <w:vAlign w:val="bottom"/>
          </w:tcPr>
          <w:p w14:paraId="66388BAC"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0.5</w:t>
            </w:r>
          </w:p>
        </w:tc>
        <w:tc>
          <w:tcPr>
            <w:tcW w:w="1660" w:type="dxa"/>
            <w:vAlign w:val="bottom"/>
          </w:tcPr>
          <w:p w14:paraId="225323BF"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0.5</w:t>
            </w:r>
          </w:p>
        </w:tc>
      </w:tr>
      <w:tr w:rsidR="002060E2" w:rsidRPr="00857604" w14:paraId="574BD08A" w14:textId="77777777" w:rsidTr="002060E2">
        <w:tc>
          <w:tcPr>
            <w:tcW w:w="4111" w:type="dxa"/>
            <w:vAlign w:val="center"/>
          </w:tcPr>
          <w:p w14:paraId="0F5FD398"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Liquor retailing</w:t>
            </w:r>
          </w:p>
        </w:tc>
        <w:tc>
          <w:tcPr>
            <w:tcW w:w="2126" w:type="dxa"/>
            <w:vAlign w:val="bottom"/>
          </w:tcPr>
          <w:p w14:paraId="6A452C2F"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6</w:t>
            </w:r>
          </w:p>
        </w:tc>
        <w:tc>
          <w:tcPr>
            <w:tcW w:w="1701" w:type="dxa"/>
            <w:vAlign w:val="bottom"/>
          </w:tcPr>
          <w:p w14:paraId="7ABCE93A"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1</w:t>
            </w:r>
          </w:p>
        </w:tc>
        <w:tc>
          <w:tcPr>
            <w:tcW w:w="1660" w:type="dxa"/>
            <w:vAlign w:val="bottom"/>
          </w:tcPr>
          <w:p w14:paraId="3C4C5453"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0</w:t>
            </w:r>
          </w:p>
        </w:tc>
      </w:tr>
      <w:tr w:rsidR="002060E2" w:rsidRPr="00857604" w14:paraId="780913F8" w14:textId="77777777" w:rsidTr="002060E2">
        <w:tc>
          <w:tcPr>
            <w:tcW w:w="4111" w:type="dxa"/>
            <w:vAlign w:val="center"/>
          </w:tcPr>
          <w:p w14:paraId="128C168D"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Other specialised food retailing</w:t>
            </w:r>
          </w:p>
        </w:tc>
        <w:tc>
          <w:tcPr>
            <w:tcW w:w="2126" w:type="dxa"/>
            <w:vAlign w:val="bottom"/>
          </w:tcPr>
          <w:p w14:paraId="2349DF97"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2</w:t>
            </w:r>
          </w:p>
        </w:tc>
        <w:tc>
          <w:tcPr>
            <w:tcW w:w="1701" w:type="dxa"/>
            <w:vAlign w:val="bottom"/>
          </w:tcPr>
          <w:p w14:paraId="64135874"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0</w:t>
            </w:r>
          </w:p>
        </w:tc>
        <w:tc>
          <w:tcPr>
            <w:tcW w:w="1660" w:type="dxa"/>
            <w:vAlign w:val="bottom"/>
          </w:tcPr>
          <w:p w14:paraId="5535479C"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0</w:t>
            </w:r>
          </w:p>
        </w:tc>
      </w:tr>
      <w:tr w:rsidR="002060E2" w:rsidRPr="00857604" w14:paraId="0CCE6CB5" w14:textId="77777777" w:rsidTr="00E50722">
        <w:trPr>
          <w:trHeight w:val="249"/>
        </w:trPr>
        <w:tc>
          <w:tcPr>
            <w:tcW w:w="9598" w:type="dxa"/>
            <w:gridSpan w:val="4"/>
            <w:vAlign w:val="center"/>
          </w:tcPr>
          <w:p w14:paraId="0F500B4E" w14:textId="77777777" w:rsidR="002060E2" w:rsidRPr="00E50722" w:rsidRDefault="002060E2" w:rsidP="002060E2">
            <w:pPr>
              <w:pStyle w:val="E3TableHeading"/>
              <w:jc w:val="center"/>
              <w:rPr>
                <w:sz w:val="12"/>
                <w:szCs w:val="12"/>
              </w:rPr>
            </w:pPr>
            <w:r w:rsidRPr="00E50722">
              <w:rPr>
                <w:sz w:val="12"/>
                <w:szCs w:val="12"/>
              </w:rPr>
              <w:t xml:space="preserve">Food service channel: Institutional </w:t>
            </w:r>
            <w:r w:rsidRPr="00E50722">
              <w:rPr>
                <w:sz w:val="12"/>
                <w:szCs w:val="12"/>
                <w:vertAlign w:val="superscript"/>
              </w:rPr>
              <w:t>(2)</w:t>
            </w:r>
          </w:p>
        </w:tc>
      </w:tr>
      <w:tr w:rsidR="002060E2" w:rsidRPr="00857604" w14:paraId="1718AF38" w14:textId="77777777" w:rsidTr="002060E2">
        <w:tc>
          <w:tcPr>
            <w:tcW w:w="4111" w:type="dxa"/>
            <w:vAlign w:val="bottom"/>
          </w:tcPr>
          <w:p w14:paraId="662D0629"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Hospitals</w:t>
            </w:r>
          </w:p>
        </w:tc>
        <w:tc>
          <w:tcPr>
            <w:tcW w:w="2126" w:type="dxa"/>
            <w:vAlign w:val="bottom"/>
          </w:tcPr>
          <w:p w14:paraId="68524BC0"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5</w:t>
            </w:r>
          </w:p>
        </w:tc>
        <w:tc>
          <w:tcPr>
            <w:tcW w:w="1701" w:type="dxa"/>
            <w:vAlign w:val="bottom"/>
          </w:tcPr>
          <w:p w14:paraId="3831046E"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0</w:t>
            </w:r>
          </w:p>
        </w:tc>
        <w:tc>
          <w:tcPr>
            <w:tcW w:w="1660" w:type="dxa"/>
            <w:vAlign w:val="bottom"/>
          </w:tcPr>
          <w:p w14:paraId="4B83B738"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5</w:t>
            </w:r>
          </w:p>
        </w:tc>
      </w:tr>
      <w:tr w:rsidR="002060E2" w:rsidRPr="00857604" w14:paraId="170F26F6" w14:textId="77777777" w:rsidTr="002060E2">
        <w:tc>
          <w:tcPr>
            <w:tcW w:w="4111" w:type="dxa"/>
            <w:vAlign w:val="bottom"/>
          </w:tcPr>
          <w:p w14:paraId="2906C2F3"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Aged care</w:t>
            </w:r>
          </w:p>
        </w:tc>
        <w:tc>
          <w:tcPr>
            <w:tcW w:w="2126" w:type="dxa"/>
            <w:vAlign w:val="bottom"/>
          </w:tcPr>
          <w:p w14:paraId="0371A252"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2</w:t>
            </w:r>
          </w:p>
        </w:tc>
        <w:tc>
          <w:tcPr>
            <w:tcW w:w="1701" w:type="dxa"/>
            <w:vAlign w:val="bottom"/>
          </w:tcPr>
          <w:p w14:paraId="396CE68D"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0</w:t>
            </w:r>
          </w:p>
        </w:tc>
        <w:tc>
          <w:tcPr>
            <w:tcW w:w="1660" w:type="dxa"/>
            <w:vAlign w:val="bottom"/>
          </w:tcPr>
          <w:p w14:paraId="21D582FF"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3</w:t>
            </w:r>
          </w:p>
        </w:tc>
      </w:tr>
      <w:tr w:rsidR="002060E2" w:rsidRPr="00857604" w14:paraId="7CCF5E09" w14:textId="77777777" w:rsidTr="002060E2">
        <w:tc>
          <w:tcPr>
            <w:tcW w:w="4111" w:type="dxa"/>
            <w:vAlign w:val="bottom"/>
          </w:tcPr>
          <w:p w14:paraId="3B56794B"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Schools</w:t>
            </w:r>
          </w:p>
        </w:tc>
        <w:tc>
          <w:tcPr>
            <w:tcW w:w="2126" w:type="dxa"/>
            <w:vAlign w:val="bottom"/>
          </w:tcPr>
          <w:p w14:paraId="7F78087C"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1</w:t>
            </w:r>
          </w:p>
        </w:tc>
        <w:tc>
          <w:tcPr>
            <w:tcW w:w="1701" w:type="dxa"/>
            <w:vAlign w:val="bottom"/>
          </w:tcPr>
          <w:p w14:paraId="3AEA7FDF"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0</w:t>
            </w:r>
          </w:p>
        </w:tc>
        <w:tc>
          <w:tcPr>
            <w:tcW w:w="1660" w:type="dxa"/>
            <w:vAlign w:val="bottom"/>
          </w:tcPr>
          <w:p w14:paraId="51386D8B"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1</w:t>
            </w:r>
          </w:p>
        </w:tc>
      </w:tr>
      <w:tr w:rsidR="002060E2" w:rsidRPr="00857604" w14:paraId="286DA88E" w14:textId="77777777" w:rsidTr="002060E2">
        <w:tc>
          <w:tcPr>
            <w:tcW w:w="4111" w:type="dxa"/>
            <w:vAlign w:val="bottom"/>
          </w:tcPr>
          <w:p w14:paraId="3A5778BB"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Canteens</w:t>
            </w:r>
          </w:p>
        </w:tc>
        <w:tc>
          <w:tcPr>
            <w:tcW w:w="2126" w:type="dxa"/>
            <w:vAlign w:val="bottom"/>
          </w:tcPr>
          <w:p w14:paraId="48BF6258"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1</w:t>
            </w:r>
          </w:p>
        </w:tc>
        <w:tc>
          <w:tcPr>
            <w:tcW w:w="1701" w:type="dxa"/>
            <w:vAlign w:val="bottom"/>
          </w:tcPr>
          <w:p w14:paraId="712C9D96"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0</w:t>
            </w:r>
          </w:p>
        </w:tc>
        <w:tc>
          <w:tcPr>
            <w:tcW w:w="1660" w:type="dxa"/>
            <w:vAlign w:val="bottom"/>
          </w:tcPr>
          <w:p w14:paraId="57A6789B"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2</w:t>
            </w:r>
          </w:p>
        </w:tc>
      </w:tr>
      <w:tr w:rsidR="002060E2" w:rsidRPr="00857604" w14:paraId="0D2EE9F6" w14:textId="77777777" w:rsidTr="00E50722">
        <w:trPr>
          <w:trHeight w:val="77"/>
        </w:trPr>
        <w:tc>
          <w:tcPr>
            <w:tcW w:w="9598" w:type="dxa"/>
            <w:gridSpan w:val="4"/>
            <w:vAlign w:val="center"/>
          </w:tcPr>
          <w:p w14:paraId="11E805B0" w14:textId="77777777" w:rsidR="002060E2" w:rsidRPr="00E50722" w:rsidRDefault="002060E2" w:rsidP="002060E2">
            <w:pPr>
              <w:pStyle w:val="E3TableHeading"/>
              <w:jc w:val="center"/>
              <w:rPr>
                <w:sz w:val="12"/>
                <w:szCs w:val="12"/>
              </w:rPr>
            </w:pPr>
            <w:r w:rsidRPr="00E50722">
              <w:rPr>
                <w:sz w:val="12"/>
                <w:szCs w:val="12"/>
              </w:rPr>
              <w:t>Food service channel: Commercial</w:t>
            </w:r>
          </w:p>
        </w:tc>
      </w:tr>
      <w:tr w:rsidR="002060E2" w:rsidRPr="00857604" w14:paraId="191E9A37" w14:textId="77777777" w:rsidTr="002060E2">
        <w:tc>
          <w:tcPr>
            <w:tcW w:w="4111" w:type="dxa"/>
            <w:vAlign w:val="bottom"/>
          </w:tcPr>
          <w:p w14:paraId="5BD23E9C"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Cafes and restaurants</w:t>
            </w:r>
          </w:p>
        </w:tc>
        <w:tc>
          <w:tcPr>
            <w:tcW w:w="2126" w:type="dxa"/>
            <w:vAlign w:val="bottom"/>
          </w:tcPr>
          <w:p w14:paraId="2BB8C203"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5</w:t>
            </w:r>
          </w:p>
        </w:tc>
        <w:tc>
          <w:tcPr>
            <w:tcW w:w="1701" w:type="dxa"/>
            <w:vAlign w:val="bottom"/>
          </w:tcPr>
          <w:p w14:paraId="69F7B0AC"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0.5</w:t>
            </w:r>
          </w:p>
        </w:tc>
        <w:tc>
          <w:tcPr>
            <w:tcW w:w="1660" w:type="dxa"/>
            <w:vAlign w:val="bottom"/>
          </w:tcPr>
          <w:p w14:paraId="5E41B08B"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1.5</w:t>
            </w:r>
          </w:p>
        </w:tc>
      </w:tr>
      <w:tr w:rsidR="002060E2" w:rsidRPr="00857604" w14:paraId="017752C6" w14:textId="77777777" w:rsidTr="002060E2">
        <w:tc>
          <w:tcPr>
            <w:tcW w:w="4111" w:type="dxa"/>
            <w:vAlign w:val="bottom"/>
          </w:tcPr>
          <w:p w14:paraId="460F0207"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Catering services</w:t>
            </w:r>
          </w:p>
        </w:tc>
        <w:tc>
          <w:tcPr>
            <w:tcW w:w="2126" w:type="dxa"/>
            <w:vAlign w:val="bottom"/>
          </w:tcPr>
          <w:p w14:paraId="48CD9C69"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1</w:t>
            </w:r>
          </w:p>
        </w:tc>
        <w:tc>
          <w:tcPr>
            <w:tcW w:w="1701" w:type="dxa"/>
            <w:vAlign w:val="bottom"/>
          </w:tcPr>
          <w:p w14:paraId="12F64821"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1</w:t>
            </w:r>
          </w:p>
        </w:tc>
        <w:tc>
          <w:tcPr>
            <w:tcW w:w="1660" w:type="dxa"/>
            <w:vAlign w:val="bottom"/>
          </w:tcPr>
          <w:p w14:paraId="0D39E79E"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4</w:t>
            </w:r>
          </w:p>
        </w:tc>
      </w:tr>
      <w:tr w:rsidR="002060E2" w:rsidRPr="00857604" w14:paraId="339B080B" w14:textId="77777777" w:rsidTr="002060E2">
        <w:tc>
          <w:tcPr>
            <w:tcW w:w="4111" w:type="dxa"/>
            <w:vAlign w:val="bottom"/>
          </w:tcPr>
          <w:p w14:paraId="59AF1626"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Clubs (hospitality)</w:t>
            </w:r>
          </w:p>
        </w:tc>
        <w:tc>
          <w:tcPr>
            <w:tcW w:w="2126" w:type="dxa"/>
            <w:vAlign w:val="bottom"/>
          </w:tcPr>
          <w:p w14:paraId="2CF18DB1"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4</w:t>
            </w:r>
          </w:p>
        </w:tc>
        <w:tc>
          <w:tcPr>
            <w:tcW w:w="1701" w:type="dxa"/>
            <w:vAlign w:val="bottom"/>
          </w:tcPr>
          <w:p w14:paraId="49D59518"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1</w:t>
            </w:r>
          </w:p>
        </w:tc>
        <w:tc>
          <w:tcPr>
            <w:tcW w:w="1660" w:type="dxa"/>
            <w:vAlign w:val="bottom"/>
          </w:tcPr>
          <w:p w14:paraId="21C592BC"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2</w:t>
            </w:r>
          </w:p>
        </w:tc>
      </w:tr>
      <w:tr w:rsidR="002060E2" w:rsidRPr="00857604" w14:paraId="53695F83" w14:textId="77777777" w:rsidTr="002060E2">
        <w:tc>
          <w:tcPr>
            <w:tcW w:w="4111" w:type="dxa"/>
            <w:vAlign w:val="bottom"/>
          </w:tcPr>
          <w:p w14:paraId="5D906E5A"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Pubs, taverns and bars</w:t>
            </w:r>
          </w:p>
        </w:tc>
        <w:tc>
          <w:tcPr>
            <w:tcW w:w="2126" w:type="dxa"/>
            <w:vAlign w:val="bottom"/>
          </w:tcPr>
          <w:p w14:paraId="08E6632B"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3</w:t>
            </w:r>
          </w:p>
        </w:tc>
        <w:tc>
          <w:tcPr>
            <w:tcW w:w="1701" w:type="dxa"/>
            <w:vAlign w:val="bottom"/>
          </w:tcPr>
          <w:p w14:paraId="09770E63"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2</w:t>
            </w:r>
          </w:p>
        </w:tc>
        <w:tc>
          <w:tcPr>
            <w:tcW w:w="1660" w:type="dxa"/>
            <w:vAlign w:val="bottom"/>
          </w:tcPr>
          <w:p w14:paraId="376FB46C"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2</w:t>
            </w:r>
          </w:p>
        </w:tc>
      </w:tr>
      <w:tr w:rsidR="002060E2" w:rsidRPr="00857604" w14:paraId="47AF7566" w14:textId="77777777" w:rsidTr="002060E2">
        <w:tc>
          <w:tcPr>
            <w:tcW w:w="4111" w:type="dxa"/>
            <w:vAlign w:val="bottom"/>
          </w:tcPr>
          <w:p w14:paraId="0C81FAFC"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Takeaway food services</w:t>
            </w:r>
          </w:p>
        </w:tc>
        <w:tc>
          <w:tcPr>
            <w:tcW w:w="2126" w:type="dxa"/>
            <w:vAlign w:val="bottom"/>
          </w:tcPr>
          <w:p w14:paraId="71865994"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4</w:t>
            </w:r>
          </w:p>
        </w:tc>
        <w:tc>
          <w:tcPr>
            <w:tcW w:w="1701" w:type="dxa"/>
            <w:vAlign w:val="bottom"/>
          </w:tcPr>
          <w:p w14:paraId="4A278045"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0</w:t>
            </w:r>
          </w:p>
        </w:tc>
        <w:tc>
          <w:tcPr>
            <w:tcW w:w="1660" w:type="dxa"/>
            <w:vAlign w:val="bottom"/>
          </w:tcPr>
          <w:p w14:paraId="6870BA7E"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2.5</w:t>
            </w:r>
          </w:p>
        </w:tc>
      </w:tr>
      <w:tr w:rsidR="002060E2" w:rsidRPr="00857604" w14:paraId="4178E2AC" w14:textId="77777777" w:rsidTr="002060E2">
        <w:tc>
          <w:tcPr>
            <w:tcW w:w="4111" w:type="dxa"/>
            <w:vAlign w:val="bottom"/>
          </w:tcPr>
          <w:p w14:paraId="3137AD09"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Hotels and motels</w:t>
            </w:r>
          </w:p>
        </w:tc>
        <w:tc>
          <w:tcPr>
            <w:tcW w:w="2126" w:type="dxa"/>
            <w:vAlign w:val="bottom"/>
          </w:tcPr>
          <w:p w14:paraId="3FF60A16"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2</w:t>
            </w:r>
          </w:p>
        </w:tc>
        <w:tc>
          <w:tcPr>
            <w:tcW w:w="1701" w:type="dxa"/>
            <w:vAlign w:val="bottom"/>
          </w:tcPr>
          <w:p w14:paraId="5CEDC356"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0</w:t>
            </w:r>
          </w:p>
        </w:tc>
        <w:tc>
          <w:tcPr>
            <w:tcW w:w="1660" w:type="dxa"/>
            <w:vAlign w:val="bottom"/>
          </w:tcPr>
          <w:p w14:paraId="286B8FD0"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2.5</w:t>
            </w:r>
          </w:p>
        </w:tc>
      </w:tr>
    </w:tbl>
    <w:p w14:paraId="559CBE98" w14:textId="77777777" w:rsidR="002060E2" w:rsidRPr="00857604" w:rsidRDefault="002060E2" w:rsidP="00E50722">
      <w:pPr>
        <w:pStyle w:val="E3Caption"/>
        <w:numPr>
          <w:ilvl w:val="0"/>
          <w:numId w:val="50"/>
        </w:numPr>
        <w:spacing w:before="60" w:after="0"/>
        <w:ind w:left="714" w:hanging="357"/>
      </w:pPr>
      <w:r w:rsidRPr="00857604">
        <w:t>Average supermarket case is 2.5 meters long.</w:t>
      </w:r>
    </w:p>
    <w:p w14:paraId="7948AC73" w14:textId="77777777" w:rsidR="002060E2" w:rsidRPr="0041262C" w:rsidRDefault="002060E2" w:rsidP="00E50722">
      <w:pPr>
        <w:pStyle w:val="E3Caption"/>
        <w:numPr>
          <w:ilvl w:val="0"/>
          <w:numId w:val="50"/>
        </w:numPr>
        <w:spacing w:before="60" w:after="0"/>
        <w:ind w:left="714" w:hanging="357"/>
        <w:rPr>
          <w:sz w:val="24"/>
        </w:rPr>
      </w:pPr>
      <w:r w:rsidRPr="00857604">
        <w:lastRenderedPageBreak/>
        <w:t>Food service channel counts are slightly higher than those used in the survey and assessment conducted by Sustainability Victoria in 2009 (SV 2009).</w:t>
      </w:r>
      <w:bookmarkStart w:id="347" w:name="_Toc447533630"/>
      <w:bookmarkStart w:id="348" w:name="_Toc449708803"/>
      <w:bookmarkStart w:id="349" w:name="_Toc494897989"/>
      <w:bookmarkStart w:id="350" w:name="_Toc494955781"/>
      <w:bookmarkStart w:id="351" w:name="_Toc494959589"/>
    </w:p>
    <w:p w14:paraId="740CB2CF" w14:textId="77777777" w:rsidR="002060E2" w:rsidRDefault="002060E2" w:rsidP="002060E2">
      <w:pPr>
        <w:pStyle w:val="E3Heading2"/>
        <w:rPr>
          <w:rFonts w:ascii="Georgia" w:hAnsi="Georgia"/>
          <w:sz w:val="24"/>
        </w:rPr>
      </w:pPr>
    </w:p>
    <w:p w14:paraId="49F5854F" w14:textId="223B217E" w:rsidR="002060E2" w:rsidRDefault="002060E2" w:rsidP="000E3C98">
      <w:pPr>
        <w:pStyle w:val="E3Heading4"/>
      </w:pPr>
      <w:bookmarkStart w:id="352" w:name="_Toc494972715"/>
      <w:bookmarkStart w:id="353" w:name="_Toc494973902"/>
      <w:bookmarkStart w:id="354" w:name="_Toc494974591"/>
      <w:r w:rsidRPr="000E3C98">
        <w:t>Average lifespans of equipment</w:t>
      </w:r>
      <w:bookmarkEnd w:id="347"/>
      <w:bookmarkEnd w:id="348"/>
      <w:bookmarkEnd w:id="349"/>
      <w:bookmarkEnd w:id="350"/>
      <w:bookmarkEnd w:id="351"/>
      <w:bookmarkEnd w:id="352"/>
      <w:bookmarkEnd w:id="353"/>
      <w:bookmarkEnd w:id="354"/>
    </w:p>
    <w:p w14:paraId="2D217D74" w14:textId="1852077F" w:rsidR="002060E2" w:rsidRPr="00AC7259" w:rsidRDefault="002060E2" w:rsidP="004C7417">
      <w:pPr>
        <w:pStyle w:val="E3BodyText"/>
        <w:jc w:val="both"/>
      </w:pPr>
      <w:r w:rsidRPr="00AC7259">
        <w:t xml:space="preserve">In general, the quality of cabinet is the greatest determinant of cabinet life, </w:t>
      </w:r>
      <w:r>
        <w:t xml:space="preserve">followed by </w:t>
      </w:r>
      <w:r w:rsidRPr="00AC7259">
        <w:t>maintenance and operating env</w:t>
      </w:r>
      <w:r>
        <w:t xml:space="preserve">ironment. The average lifespans </w:t>
      </w:r>
      <w:r w:rsidRPr="00AC7259">
        <w:t>of equipment used in the RIS model</w:t>
      </w:r>
      <w:r>
        <w:t>ling</w:t>
      </w:r>
      <w:r w:rsidRPr="00AC7259">
        <w:t xml:space="preserve"> were</w:t>
      </w:r>
      <w:r>
        <w:t>:</w:t>
      </w:r>
      <w:r w:rsidRPr="00AC7259">
        <w:t xml:space="preserve"> display cabinets</w:t>
      </w:r>
      <w:r>
        <w:t xml:space="preserve"> i</w:t>
      </w:r>
      <w:r w:rsidRPr="00AC7259">
        <w:t>ntegral</w:t>
      </w:r>
      <w:r>
        <w:t>,</w:t>
      </w:r>
      <w:r w:rsidRPr="00AC7259">
        <w:t xml:space="preserve"> 11 years, display cabinets remote</w:t>
      </w:r>
      <w:r>
        <w:t>,</w:t>
      </w:r>
      <w:r w:rsidRPr="00AC7259">
        <w:t xml:space="preserve"> 13 years, and storage cabine</w:t>
      </w:r>
      <w:r>
        <w:t>ts,</w:t>
      </w:r>
      <w:r w:rsidRPr="00AC7259">
        <w:t xml:space="preserve"> 11 years.</w:t>
      </w:r>
    </w:p>
    <w:p w14:paraId="78D692D8" w14:textId="77777777" w:rsidR="002060E2" w:rsidRPr="00AC7259" w:rsidRDefault="002060E2" w:rsidP="004C7417">
      <w:pPr>
        <w:pStyle w:val="E3BodyText"/>
        <w:jc w:val="both"/>
      </w:pPr>
      <w:r w:rsidRPr="00AC7259">
        <w:t xml:space="preserve">The second hand market and/or </w:t>
      </w:r>
      <w:r>
        <w:t xml:space="preserve">the </w:t>
      </w:r>
      <w:r w:rsidRPr="00AC7259">
        <w:t xml:space="preserve">refurbishing </w:t>
      </w:r>
      <w:r>
        <w:t xml:space="preserve">of </w:t>
      </w:r>
      <w:r w:rsidRPr="00AC7259">
        <w:t>cabinets, effectively extend</w:t>
      </w:r>
      <w:r>
        <w:t>s</w:t>
      </w:r>
      <w:r w:rsidRPr="00AC7259">
        <w:t xml:space="preserve"> the lifespan of </w:t>
      </w:r>
      <w:r>
        <w:t>the equipment and can</w:t>
      </w:r>
      <w:r w:rsidRPr="00AC7259">
        <w:t xml:space="preserve"> complicate the </w:t>
      </w:r>
      <w:r>
        <w:t xml:space="preserve">assessment of </w:t>
      </w:r>
      <w:r w:rsidRPr="00AC7259">
        <w:t xml:space="preserve">typical lifespans. The effects of these factors are difficult to capture, as there is no second hand sales data </w:t>
      </w:r>
      <w:r>
        <w:t>available. A</w:t>
      </w:r>
      <w:r w:rsidRPr="00AC7259">
        <w:t>necdotal evidence of second hand sales and refurbishments can be</w:t>
      </w:r>
      <w:r>
        <w:t xml:space="preserve"> unreliable</w:t>
      </w:r>
      <w:r w:rsidRPr="00AC7259">
        <w:t xml:space="preserve">. Large operators of integral cabinets can refurbish their equipment in large batches. Similarly, they can undertake replacement programs in large volumes </w:t>
      </w:r>
      <w:r>
        <w:t xml:space="preserve">and </w:t>
      </w:r>
      <w:r w:rsidRPr="00AC7259">
        <w:t xml:space="preserve">flood the market with second hand cabinets </w:t>
      </w:r>
      <w:r>
        <w:t xml:space="preserve">within </w:t>
      </w:r>
      <w:r w:rsidRPr="00AC7259">
        <w:t>a short period</w:t>
      </w:r>
      <w:r>
        <w:t xml:space="preserve"> of time</w:t>
      </w:r>
      <w:r w:rsidRPr="00AC7259">
        <w:t>. Some of these are then purchased and used in Australia, but many are shipped to the Pacific Islands.</w:t>
      </w:r>
    </w:p>
    <w:p w14:paraId="5ACC6227" w14:textId="77777777" w:rsidR="002060E2" w:rsidRPr="0041262C" w:rsidRDefault="002060E2" w:rsidP="004C7417">
      <w:pPr>
        <w:pStyle w:val="E3Heading2"/>
        <w:jc w:val="both"/>
        <w:rPr>
          <w:rFonts w:ascii="Georgia" w:hAnsi="Georgia"/>
          <w:sz w:val="24"/>
        </w:rPr>
      </w:pPr>
      <w:bookmarkStart w:id="355" w:name="_Toc447533631"/>
      <w:bookmarkStart w:id="356" w:name="_Toc449708804"/>
      <w:bookmarkStart w:id="357" w:name="_Toc494897990"/>
      <w:bookmarkStart w:id="358" w:name="_Toc494955782"/>
      <w:bookmarkStart w:id="359" w:name="_Toc494959590"/>
      <w:bookmarkStart w:id="360" w:name="_Toc494972716"/>
      <w:bookmarkStart w:id="361" w:name="_Toc494973903"/>
      <w:bookmarkStart w:id="362" w:name="_Toc494974592"/>
      <w:bookmarkStart w:id="363" w:name="_Toc500151836"/>
      <w:r w:rsidRPr="0041262C">
        <w:rPr>
          <w:rFonts w:ascii="Georgia" w:hAnsi="Georgia"/>
          <w:sz w:val="24"/>
        </w:rPr>
        <w:t>Test and registration costs</w:t>
      </w:r>
      <w:bookmarkEnd w:id="355"/>
      <w:bookmarkEnd w:id="356"/>
      <w:bookmarkEnd w:id="357"/>
      <w:bookmarkEnd w:id="358"/>
      <w:bookmarkEnd w:id="359"/>
      <w:bookmarkEnd w:id="360"/>
      <w:bookmarkEnd w:id="361"/>
      <w:bookmarkEnd w:id="362"/>
      <w:bookmarkEnd w:id="363"/>
    </w:p>
    <w:p w14:paraId="6DDE4B68" w14:textId="77777777" w:rsidR="002060E2" w:rsidRPr="00AC7259" w:rsidRDefault="002060E2" w:rsidP="004C7417">
      <w:pPr>
        <w:pStyle w:val="E3BodyText"/>
        <w:jc w:val="both"/>
      </w:pPr>
      <w:r>
        <w:t>The following k</w:t>
      </w:r>
      <w:r w:rsidRPr="00AC7259">
        <w:t xml:space="preserve">ey assumptions </w:t>
      </w:r>
      <w:r>
        <w:t xml:space="preserve">were made </w:t>
      </w:r>
      <w:r w:rsidRPr="00AC7259">
        <w:t>for calculating the incremental costs of the test and registration program for a changed regime:</w:t>
      </w:r>
    </w:p>
    <w:p w14:paraId="03FFBB70" w14:textId="77777777" w:rsidR="002060E2" w:rsidRPr="00AC7259" w:rsidRDefault="002060E2" w:rsidP="004C7417">
      <w:pPr>
        <w:pStyle w:val="E3SubSubBullets"/>
        <w:jc w:val="both"/>
      </w:pPr>
      <w:r w:rsidRPr="00AC7259">
        <w:t>Individual test cost is around $6,500.00 each.</w:t>
      </w:r>
    </w:p>
    <w:p w14:paraId="04C66579" w14:textId="77777777" w:rsidR="002060E2" w:rsidRPr="00AC7259" w:rsidRDefault="002060E2" w:rsidP="004C7417">
      <w:pPr>
        <w:pStyle w:val="E3SubSubBullets"/>
        <w:jc w:val="both"/>
      </w:pPr>
      <w:r w:rsidRPr="00AC7259">
        <w:t>Current number registered is 1,485, assumed around 50 may need to be tested under a changed regime as they may have just passed MEPS under the existing regime and no longer meet the changed regime.</w:t>
      </w:r>
    </w:p>
    <w:p w14:paraId="4A2F85C2" w14:textId="77777777" w:rsidR="002060E2" w:rsidRPr="00AC7259" w:rsidRDefault="002060E2" w:rsidP="004C7417">
      <w:pPr>
        <w:pStyle w:val="E3SubSubBullets"/>
        <w:jc w:val="both"/>
      </w:pPr>
      <w:r w:rsidRPr="00AC7259">
        <w:t>Additional number of registrations is 35 to 40% of the existing number.</w:t>
      </w:r>
    </w:p>
    <w:p w14:paraId="1C2B432A" w14:textId="77777777" w:rsidR="002060E2" w:rsidRPr="00AC7259" w:rsidRDefault="002060E2" w:rsidP="004C7417">
      <w:pPr>
        <w:pStyle w:val="E3SubSubBullets"/>
        <w:jc w:val="both"/>
      </w:pPr>
      <w:r w:rsidRPr="00AC7259">
        <w:t>The incremental cost to industry is shared across 75 suppliers in Australian and New Zealand.</w:t>
      </w:r>
    </w:p>
    <w:p w14:paraId="42BC5403" w14:textId="77777777" w:rsidR="002060E2" w:rsidRPr="00AC7259" w:rsidRDefault="002060E2" w:rsidP="004C7417">
      <w:pPr>
        <w:pStyle w:val="E3SubSubBullets"/>
        <w:jc w:val="both"/>
      </w:pPr>
      <w:r w:rsidRPr="00AC7259">
        <w:t>Many opportunistic suppliers importing small quantities of refrigeration cases will no longer consider this viable.</w:t>
      </w:r>
    </w:p>
    <w:p w14:paraId="4DEFC1F1" w14:textId="77777777" w:rsidR="002060E2" w:rsidRPr="00AC7259" w:rsidRDefault="002060E2" w:rsidP="004C7417">
      <w:pPr>
        <w:pStyle w:val="E3SubSubBullets"/>
        <w:jc w:val="both"/>
      </w:pPr>
      <w:r w:rsidRPr="00AC7259">
        <w:t>Government test 2% of registrations per annum (i.e. 30 units under current regime), at an average purchase cost of $5,000 per unit incurring individual test costs of $6,500 plus $1,500 for further evaluation.</w:t>
      </w:r>
    </w:p>
    <w:p w14:paraId="01F02601" w14:textId="77777777" w:rsidR="002060E2" w:rsidRPr="00AC7259" w:rsidRDefault="002060E2" w:rsidP="004C7417">
      <w:pPr>
        <w:jc w:val="both"/>
        <w:rPr>
          <w:sz w:val="24"/>
        </w:rPr>
      </w:pPr>
      <w:r w:rsidRPr="00AC7259">
        <w:rPr>
          <w:sz w:val="24"/>
        </w:rPr>
        <w:t xml:space="preserve">A comprehensive list of the major Australian and New Zealand manufacturers and importers by company name, brand and country of origin is shown in </w:t>
      </w:r>
      <w:r w:rsidRPr="00AC7259">
        <w:rPr>
          <w:b/>
          <w:sz w:val="24"/>
        </w:rPr>
        <w:t>Attachment E</w:t>
      </w:r>
      <w:r w:rsidRPr="00AC7259">
        <w:rPr>
          <w:sz w:val="24"/>
        </w:rPr>
        <w:t xml:space="preserve">. There are many additional companies that import small quantities of cabinets. </w:t>
      </w:r>
    </w:p>
    <w:p w14:paraId="74EE939B" w14:textId="77777777" w:rsidR="002060E2" w:rsidRPr="00AC7259" w:rsidRDefault="002060E2" w:rsidP="004C7417">
      <w:pPr>
        <w:jc w:val="both"/>
        <w:rPr>
          <w:sz w:val="24"/>
        </w:rPr>
      </w:pPr>
      <w:r w:rsidRPr="00AC7259">
        <w:rPr>
          <w:sz w:val="24"/>
        </w:rPr>
        <w:t xml:space="preserve">In Australia there were </w:t>
      </w:r>
      <w:r>
        <w:rPr>
          <w:sz w:val="24"/>
        </w:rPr>
        <w:t xml:space="preserve">more than </w:t>
      </w:r>
      <w:r w:rsidRPr="00AC7259">
        <w:rPr>
          <w:sz w:val="24"/>
        </w:rPr>
        <w:t>500 different companies that imported refrigeration cases over the last 6 to 8 years.</w:t>
      </w:r>
    </w:p>
    <w:p w14:paraId="7FA197B2" w14:textId="77777777" w:rsidR="002060E2" w:rsidRPr="00AC7259" w:rsidRDefault="002060E2" w:rsidP="004C7417">
      <w:pPr>
        <w:pStyle w:val="E3SubSubBullets"/>
        <w:jc w:val="both"/>
        <w:rPr>
          <w:rStyle w:val="E3BulletsChar"/>
        </w:rPr>
      </w:pPr>
      <w:r w:rsidRPr="00AC7259">
        <w:rPr>
          <w:rStyle w:val="E3BulletsChar"/>
        </w:rPr>
        <w:t>The top 10 importers made up around 60% of imports</w:t>
      </w:r>
      <w:r>
        <w:rPr>
          <w:rStyle w:val="E3BulletsChar"/>
        </w:rPr>
        <w:t>.</w:t>
      </w:r>
    </w:p>
    <w:p w14:paraId="75457847" w14:textId="77777777" w:rsidR="002060E2" w:rsidRPr="00AC7259" w:rsidRDefault="002060E2" w:rsidP="004C7417">
      <w:pPr>
        <w:pStyle w:val="E3SubSubBullets"/>
        <w:jc w:val="both"/>
        <w:rPr>
          <w:rStyle w:val="E3BulletsChar"/>
        </w:rPr>
      </w:pPr>
      <w:r>
        <w:rPr>
          <w:rStyle w:val="E3BulletsChar"/>
        </w:rPr>
        <w:t>T</w:t>
      </w:r>
      <w:r w:rsidRPr="00AC7259">
        <w:rPr>
          <w:rStyle w:val="E3BulletsChar"/>
        </w:rPr>
        <w:t xml:space="preserve">he top 20 accounted for more than 75%. </w:t>
      </w:r>
    </w:p>
    <w:p w14:paraId="05243C4D" w14:textId="77777777" w:rsidR="002060E2" w:rsidRPr="00AC7259" w:rsidRDefault="002060E2" w:rsidP="004C7417">
      <w:pPr>
        <w:pStyle w:val="E3SubSubBullets"/>
        <w:jc w:val="both"/>
      </w:pPr>
      <w:r w:rsidRPr="00AC7259">
        <w:rPr>
          <w:rStyle w:val="E3BulletsChar"/>
        </w:rPr>
        <w:lastRenderedPageBreak/>
        <w:t>There was a very long tail of around 250 companies that imported less than 20 units of which 200 companies imported less than 10 units.</w:t>
      </w:r>
    </w:p>
    <w:p w14:paraId="5A29F6DD" w14:textId="77777777" w:rsidR="002060E2" w:rsidRPr="00AC7259" w:rsidRDefault="002060E2" w:rsidP="004C7417">
      <w:pPr>
        <w:pStyle w:val="E3BodyText"/>
        <w:jc w:val="both"/>
      </w:pPr>
      <w:r w:rsidRPr="00AC7259">
        <w:t>The New Zealand market characteristic is similar, just on a smaller scale</w:t>
      </w:r>
      <w:r>
        <w:t>,</w:t>
      </w:r>
      <w:r w:rsidRPr="00AC7259">
        <w:t xml:space="preserve"> with a core group of committed industry participants mak</w:t>
      </w:r>
      <w:r>
        <w:t>ing</w:t>
      </w:r>
      <w:r w:rsidRPr="00AC7259">
        <w:t xml:space="preserve"> up a significant portion of </w:t>
      </w:r>
      <w:r>
        <w:t xml:space="preserve">the </w:t>
      </w:r>
      <w:r w:rsidRPr="00AC7259">
        <w:t xml:space="preserve">market plus a long tail of miscellaneous importers. </w:t>
      </w:r>
    </w:p>
    <w:p w14:paraId="16F07286" w14:textId="77777777" w:rsidR="002060E2" w:rsidRPr="00AC7259" w:rsidRDefault="002060E2" w:rsidP="004C7417">
      <w:pPr>
        <w:pStyle w:val="E3BodyText"/>
        <w:jc w:val="both"/>
      </w:pPr>
      <w:r w:rsidRPr="00AC7259">
        <w:t xml:space="preserve">There are several regimes and commercial barriers that already restrict opportunistic importers. These ‘barriers’ include electrical safety and EMC requirements, product support necessary to comply with consumer laws as well as the cost penalty of part loading shipping containers to Australia or New Zealand. </w:t>
      </w:r>
    </w:p>
    <w:p w14:paraId="21664A49" w14:textId="4AC2E5E5" w:rsidR="002060E2" w:rsidRPr="00AC7259" w:rsidRDefault="002060E2" w:rsidP="004C7417">
      <w:pPr>
        <w:pStyle w:val="E3BodyText"/>
        <w:jc w:val="both"/>
      </w:pPr>
      <w:r w:rsidRPr="00AC7259">
        <w:t xml:space="preserve">There </w:t>
      </w:r>
      <w:r>
        <w:t xml:space="preserve">are incremental </w:t>
      </w:r>
      <w:r w:rsidRPr="00AC7259">
        <w:t>cost</w:t>
      </w:r>
      <w:r>
        <w:t>s</w:t>
      </w:r>
      <w:r w:rsidRPr="00AC7259">
        <w:t xml:space="preserve"> to both Government and industry </w:t>
      </w:r>
      <w:r>
        <w:t>from introducing and operating</w:t>
      </w:r>
      <w:r w:rsidRPr="00AC7259">
        <w:t xml:space="preserve"> an energy efficiency testing and registration program</w:t>
      </w:r>
      <w:r>
        <w:t>.  This</w:t>
      </w:r>
      <w:r w:rsidRPr="00AC7259">
        <w:t xml:space="preserve"> </w:t>
      </w:r>
      <w:r>
        <w:t xml:space="preserve">has been </w:t>
      </w:r>
      <w:r w:rsidRPr="00AC7259">
        <w:t xml:space="preserve">taken into account in the Cost Benefit </w:t>
      </w:r>
      <w:r>
        <w:t>Analysis of the RIS modelling (s</w:t>
      </w:r>
      <w:r w:rsidRPr="00AC7259">
        <w:t xml:space="preserve">ee </w:t>
      </w:r>
      <w:r w:rsidRPr="00AC7259">
        <w:rPr>
          <w:b/>
        </w:rPr>
        <w:fldChar w:fldCharType="begin"/>
      </w:r>
      <w:r w:rsidRPr="00AC7259">
        <w:rPr>
          <w:b/>
        </w:rPr>
        <w:instrText xml:space="preserve"> REF _Ref450032601 \h  \* MERGEFORMAT </w:instrText>
      </w:r>
      <w:r w:rsidRPr="00AC7259">
        <w:rPr>
          <w:b/>
        </w:rPr>
      </w:r>
      <w:r w:rsidRPr="00AC7259">
        <w:rPr>
          <w:b/>
        </w:rPr>
        <w:fldChar w:fldCharType="separate"/>
      </w:r>
      <w:r w:rsidR="00D51B4B" w:rsidRPr="00D51B4B">
        <w:rPr>
          <w:b/>
        </w:rPr>
        <w:t xml:space="preserve">Table D </w:t>
      </w:r>
      <w:r w:rsidR="00D51B4B" w:rsidRPr="00D51B4B">
        <w:rPr>
          <w:b/>
          <w:noProof/>
        </w:rPr>
        <w:t>2</w:t>
      </w:r>
      <w:r w:rsidRPr="00AC7259">
        <w:rPr>
          <w:b/>
        </w:rPr>
        <w:fldChar w:fldCharType="end"/>
      </w:r>
      <w:r w:rsidRPr="00AC7259">
        <w:t xml:space="preserve"> below</w:t>
      </w:r>
      <w:r>
        <w:t>)</w:t>
      </w:r>
      <w:r w:rsidRPr="00AC7259">
        <w:t xml:space="preserve">. </w:t>
      </w:r>
    </w:p>
    <w:p w14:paraId="6C3C908F" w14:textId="53C94B75" w:rsidR="002060E2" w:rsidRDefault="002060E2" w:rsidP="002060E2">
      <w:pPr>
        <w:pStyle w:val="E3TableTitles"/>
        <w:spacing w:before="240"/>
      </w:pPr>
      <w:bookmarkStart w:id="364" w:name="_Ref450032601"/>
      <w:bookmarkStart w:id="365" w:name="_Toc449708978"/>
      <w:bookmarkStart w:id="366" w:name="_Toc456164776"/>
      <w:bookmarkStart w:id="367" w:name="_Toc500159673"/>
      <w:r>
        <w:t xml:space="preserve">Table D </w:t>
      </w:r>
      <w:r>
        <w:fldChar w:fldCharType="begin"/>
      </w:r>
      <w:r>
        <w:instrText xml:space="preserve"> SEQ Table_D \* ARABIC </w:instrText>
      </w:r>
      <w:r>
        <w:fldChar w:fldCharType="separate"/>
      </w:r>
      <w:r w:rsidR="00D51B4B">
        <w:rPr>
          <w:noProof/>
        </w:rPr>
        <w:t>2</w:t>
      </w:r>
      <w:r>
        <w:rPr>
          <w:noProof/>
        </w:rPr>
        <w:fldChar w:fldCharType="end"/>
      </w:r>
      <w:bookmarkEnd w:id="364"/>
      <w:r w:rsidRPr="002705A4">
        <w:t xml:space="preserve">: </w:t>
      </w:r>
      <w:bookmarkEnd w:id="365"/>
      <w:r>
        <w:t>Incremental costs of changed regime.</w:t>
      </w:r>
      <w:bookmarkEnd w:id="366"/>
      <w:bookmarkEnd w:id="367"/>
    </w:p>
    <w:p w14:paraId="6A82A712" w14:textId="77777777" w:rsidR="000E3C98" w:rsidRDefault="000E3C98" w:rsidP="00C22857">
      <w:pPr>
        <w:pStyle w:val="E3BodyIntroductionText"/>
      </w:pPr>
      <w:bookmarkStart w:id="368" w:name="_Toc495927781"/>
      <w:r>
        <w:rPr>
          <w:noProof/>
          <w:lang w:val="en-AU" w:eastAsia="en-AU"/>
        </w:rPr>
        <w:drawing>
          <wp:inline distT="0" distB="0" distL="0" distR="0" wp14:anchorId="7AEC607F" wp14:editId="7A9513B5">
            <wp:extent cx="6120765" cy="240538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765" cy="2405380"/>
                    </a:xfrm>
                    <a:prstGeom prst="rect">
                      <a:avLst/>
                    </a:prstGeom>
                  </pic:spPr>
                </pic:pic>
              </a:graphicData>
            </a:graphic>
          </wp:inline>
        </w:drawing>
      </w:r>
      <w:bookmarkEnd w:id="368"/>
    </w:p>
    <w:p w14:paraId="72431E0A" w14:textId="541A5DEE" w:rsidR="002060E2" w:rsidRDefault="002060E2" w:rsidP="002060E2">
      <w:pPr>
        <w:spacing w:before="240"/>
        <w:jc w:val="both"/>
        <w:rPr>
          <w:sz w:val="24"/>
        </w:rPr>
      </w:pPr>
      <w:r>
        <w:rPr>
          <w:b/>
          <w:sz w:val="24"/>
        </w:rPr>
        <w:t>Regulatory cost burden</w:t>
      </w:r>
    </w:p>
    <w:p w14:paraId="13E455CE" w14:textId="77777777" w:rsidR="002060E2" w:rsidRPr="0085161C" w:rsidRDefault="002060E2" w:rsidP="002060E2">
      <w:pPr>
        <w:spacing w:before="240"/>
        <w:jc w:val="both"/>
        <w:rPr>
          <w:rFonts w:ascii="Garamond" w:hAnsi="Garamond"/>
          <w:sz w:val="24"/>
        </w:rPr>
      </w:pPr>
      <w:r w:rsidRPr="00EF3935">
        <w:rPr>
          <w:sz w:val="24"/>
        </w:rPr>
        <w:t xml:space="preserve">The estimated ‘regulatory cost burden’ on Australian companies </w:t>
      </w:r>
      <w:r>
        <w:rPr>
          <w:sz w:val="24"/>
        </w:rPr>
        <w:t xml:space="preserve">also needs to be factored in to the analysis </w:t>
      </w:r>
      <w:r w:rsidRPr="0085161C">
        <w:rPr>
          <w:sz w:val="24"/>
        </w:rPr>
        <w:t>(</w:t>
      </w:r>
      <w:r>
        <w:rPr>
          <w:sz w:val="24"/>
        </w:rPr>
        <w:t xml:space="preserve">see </w:t>
      </w:r>
      <w:r>
        <w:rPr>
          <w:b/>
          <w:sz w:val="24"/>
        </w:rPr>
        <w:t xml:space="preserve">Table D3 </w:t>
      </w:r>
      <w:r w:rsidRPr="00AC7259">
        <w:rPr>
          <w:sz w:val="24"/>
        </w:rPr>
        <w:t>below</w:t>
      </w:r>
      <w:r w:rsidRPr="0085161C">
        <w:rPr>
          <w:sz w:val="24"/>
        </w:rPr>
        <w:t>). The extra costs are shown for the three regulatory proposals vs Business As Usual</w:t>
      </w:r>
      <w:r w:rsidRPr="0085161C">
        <w:rPr>
          <w:sz w:val="24"/>
          <w:lang w:eastAsia="en-AU"/>
        </w:rPr>
        <w:t>.</w:t>
      </w:r>
      <w:r w:rsidRPr="0085161C">
        <w:rPr>
          <w:sz w:val="24"/>
        </w:rPr>
        <w:t xml:space="preserve">  The table shows the annual total regulatory costs per business and per product. These consist of the additional cost for administration time spent to register a product</w:t>
      </w:r>
      <w:r>
        <w:rPr>
          <w:sz w:val="24"/>
        </w:rPr>
        <w:t xml:space="preserve"> and additional testing costs, but</w:t>
      </w:r>
      <w:r w:rsidRPr="0085161C">
        <w:rPr>
          <w:sz w:val="24"/>
        </w:rPr>
        <w:t xml:space="preserve"> does not include the cost of registration itself.  </w:t>
      </w:r>
    </w:p>
    <w:p w14:paraId="39BC702A" w14:textId="77777777" w:rsidR="002060E2" w:rsidRPr="00A4439A" w:rsidRDefault="002060E2" w:rsidP="002060E2">
      <w:pPr>
        <w:pStyle w:val="E3BodyText"/>
      </w:pPr>
    </w:p>
    <w:p w14:paraId="427833E9" w14:textId="77777777" w:rsidR="004C7417" w:rsidRDefault="004C7417" w:rsidP="002060E2">
      <w:pPr>
        <w:pStyle w:val="E3TableTitles"/>
        <w:rPr>
          <w:lang w:eastAsia="en-AU"/>
        </w:rPr>
      </w:pPr>
    </w:p>
    <w:p w14:paraId="58404C10" w14:textId="77777777" w:rsidR="004C7417" w:rsidRDefault="004C7417" w:rsidP="002060E2">
      <w:pPr>
        <w:pStyle w:val="E3TableTitles"/>
        <w:rPr>
          <w:lang w:eastAsia="en-AU"/>
        </w:rPr>
      </w:pPr>
    </w:p>
    <w:p w14:paraId="25BF301D" w14:textId="77777777" w:rsidR="004C7417" w:rsidRDefault="004C7417" w:rsidP="002060E2">
      <w:pPr>
        <w:pStyle w:val="E3TableTitles"/>
        <w:rPr>
          <w:lang w:eastAsia="en-AU"/>
        </w:rPr>
      </w:pPr>
    </w:p>
    <w:p w14:paraId="65C68021" w14:textId="77777777" w:rsidR="00C22857" w:rsidRDefault="00C22857" w:rsidP="002060E2">
      <w:pPr>
        <w:pStyle w:val="E3TableTitles"/>
        <w:rPr>
          <w:lang w:eastAsia="en-AU"/>
        </w:rPr>
      </w:pPr>
    </w:p>
    <w:p w14:paraId="0D27DB2B" w14:textId="74C78827" w:rsidR="002060E2" w:rsidRPr="00A8723D" w:rsidRDefault="002060E2" w:rsidP="002060E2">
      <w:pPr>
        <w:pStyle w:val="E3TableTitles"/>
      </w:pPr>
      <w:bookmarkStart w:id="369" w:name="_Toc500159674"/>
      <w:r w:rsidRPr="00A8723D">
        <w:rPr>
          <w:lang w:eastAsia="en-AU"/>
        </w:rPr>
        <w:t>Table</w:t>
      </w:r>
      <w:r>
        <w:t xml:space="preserve"> D3</w:t>
      </w:r>
      <w:r w:rsidRPr="00A8723D">
        <w:t>:</w:t>
      </w:r>
      <w:r w:rsidRPr="00A8723D">
        <w:rPr>
          <w:lang w:eastAsia="en-AU"/>
        </w:rPr>
        <w:t xml:space="preserve"> Estimated regulatory burden cost (excluding cost to register in Australia) – for Australian businesses (in $AUD)</w:t>
      </w:r>
      <w:r>
        <w:rPr>
          <w:lang w:eastAsia="en-AU"/>
        </w:rPr>
        <w:t>.</w:t>
      </w:r>
      <w:bookmarkEnd w:id="369"/>
    </w:p>
    <w:p w14:paraId="715CD3A5" w14:textId="77777777" w:rsidR="002060E2" w:rsidRDefault="000E3C98" w:rsidP="002060E2">
      <w:pPr>
        <w:pStyle w:val="E3BodyText"/>
      </w:pPr>
      <w:r>
        <w:rPr>
          <w:noProof/>
          <w:lang w:val="en-AU" w:eastAsia="en-AU"/>
        </w:rPr>
        <w:drawing>
          <wp:inline distT="0" distB="0" distL="0" distR="0" wp14:anchorId="25DB13A7" wp14:editId="186B5A90">
            <wp:extent cx="5238750" cy="189547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38750" cy="1895475"/>
                    </a:xfrm>
                    <a:prstGeom prst="rect">
                      <a:avLst/>
                    </a:prstGeom>
                  </pic:spPr>
                </pic:pic>
              </a:graphicData>
            </a:graphic>
          </wp:inline>
        </w:drawing>
      </w:r>
    </w:p>
    <w:p w14:paraId="11304D84" w14:textId="33ECEB49" w:rsidR="002060E2" w:rsidRPr="00796223" w:rsidRDefault="002060E2" w:rsidP="004C7417">
      <w:pPr>
        <w:pStyle w:val="E3BodyText"/>
        <w:jc w:val="both"/>
        <w:rPr>
          <w:rFonts w:cs="Helvetica"/>
        </w:rPr>
      </w:pPr>
      <w:r w:rsidRPr="00796223">
        <w:rPr>
          <w:rFonts w:cs="Helvetica"/>
        </w:rPr>
        <w:t xml:space="preserve">These calculations appear different from those in </w:t>
      </w:r>
      <w:r w:rsidRPr="00796223">
        <w:rPr>
          <w:rFonts w:cs="Helvetica"/>
          <w:b/>
        </w:rPr>
        <w:fldChar w:fldCharType="begin"/>
      </w:r>
      <w:r w:rsidRPr="00796223">
        <w:rPr>
          <w:rFonts w:cs="Helvetica"/>
          <w:b/>
        </w:rPr>
        <w:instrText xml:space="preserve"> REF _Ref450032601 \h  \* MERGEFORMAT </w:instrText>
      </w:r>
      <w:r w:rsidRPr="00796223">
        <w:rPr>
          <w:rFonts w:cs="Helvetica"/>
          <w:b/>
        </w:rPr>
      </w:r>
      <w:r w:rsidRPr="00796223">
        <w:rPr>
          <w:rFonts w:cs="Helvetica"/>
          <w:b/>
        </w:rPr>
        <w:fldChar w:fldCharType="separate"/>
      </w:r>
      <w:r w:rsidR="00D51B4B" w:rsidRPr="00D51B4B">
        <w:rPr>
          <w:rFonts w:cs="Helvetica"/>
          <w:b/>
        </w:rPr>
        <w:t>Table D 2</w:t>
      </w:r>
      <w:r w:rsidRPr="00796223">
        <w:rPr>
          <w:rFonts w:cs="Helvetica"/>
          <w:b/>
        </w:rPr>
        <w:fldChar w:fldCharType="end"/>
      </w:r>
      <w:r w:rsidRPr="00796223">
        <w:rPr>
          <w:rFonts w:cs="Helvetica"/>
          <w:b/>
        </w:rPr>
        <w:t xml:space="preserve"> </w:t>
      </w:r>
      <w:r w:rsidRPr="00796223">
        <w:rPr>
          <w:rFonts w:cs="Helvetica"/>
        </w:rPr>
        <w:t>(incremental costs of a changed regime) because:</w:t>
      </w:r>
    </w:p>
    <w:p w14:paraId="051A7C13" w14:textId="77777777" w:rsidR="002060E2" w:rsidRPr="00796223" w:rsidRDefault="002060E2" w:rsidP="004C7417">
      <w:pPr>
        <w:pStyle w:val="E3SubSubBullets"/>
        <w:jc w:val="both"/>
      </w:pPr>
      <w:r w:rsidRPr="00796223">
        <w:t>Only the costs to Australian businesses are shown here (NZ companies are not included).</w:t>
      </w:r>
    </w:p>
    <w:p w14:paraId="6416A471" w14:textId="77777777" w:rsidR="002060E2" w:rsidRPr="00796223" w:rsidRDefault="002060E2" w:rsidP="004C7417">
      <w:pPr>
        <w:pStyle w:val="E3SubSubBullets"/>
        <w:jc w:val="both"/>
      </w:pPr>
      <w:r w:rsidRPr="00796223">
        <w:t xml:space="preserve">The cost per registered model can vary from the full cost to much less because a large number of units may be sold against each registered model. </w:t>
      </w:r>
    </w:p>
    <w:p w14:paraId="53AF5E16" w14:textId="77777777" w:rsidR="002060E2" w:rsidRPr="00796223" w:rsidRDefault="002060E2" w:rsidP="004C7417">
      <w:pPr>
        <w:pStyle w:val="E3BodyText"/>
        <w:jc w:val="both"/>
        <w:rPr>
          <w:rFonts w:cs="Helvetica"/>
        </w:rPr>
      </w:pPr>
      <w:r w:rsidRPr="00796223">
        <w:rPr>
          <w:rFonts w:cs="Helvetica"/>
        </w:rPr>
        <w:t xml:space="preserve">These total regulatory costs represent between 0.2 % and 0.3% of the sales weighted average equipment cost (of AUD$5,185). </w:t>
      </w:r>
    </w:p>
    <w:p w14:paraId="09B9666F" w14:textId="77777777" w:rsidR="002060E2" w:rsidRPr="00796223" w:rsidRDefault="002060E2" w:rsidP="004C7417">
      <w:pPr>
        <w:pStyle w:val="E3BodyText"/>
        <w:jc w:val="both"/>
        <w:rPr>
          <w:rFonts w:cs="Helvetica"/>
        </w:rPr>
      </w:pPr>
      <w:r w:rsidRPr="00796223">
        <w:rPr>
          <w:rFonts w:cs="Helvetica"/>
        </w:rPr>
        <w:t>The following assumptions have been made about these costs and estimates:</w:t>
      </w:r>
    </w:p>
    <w:p w14:paraId="289B6E24" w14:textId="77777777" w:rsidR="002060E2" w:rsidRPr="00796223" w:rsidRDefault="002060E2" w:rsidP="004C7417">
      <w:pPr>
        <w:pStyle w:val="E3SubSubBullets"/>
        <w:jc w:val="both"/>
      </w:pPr>
      <w:r w:rsidRPr="00796223">
        <w:rPr>
          <w:b/>
        </w:rPr>
        <w:t>Incremental cost per supplier:</w:t>
      </w:r>
      <w:r w:rsidRPr="00796223">
        <w:t xml:space="preserve"> this has been calculated based on the additional cost of current products that may need to be retested, plus the additional test costs under an expanded scope, divided by 75 suppliers in total.  It is based on the broad assumption that each product is registered every three years and therefore there are over 2,000 products that incur testing costs of $6,500.  The registration fee of $780 (in Australia only) is excluded from the calculation as this is treated as a pass-through item in the analysis (i.e., it is not included in the benefits to the government or as a cost to industry).</w:t>
      </w:r>
    </w:p>
    <w:p w14:paraId="6DDD2F4C" w14:textId="77777777" w:rsidR="002060E2" w:rsidRPr="00796223" w:rsidRDefault="002060E2" w:rsidP="004C7417">
      <w:pPr>
        <w:pStyle w:val="E3SubSubBullets"/>
        <w:numPr>
          <w:ilvl w:val="0"/>
          <w:numId w:val="0"/>
        </w:numPr>
        <w:ind w:left="964"/>
        <w:jc w:val="both"/>
      </w:pPr>
    </w:p>
    <w:p w14:paraId="596C56BE" w14:textId="75CDDA0E" w:rsidR="002060E2" w:rsidRPr="00796223" w:rsidRDefault="002060E2" w:rsidP="004C7417">
      <w:pPr>
        <w:pStyle w:val="E3SubSubBullets"/>
        <w:jc w:val="both"/>
      </w:pPr>
      <w:r w:rsidRPr="00796223">
        <w:rPr>
          <w:b/>
        </w:rPr>
        <w:t>Approximate incremental product cost per sale:</w:t>
      </w:r>
      <w:r w:rsidRPr="00796223">
        <w:t xml:space="preserve"> th</w:t>
      </w:r>
      <w:r w:rsidR="00DD102F">
        <w:t xml:space="preserve">is is calculated based on </w:t>
      </w:r>
      <w:r w:rsidRPr="00796223">
        <w:t>the above costs, divided by 300,000 sales (i.e. 3 years at 100,000 sales per annum).</w:t>
      </w:r>
    </w:p>
    <w:p w14:paraId="76133CDB" w14:textId="11BB7C7E" w:rsidR="000E3C98" w:rsidRDefault="000E3C98" w:rsidP="004C7417">
      <w:pPr>
        <w:pStyle w:val="E3Heading2"/>
        <w:spacing w:before="240"/>
        <w:jc w:val="both"/>
        <w:rPr>
          <w:rFonts w:ascii="Georgia" w:hAnsi="Georgia" w:cs="Helvetica"/>
          <w:sz w:val="24"/>
        </w:rPr>
      </w:pPr>
      <w:bookmarkStart w:id="370" w:name="_Toc449708805"/>
      <w:bookmarkStart w:id="371" w:name="_Toc494897991"/>
      <w:bookmarkStart w:id="372" w:name="_Toc494955783"/>
      <w:bookmarkStart w:id="373" w:name="_Toc494959591"/>
      <w:bookmarkStart w:id="374" w:name="_Toc494972717"/>
      <w:bookmarkStart w:id="375" w:name="_Toc494973904"/>
      <w:bookmarkStart w:id="376" w:name="_Toc494974593"/>
    </w:p>
    <w:p w14:paraId="5B128ED9" w14:textId="77777777" w:rsidR="002060E2" w:rsidRPr="0041262C" w:rsidRDefault="002060E2" w:rsidP="004C7417">
      <w:pPr>
        <w:pStyle w:val="E3Heading2"/>
        <w:spacing w:before="240"/>
        <w:jc w:val="both"/>
        <w:rPr>
          <w:rFonts w:ascii="Georgia" w:hAnsi="Georgia" w:cs="Helvetica"/>
          <w:sz w:val="24"/>
        </w:rPr>
      </w:pPr>
      <w:bookmarkStart w:id="377" w:name="_Toc500151837"/>
      <w:r w:rsidRPr="0041262C">
        <w:rPr>
          <w:rFonts w:ascii="Georgia" w:hAnsi="Georgia" w:cs="Helvetica"/>
          <w:sz w:val="24"/>
        </w:rPr>
        <w:t>Costs of improvements</w:t>
      </w:r>
      <w:bookmarkEnd w:id="370"/>
      <w:bookmarkEnd w:id="371"/>
      <w:bookmarkEnd w:id="372"/>
      <w:bookmarkEnd w:id="373"/>
      <w:bookmarkEnd w:id="374"/>
      <w:bookmarkEnd w:id="375"/>
      <w:bookmarkEnd w:id="376"/>
      <w:bookmarkEnd w:id="377"/>
    </w:p>
    <w:p w14:paraId="71FF0D3F" w14:textId="77777777" w:rsidR="002060E2" w:rsidRPr="00796223" w:rsidRDefault="002060E2" w:rsidP="004C7417">
      <w:pPr>
        <w:pStyle w:val="E3BodyText"/>
        <w:jc w:val="both"/>
        <w:rPr>
          <w:rFonts w:cs="Helvetica"/>
        </w:rPr>
      </w:pPr>
      <w:r w:rsidRPr="00796223">
        <w:rPr>
          <w:rFonts w:cs="Helvetica"/>
        </w:rPr>
        <w:t>A comprehensive desktop review of over 20 brands was undertaken in 2014 of the typical sell prices (or cost to end user) of the sub-types of cabinets. This information was averaged for each group type (</w:t>
      </w:r>
      <w:r w:rsidRPr="00796223">
        <w:rPr>
          <w:rFonts w:cs="Helvetica"/>
          <w:b/>
        </w:rPr>
        <w:t>Table D 3</w:t>
      </w:r>
      <w:r w:rsidRPr="00796223">
        <w:rPr>
          <w:rFonts w:cs="Helvetica"/>
        </w:rPr>
        <w:t>).</w:t>
      </w:r>
    </w:p>
    <w:p w14:paraId="60AC11BC" w14:textId="77777777" w:rsidR="002060E2" w:rsidRPr="000E3C98" w:rsidRDefault="002060E2" w:rsidP="004C7417">
      <w:pPr>
        <w:pStyle w:val="E3BodyText"/>
        <w:jc w:val="both"/>
        <w:rPr>
          <w:rFonts w:cs="Helvetica"/>
        </w:rPr>
      </w:pPr>
      <w:r w:rsidRPr="00796223">
        <w:rPr>
          <w:rFonts w:cs="Helvetica"/>
        </w:rPr>
        <w:lastRenderedPageBreak/>
        <w:t xml:space="preserve">Integral cabinets have the widest range of prices, with prices averaging from AUD $8,800 for an Integral Refrigerated Horizontal (IRH) cabinet to as low as AUD $1,470 for an Integral Freezer Horizontal type IFH-5 with the weighted average by local sale quantity of around $3,200. The New Zealand prices are estimated from the Australian prices based on an exchange rate of 1 $NZ = 0.85 AUD. Prices for 2016-17 used in the CBA were inflated to </w:t>
      </w:r>
      <w:r w:rsidR="000E3C98">
        <w:rPr>
          <w:rFonts w:cs="Helvetica"/>
        </w:rPr>
        <w:t>2016-17 dollars by CPI (1.032).</w:t>
      </w:r>
    </w:p>
    <w:p w14:paraId="44315035" w14:textId="45DA7DD4" w:rsidR="002060E2" w:rsidRPr="00F428D8" w:rsidRDefault="002060E2" w:rsidP="002060E2">
      <w:pPr>
        <w:pStyle w:val="E3TableTitles"/>
      </w:pPr>
      <w:bookmarkStart w:id="378" w:name="_Ref450032633"/>
      <w:bookmarkStart w:id="379" w:name="_Toc449708979"/>
      <w:bookmarkStart w:id="380" w:name="_Toc456164777"/>
      <w:bookmarkStart w:id="381" w:name="_Toc500159675"/>
      <w:r>
        <w:t xml:space="preserve">Table D </w:t>
      </w:r>
      <w:r>
        <w:fldChar w:fldCharType="begin"/>
      </w:r>
      <w:r>
        <w:instrText xml:space="preserve"> SEQ Table_D \* ARABIC </w:instrText>
      </w:r>
      <w:r>
        <w:fldChar w:fldCharType="separate"/>
      </w:r>
      <w:r w:rsidR="00D51B4B">
        <w:rPr>
          <w:noProof/>
        </w:rPr>
        <w:t>3</w:t>
      </w:r>
      <w:r>
        <w:rPr>
          <w:noProof/>
        </w:rPr>
        <w:fldChar w:fldCharType="end"/>
      </w:r>
      <w:bookmarkEnd w:id="378"/>
      <w:r w:rsidRPr="002705A4">
        <w:t>: Estimated average prices by grouped cabinet type.</w:t>
      </w:r>
      <w:bookmarkEnd w:id="379"/>
      <w:bookmarkEnd w:id="380"/>
      <w:bookmarkEnd w:id="3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921"/>
        <w:gridCol w:w="1923"/>
        <w:gridCol w:w="1923"/>
        <w:gridCol w:w="1923"/>
      </w:tblGrid>
      <w:tr w:rsidR="002060E2" w:rsidRPr="00904B10" w14:paraId="003D681C" w14:textId="77777777" w:rsidTr="002060E2">
        <w:tc>
          <w:tcPr>
            <w:tcW w:w="1861" w:type="dxa"/>
            <w:vMerge w:val="restart"/>
            <w:shd w:val="clear" w:color="auto" w:fill="0C0C0C"/>
            <w:vAlign w:val="center"/>
          </w:tcPr>
          <w:p w14:paraId="32DEE536" w14:textId="77777777" w:rsidR="002060E2" w:rsidRPr="00904B10" w:rsidRDefault="002060E2" w:rsidP="002060E2">
            <w:pPr>
              <w:pStyle w:val="E3TableHeading"/>
            </w:pPr>
            <w:r w:rsidRPr="00904B10">
              <w:t>Grouped cabinet types</w:t>
            </w:r>
          </w:p>
        </w:tc>
        <w:tc>
          <w:tcPr>
            <w:tcW w:w="3939" w:type="dxa"/>
            <w:gridSpan w:val="2"/>
            <w:shd w:val="clear" w:color="auto" w:fill="0C0C0C"/>
            <w:vAlign w:val="center"/>
          </w:tcPr>
          <w:p w14:paraId="2C0C07EF" w14:textId="77777777" w:rsidR="002060E2" w:rsidRPr="00904B10" w:rsidRDefault="002060E2" w:rsidP="002060E2">
            <w:pPr>
              <w:pStyle w:val="E3TableHeading"/>
            </w:pPr>
            <w:r w:rsidRPr="00904B10">
              <w:t>Average prices</w:t>
            </w:r>
            <w:r>
              <w:t xml:space="preserve"> (2016/17 dollars)</w:t>
            </w:r>
          </w:p>
        </w:tc>
        <w:tc>
          <w:tcPr>
            <w:tcW w:w="3940" w:type="dxa"/>
            <w:gridSpan w:val="2"/>
            <w:shd w:val="clear" w:color="auto" w:fill="0C0C0C"/>
            <w:vAlign w:val="center"/>
          </w:tcPr>
          <w:p w14:paraId="649921F5" w14:textId="77777777" w:rsidR="002060E2" w:rsidRPr="00904B10" w:rsidRDefault="002060E2" w:rsidP="002060E2">
            <w:pPr>
              <w:pStyle w:val="E3TableHeading"/>
            </w:pPr>
            <w:r w:rsidRPr="00904B10">
              <w:t xml:space="preserve">Weighted average prices </w:t>
            </w:r>
            <w:r>
              <w:t>(2016/17 dollars)</w:t>
            </w:r>
          </w:p>
          <w:p w14:paraId="61B88E71" w14:textId="77777777" w:rsidR="002060E2" w:rsidRPr="00904B10" w:rsidRDefault="002060E2" w:rsidP="002060E2">
            <w:pPr>
              <w:pStyle w:val="E3TableHeading"/>
            </w:pPr>
            <w:r w:rsidRPr="00904B10">
              <w:t>(Based on local sales profile)</w:t>
            </w:r>
          </w:p>
        </w:tc>
      </w:tr>
      <w:tr w:rsidR="002060E2" w:rsidRPr="00904B10" w14:paraId="27930671" w14:textId="77777777" w:rsidTr="002060E2">
        <w:tc>
          <w:tcPr>
            <w:tcW w:w="1861" w:type="dxa"/>
            <w:vMerge/>
            <w:shd w:val="clear" w:color="auto" w:fill="0C0C0C"/>
            <w:vAlign w:val="center"/>
          </w:tcPr>
          <w:p w14:paraId="4ECFB298" w14:textId="77777777" w:rsidR="002060E2" w:rsidRPr="0041262C" w:rsidRDefault="002060E2" w:rsidP="002060E2">
            <w:pPr>
              <w:spacing w:before="60" w:after="60"/>
              <w:rPr>
                <w:rFonts w:ascii="Helvetica" w:hAnsi="Helvetica" w:cs="Helvetica"/>
                <w:color w:val="FFFFFF" w:themeColor="background1"/>
                <w:sz w:val="15"/>
                <w:szCs w:val="15"/>
              </w:rPr>
            </w:pPr>
          </w:p>
        </w:tc>
        <w:tc>
          <w:tcPr>
            <w:tcW w:w="1969" w:type="dxa"/>
            <w:shd w:val="clear" w:color="auto" w:fill="0C0C0C"/>
            <w:vAlign w:val="center"/>
          </w:tcPr>
          <w:p w14:paraId="11034272" w14:textId="77777777" w:rsidR="002060E2" w:rsidRPr="00904B10" w:rsidRDefault="002060E2" w:rsidP="002060E2">
            <w:pPr>
              <w:pStyle w:val="E3TableHeading"/>
            </w:pPr>
            <w:r w:rsidRPr="00904B10">
              <w:t>AUD</w:t>
            </w:r>
          </w:p>
        </w:tc>
        <w:tc>
          <w:tcPr>
            <w:tcW w:w="1970" w:type="dxa"/>
            <w:shd w:val="clear" w:color="auto" w:fill="0C0C0C"/>
            <w:vAlign w:val="center"/>
          </w:tcPr>
          <w:p w14:paraId="4518CD61" w14:textId="77777777" w:rsidR="002060E2" w:rsidRPr="00904B10" w:rsidRDefault="002060E2" w:rsidP="002060E2">
            <w:pPr>
              <w:pStyle w:val="E3TableHeading"/>
            </w:pPr>
            <w:r w:rsidRPr="00904B10">
              <w:t>$NZ</w:t>
            </w:r>
          </w:p>
        </w:tc>
        <w:tc>
          <w:tcPr>
            <w:tcW w:w="1970" w:type="dxa"/>
            <w:shd w:val="clear" w:color="auto" w:fill="0C0C0C"/>
            <w:vAlign w:val="center"/>
          </w:tcPr>
          <w:p w14:paraId="638BE464" w14:textId="77777777" w:rsidR="002060E2" w:rsidRPr="00904B10" w:rsidRDefault="002060E2" w:rsidP="002060E2">
            <w:pPr>
              <w:pStyle w:val="E3TableHeading"/>
            </w:pPr>
            <w:r w:rsidRPr="00904B10">
              <w:t>AUD</w:t>
            </w:r>
          </w:p>
        </w:tc>
        <w:tc>
          <w:tcPr>
            <w:tcW w:w="1970" w:type="dxa"/>
            <w:shd w:val="clear" w:color="auto" w:fill="0C0C0C"/>
            <w:vAlign w:val="center"/>
          </w:tcPr>
          <w:p w14:paraId="08C5CE96" w14:textId="77777777" w:rsidR="002060E2" w:rsidRPr="00904B10" w:rsidRDefault="002060E2" w:rsidP="002060E2">
            <w:pPr>
              <w:pStyle w:val="E3TableHeading"/>
            </w:pPr>
            <w:r w:rsidRPr="00904B10">
              <w:t>$NZ</w:t>
            </w:r>
          </w:p>
        </w:tc>
      </w:tr>
      <w:tr w:rsidR="002060E2" w:rsidRPr="005A48AF" w14:paraId="78331A73" w14:textId="77777777" w:rsidTr="002060E2">
        <w:tc>
          <w:tcPr>
            <w:tcW w:w="1861" w:type="dxa"/>
            <w:vAlign w:val="center"/>
          </w:tcPr>
          <w:p w14:paraId="4E6AEE7F"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IRH</w:t>
            </w:r>
          </w:p>
        </w:tc>
        <w:tc>
          <w:tcPr>
            <w:tcW w:w="1969" w:type="dxa"/>
          </w:tcPr>
          <w:p w14:paraId="774C68FB"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$9,081</w:t>
            </w:r>
          </w:p>
        </w:tc>
        <w:tc>
          <w:tcPr>
            <w:tcW w:w="1970" w:type="dxa"/>
          </w:tcPr>
          <w:p w14:paraId="49646623"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$10,683</w:t>
            </w:r>
          </w:p>
        </w:tc>
        <w:tc>
          <w:tcPr>
            <w:tcW w:w="1970" w:type="dxa"/>
            <w:vMerge w:val="restart"/>
            <w:vAlign w:val="center"/>
          </w:tcPr>
          <w:p w14:paraId="2BAF176B"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$3,351</w:t>
            </w:r>
          </w:p>
        </w:tc>
        <w:tc>
          <w:tcPr>
            <w:tcW w:w="1970" w:type="dxa"/>
            <w:vMerge w:val="restart"/>
            <w:vAlign w:val="center"/>
          </w:tcPr>
          <w:p w14:paraId="77224161"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$3,943</w:t>
            </w:r>
          </w:p>
        </w:tc>
      </w:tr>
      <w:tr w:rsidR="002060E2" w:rsidRPr="005A48AF" w14:paraId="3B614E7F" w14:textId="77777777" w:rsidTr="002060E2">
        <w:tc>
          <w:tcPr>
            <w:tcW w:w="1861" w:type="dxa"/>
            <w:vAlign w:val="center"/>
          </w:tcPr>
          <w:p w14:paraId="5B8AA37D"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IRV</w:t>
            </w:r>
          </w:p>
        </w:tc>
        <w:tc>
          <w:tcPr>
            <w:tcW w:w="1969" w:type="dxa"/>
          </w:tcPr>
          <w:p w14:paraId="70AEDA09"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$5,496</w:t>
            </w:r>
          </w:p>
        </w:tc>
        <w:tc>
          <w:tcPr>
            <w:tcW w:w="1970" w:type="dxa"/>
          </w:tcPr>
          <w:p w14:paraId="7EEF6D1F"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$6,466</w:t>
            </w:r>
          </w:p>
        </w:tc>
        <w:tc>
          <w:tcPr>
            <w:tcW w:w="1970" w:type="dxa"/>
            <w:vMerge/>
            <w:vAlign w:val="center"/>
          </w:tcPr>
          <w:p w14:paraId="423A4728" w14:textId="77777777" w:rsidR="002060E2" w:rsidRPr="0041262C" w:rsidRDefault="002060E2" w:rsidP="002060E2">
            <w:pPr>
              <w:pStyle w:val="E3tabletext1"/>
              <w:rPr>
                <w:rFonts w:ascii="Helvetica" w:hAnsi="Helvetica" w:cs="Helvetica"/>
                <w:sz w:val="15"/>
                <w:szCs w:val="15"/>
              </w:rPr>
            </w:pPr>
          </w:p>
        </w:tc>
        <w:tc>
          <w:tcPr>
            <w:tcW w:w="1970" w:type="dxa"/>
            <w:vMerge/>
            <w:vAlign w:val="center"/>
          </w:tcPr>
          <w:p w14:paraId="50C89DFA" w14:textId="77777777" w:rsidR="002060E2" w:rsidRPr="0041262C" w:rsidRDefault="002060E2" w:rsidP="002060E2">
            <w:pPr>
              <w:pStyle w:val="E3tabletext1"/>
              <w:rPr>
                <w:rFonts w:ascii="Helvetica" w:hAnsi="Helvetica" w:cs="Helvetica"/>
                <w:sz w:val="15"/>
                <w:szCs w:val="15"/>
              </w:rPr>
            </w:pPr>
          </w:p>
        </w:tc>
      </w:tr>
      <w:tr w:rsidR="002060E2" w:rsidRPr="005A48AF" w14:paraId="2EED027A" w14:textId="77777777" w:rsidTr="002060E2">
        <w:tc>
          <w:tcPr>
            <w:tcW w:w="1861" w:type="dxa"/>
            <w:vAlign w:val="center"/>
          </w:tcPr>
          <w:p w14:paraId="1F0D2D57"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IRV-4</w:t>
            </w:r>
          </w:p>
        </w:tc>
        <w:tc>
          <w:tcPr>
            <w:tcW w:w="1969" w:type="dxa"/>
          </w:tcPr>
          <w:p w14:paraId="579115DB"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$2,885</w:t>
            </w:r>
          </w:p>
        </w:tc>
        <w:tc>
          <w:tcPr>
            <w:tcW w:w="1970" w:type="dxa"/>
          </w:tcPr>
          <w:p w14:paraId="740055B0"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$3,394</w:t>
            </w:r>
          </w:p>
        </w:tc>
        <w:tc>
          <w:tcPr>
            <w:tcW w:w="1970" w:type="dxa"/>
            <w:vMerge/>
            <w:vAlign w:val="center"/>
          </w:tcPr>
          <w:p w14:paraId="4BE426B1" w14:textId="77777777" w:rsidR="002060E2" w:rsidRPr="0041262C" w:rsidRDefault="002060E2" w:rsidP="002060E2">
            <w:pPr>
              <w:pStyle w:val="E3tabletext1"/>
              <w:rPr>
                <w:rFonts w:ascii="Helvetica" w:hAnsi="Helvetica" w:cs="Helvetica"/>
                <w:sz w:val="15"/>
                <w:szCs w:val="15"/>
              </w:rPr>
            </w:pPr>
          </w:p>
        </w:tc>
        <w:tc>
          <w:tcPr>
            <w:tcW w:w="1970" w:type="dxa"/>
            <w:vMerge/>
            <w:vAlign w:val="center"/>
          </w:tcPr>
          <w:p w14:paraId="0AAD218E" w14:textId="77777777" w:rsidR="002060E2" w:rsidRPr="0041262C" w:rsidRDefault="002060E2" w:rsidP="002060E2">
            <w:pPr>
              <w:pStyle w:val="E3tabletext1"/>
              <w:rPr>
                <w:rFonts w:ascii="Helvetica" w:hAnsi="Helvetica" w:cs="Helvetica"/>
                <w:sz w:val="15"/>
                <w:szCs w:val="15"/>
              </w:rPr>
            </w:pPr>
          </w:p>
        </w:tc>
      </w:tr>
      <w:tr w:rsidR="002060E2" w:rsidRPr="005A48AF" w14:paraId="3F18975A" w14:textId="77777777" w:rsidTr="002060E2">
        <w:tc>
          <w:tcPr>
            <w:tcW w:w="1861" w:type="dxa"/>
            <w:vAlign w:val="center"/>
          </w:tcPr>
          <w:p w14:paraId="5584DD82"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IFH</w:t>
            </w:r>
          </w:p>
        </w:tc>
        <w:tc>
          <w:tcPr>
            <w:tcW w:w="1969" w:type="dxa"/>
          </w:tcPr>
          <w:p w14:paraId="6532A03D"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$6,000</w:t>
            </w:r>
          </w:p>
        </w:tc>
        <w:tc>
          <w:tcPr>
            <w:tcW w:w="1970" w:type="dxa"/>
          </w:tcPr>
          <w:p w14:paraId="623A2018"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$7,059</w:t>
            </w:r>
          </w:p>
        </w:tc>
        <w:tc>
          <w:tcPr>
            <w:tcW w:w="1970" w:type="dxa"/>
            <w:vMerge/>
            <w:vAlign w:val="center"/>
          </w:tcPr>
          <w:p w14:paraId="6AEE340C" w14:textId="77777777" w:rsidR="002060E2" w:rsidRPr="0041262C" w:rsidRDefault="002060E2" w:rsidP="002060E2">
            <w:pPr>
              <w:pStyle w:val="E3tabletext1"/>
              <w:rPr>
                <w:rFonts w:ascii="Helvetica" w:hAnsi="Helvetica" w:cs="Helvetica"/>
                <w:sz w:val="15"/>
                <w:szCs w:val="15"/>
              </w:rPr>
            </w:pPr>
          </w:p>
        </w:tc>
        <w:tc>
          <w:tcPr>
            <w:tcW w:w="1970" w:type="dxa"/>
            <w:vMerge/>
            <w:vAlign w:val="center"/>
          </w:tcPr>
          <w:p w14:paraId="4F4FAFD0" w14:textId="77777777" w:rsidR="002060E2" w:rsidRPr="0041262C" w:rsidRDefault="002060E2" w:rsidP="002060E2">
            <w:pPr>
              <w:pStyle w:val="E3tabletext1"/>
              <w:rPr>
                <w:rFonts w:ascii="Helvetica" w:hAnsi="Helvetica" w:cs="Helvetica"/>
                <w:sz w:val="15"/>
                <w:szCs w:val="15"/>
              </w:rPr>
            </w:pPr>
          </w:p>
        </w:tc>
      </w:tr>
      <w:tr w:rsidR="002060E2" w:rsidRPr="005A48AF" w14:paraId="576E1824" w14:textId="77777777" w:rsidTr="002060E2">
        <w:tc>
          <w:tcPr>
            <w:tcW w:w="1861" w:type="dxa"/>
            <w:vAlign w:val="center"/>
          </w:tcPr>
          <w:p w14:paraId="2D733AE7"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IFH-5</w:t>
            </w:r>
          </w:p>
        </w:tc>
        <w:tc>
          <w:tcPr>
            <w:tcW w:w="1969" w:type="dxa"/>
          </w:tcPr>
          <w:p w14:paraId="38A77647"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$1,517</w:t>
            </w:r>
          </w:p>
        </w:tc>
        <w:tc>
          <w:tcPr>
            <w:tcW w:w="1970" w:type="dxa"/>
          </w:tcPr>
          <w:p w14:paraId="0B714AC7"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$1,785</w:t>
            </w:r>
          </w:p>
        </w:tc>
        <w:tc>
          <w:tcPr>
            <w:tcW w:w="1970" w:type="dxa"/>
            <w:vMerge/>
            <w:vAlign w:val="center"/>
          </w:tcPr>
          <w:p w14:paraId="144E64A0" w14:textId="77777777" w:rsidR="002060E2" w:rsidRPr="0041262C" w:rsidRDefault="002060E2" w:rsidP="002060E2">
            <w:pPr>
              <w:pStyle w:val="E3tabletext1"/>
              <w:rPr>
                <w:rFonts w:ascii="Helvetica" w:hAnsi="Helvetica" w:cs="Helvetica"/>
                <w:sz w:val="15"/>
                <w:szCs w:val="15"/>
              </w:rPr>
            </w:pPr>
          </w:p>
        </w:tc>
        <w:tc>
          <w:tcPr>
            <w:tcW w:w="1970" w:type="dxa"/>
            <w:vMerge/>
            <w:vAlign w:val="center"/>
          </w:tcPr>
          <w:p w14:paraId="1E7707AC" w14:textId="77777777" w:rsidR="002060E2" w:rsidRPr="0041262C" w:rsidRDefault="002060E2" w:rsidP="002060E2">
            <w:pPr>
              <w:pStyle w:val="E3tabletext1"/>
              <w:rPr>
                <w:rFonts w:ascii="Helvetica" w:hAnsi="Helvetica" w:cs="Helvetica"/>
                <w:sz w:val="15"/>
                <w:szCs w:val="15"/>
              </w:rPr>
            </w:pPr>
          </w:p>
        </w:tc>
      </w:tr>
      <w:tr w:rsidR="002060E2" w:rsidRPr="005A48AF" w14:paraId="4A278BCF" w14:textId="77777777" w:rsidTr="002060E2">
        <w:tc>
          <w:tcPr>
            <w:tcW w:w="1861" w:type="dxa"/>
            <w:vAlign w:val="center"/>
          </w:tcPr>
          <w:p w14:paraId="35A101EF"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IFV</w:t>
            </w:r>
          </w:p>
        </w:tc>
        <w:tc>
          <w:tcPr>
            <w:tcW w:w="1969" w:type="dxa"/>
          </w:tcPr>
          <w:p w14:paraId="7CD3F407"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$4,997</w:t>
            </w:r>
          </w:p>
        </w:tc>
        <w:tc>
          <w:tcPr>
            <w:tcW w:w="1970" w:type="dxa"/>
          </w:tcPr>
          <w:p w14:paraId="6A45B850"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$5,879</w:t>
            </w:r>
          </w:p>
        </w:tc>
        <w:tc>
          <w:tcPr>
            <w:tcW w:w="1970" w:type="dxa"/>
            <w:vMerge/>
            <w:vAlign w:val="center"/>
          </w:tcPr>
          <w:p w14:paraId="0FBCB400" w14:textId="77777777" w:rsidR="002060E2" w:rsidRPr="0041262C" w:rsidRDefault="002060E2" w:rsidP="002060E2">
            <w:pPr>
              <w:pStyle w:val="E3tabletext1"/>
              <w:rPr>
                <w:rFonts w:ascii="Helvetica" w:hAnsi="Helvetica" w:cs="Helvetica"/>
                <w:sz w:val="15"/>
                <w:szCs w:val="15"/>
              </w:rPr>
            </w:pPr>
          </w:p>
        </w:tc>
        <w:tc>
          <w:tcPr>
            <w:tcW w:w="1970" w:type="dxa"/>
            <w:vMerge/>
            <w:vAlign w:val="center"/>
          </w:tcPr>
          <w:p w14:paraId="55521CCB" w14:textId="77777777" w:rsidR="002060E2" w:rsidRPr="0041262C" w:rsidRDefault="002060E2" w:rsidP="002060E2">
            <w:pPr>
              <w:pStyle w:val="E3tabletext1"/>
              <w:rPr>
                <w:rFonts w:ascii="Helvetica" w:hAnsi="Helvetica" w:cs="Helvetica"/>
                <w:sz w:val="15"/>
                <w:szCs w:val="15"/>
              </w:rPr>
            </w:pPr>
          </w:p>
        </w:tc>
      </w:tr>
      <w:tr w:rsidR="002060E2" w:rsidRPr="005A48AF" w14:paraId="4743B5F4" w14:textId="77777777" w:rsidTr="002060E2">
        <w:tc>
          <w:tcPr>
            <w:tcW w:w="1861" w:type="dxa"/>
            <w:vAlign w:val="center"/>
          </w:tcPr>
          <w:p w14:paraId="6A2B6BE6"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RRH</w:t>
            </w:r>
          </w:p>
        </w:tc>
        <w:tc>
          <w:tcPr>
            <w:tcW w:w="1969" w:type="dxa"/>
          </w:tcPr>
          <w:p w14:paraId="1ED73F62"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$13,415</w:t>
            </w:r>
          </w:p>
        </w:tc>
        <w:tc>
          <w:tcPr>
            <w:tcW w:w="1970" w:type="dxa"/>
          </w:tcPr>
          <w:p w14:paraId="42A74A80"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$15,782</w:t>
            </w:r>
          </w:p>
        </w:tc>
        <w:tc>
          <w:tcPr>
            <w:tcW w:w="1970" w:type="dxa"/>
            <w:vMerge w:val="restart"/>
            <w:vAlign w:val="center"/>
          </w:tcPr>
          <w:p w14:paraId="26E1D74F"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$12,829</w:t>
            </w:r>
          </w:p>
        </w:tc>
        <w:tc>
          <w:tcPr>
            <w:tcW w:w="1970" w:type="dxa"/>
            <w:vMerge w:val="restart"/>
            <w:vAlign w:val="center"/>
          </w:tcPr>
          <w:p w14:paraId="410DBE20"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$15,093</w:t>
            </w:r>
          </w:p>
        </w:tc>
      </w:tr>
      <w:tr w:rsidR="002060E2" w:rsidRPr="005A48AF" w14:paraId="54EB8CA4" w14:textId="77777777" w:rsidTr="002060E2">
        <w:tc>
          <w:tcPr>
            <w:tcW w:w="1861" w:type="dxa"/>
            <w:vAlign w:val="center"/>
          </w:tcPr>
          <w:p w14:paraId="0BA833CD"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RRV</w:t>
            </w:r>
          </w:p>
        </w:tc>
        <w:tc>
          <w:tcPr>
            <w:tcW w:w="1969" w:type="dxa"/>
          </w:tcPr>
          <w:p w14:paraId="4ED7F100"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$16,510</w:t>
            </w:r>
          </w:p>
        </w:tc>
        <w:tc>
          <w:tcPr>
            <w:tcW w:w="1970" w:type="dxa"/>
          </w:tcPr>
          <w:p w14:paraId="4D456950"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$19,424</w:t>
            </w:r>
          </w:p>
        </w:tc>
        <w:tc>
          <w:tcPr>
            <w:tcW w:w="1970" w:type="dxa"/>
            <w:vMerge/>
            <w:vAlign w:val="center"/>
          </w:tcPr>
          <w:p w14:paraId="7AE5F382" w14:textId="77777777" w:rsidR="002060E2" w:rsidRPr="0041262C" w:rsidRDefault="002060E2" w:rsidP="002060E2">
            <w:pPr>
              <w:pStyle w:val="E3tabletext1"/>
              <w:rPr>
                <w:rFonts w:ascii="Helvetica" w:hAnsi="Helvetica" w:cs="Helvetica"/>
                <w:sz w:val="15"/>
                <w:szCs w:val="15"/>
              </w:rPr>
            </w:pPr>
          </w:p>
        </w:tc>
        <w:tc>
          <w:tcPr>
            <w:tcW w:w="1970" w:type="dxa"/>
            <w:vMerge/>
            <w:vAlign w:val="center"/>
          </w:tcPr>
          <w:p w14:paraId="62BBAD13" w14:textId="77777777" w:rsidR="002060E2" w:rsidRPr="0041262C" w:rsidRDefault="002060E2" w:rsidP="002060E2">
            <w:pPr>
              <w:pStyle w:val="E3tabletext1"/>
              <w:rPr>
                <w:rFonts w:ascii="Helvetica" w:hAnsi="Helvetica" w:cs="Helvetica"/>
                <w:sz w:val="15"/>
                <w:szCs w:val="15"/>
              </w:rPr>
            </w:pPr>
          </w:p>
        </w:tc>
      </w:tr>
      <w:tr w:rsidR="002060E2" w:rsidRPr="005A48AF" w14:paraId="22595FDC" w14:textId="77777777" w:rsidTr="002060E2">
        <w:tc>
          <w:tcPr>
            <w:tcW w:w="1861" w:type="dxa"/>
            <w:vAlign w:val="center"/>
          </w:tcPr>
          <w:p w14:paraId="6B7F4824"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RRV-2</w:t>
            </w:r>
          </w:p>
        </w:tc>
        <w:tc>
          <w:tcPr>
            <w:tcW w:w="1969" w:type="dxa"/>
          </w:tcPr>
          <w:p w14:paraId="0CFF81BF"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$10,939</w:t>
            </w:r>
          </w:p>
        </w:tc>
        <w:tc>
          <w:tcPr>
            <w:tcW w:w="1970" w:type="dxa"/>
          </w:tcPr>
          <w:p w14:paraId="412128D2"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$12,870</w:t>
            </w:r>
          </w:p>
        </w:tc>
        <w:tc>
          <w:tcPr>
            <w:tcW w:w="1970" w:type="dxa"/>
            <w:vMerge/>
            <w:vAlign w:val="center"/>
          </w:tcPr>
          <w:p w14:paraId="3027CF1D" w14:textId="77777777" w:rsidR="002060E2" w:rsidRPr="0041262C" w:rsidRDefault="002060E2" w:rsidP="002060E2">
            <w:pPr>
              <w:pStyle w:val="E3tabletext1"/>
              <w:rPr>
                <w:rFonts w:ascii="Helvetica" w:hAnsi="Helvetica" w:cs="Helvetica"/>
                <w:sz w:val="15"/>
                <w:szCs w:val="15"/>
              </w:rPr>
            </w:pPr>
          </w:p>
        </w:tc>
        <w:tc>
          <w:tcPr>
            <w:tcW w:w="1970" w:type="dxa"/>
            <w:vMerge/>
            <w:vAlign w:val="center"/>
          </w:tcPr>
          <w:p w14:paraId="024168AD" w14:textId="77777777" w:rsidR="002060E2" w:rsidRPr="0041262C" w:rsidRDefault="002060E2" w:rsidP="002060E2">
            <w:pPr>
              <w:pStyle w:val="E3tabletext1"/>
              <w:rPr>
                <w:rFonts w:ascii="Helvetica" w:hAnsi="Helvetica" w:cs="Helvetica"/>
                <w:sz w:val="15"/>
                <w:szCs w:val="15"/>
              </w:rPr>
            </w:pPr>
          </w:p>
        </w:tc>
      </w:tr>
      <w:tr w:rsidR="002060E2" w:rsidRPr="005A48AF" w14:paraId="212A1D2E" w14:textId="77777777" w:rsidTr="002060E2">
        <w:tc>
          <w:tcPr>
            <w:tcW w:w="1861" w:type="dxa"/>
            <w:vAlign w:val="center"/>
          </w:tcPr>
          <w:p w14:paraId="59BF3870"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RFH</w:t>
            </w:r>
          </w:p>
        </w:tc>
        <w:tc>
          <w:tcPr>
            <w:tcW w:w="1969" w:type="dxa"/>
          </w:tcPr>
          <w:p w14:paraId="17E51667"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$13,415</w:t>
            </w:r>
          </w:p>
        </w:tc>
        <w:tc>
          <w:tcPr>
            <w:tcW w:w="1970" w:type="dxa"/>
          </w:tcPr>
          <w:p w14:paraId="4A992E9B"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$15,782</w:t>
            </w:r>
          </w:p>
        </w:tc>
        <w:tc>
          <w:tcPr>
            <w:tcW w:w="1970" w:type="dxa"/>
            <w:vMerge/>
            <w:vAlign w:val="center"/>
          </w:tcPr>
          <w:p w14:paraId="719DCB32" w14:textId="77777777" w:rsidR="002060E2" w:rsidRPr="0041262C" w:rsidRDefault="002060E2" w:rsidP="002060E2">
            <w:pPr>
              <w:pStyle w:val="E3tabletext1"/>
              <w:rPr>
                <w:rFonts w:ascii="Helvetica" w:hAnsi="Helvetica" w:cs="Helvetica"/>
                <w:sz w:val="15"/>
                <w:szCs w:val="15"/>
              </w:rPr>
            </w:pPr>
          </w:p>
        </w:tc>
        <w:tc>
          <w:tcPr>
            <w:tcW w:w="1970" w:type="dxa"/>
            <w:vMerge/>
            <w:vAlign w:val="center"/>
          </w:tcPr>
          <w:p w14:paraId="4D8923AA" w14:textId="77777777" w:rsidR="002060E2" w:rsidRPr="0041262C" w:rsidRDefault="002060E2" w:rsidP="002060E2">
            <w:pPr>
              <w:pStyle w:val="E3tabletext1"/>
              <w:rPr>
                <w:rFonts w:ascii="Helvetica" w:hAnsi="Helvetica" w:cs="Helvetica"/>
                <w:sz w:val="15"/>
                <w:szCs w:val="15"/>
              </w:rPr>
            </w:pPr>
          </w:p>
        </w:tc>
      </w:tr>
      <w:tr w:rsidR="002060E2" w:rsidRPr="005A48AF" w14:paraId="3B24675D" w14:textId="77777777" w:rsidTr="002060E2">
        <w:tc>
          <w:tcPr>
            <w:tcW w:w="1861" w:type="dxa"/>
            <w:vAlign w:val="center"/>
          </w:tcPr>
          <w:p w14:paraId="67AE412E"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RFV</w:t>
            </w:r>
          </w:p>
        </w:tc>
        <w:tc>
          <w:tcPr>
            <w:tcW w:w="1969" w:type="dxa"/>
          </w:tcPr>
          <w:p w14:paraId="230768E4"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$16,510</w:t>
            </w:r>
          </w:p>
        </w:tc>
        <w:tc>
          <w:tcPr>
            <w:tcW w:w="1970" w:type="dxa"/>
          </w:tcPr>
          <w:p w14:paraId="6E4FAADF"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$19,424</w:t>
            </w:r>
          </w:p>
        </w:tc>
        <w:tc>
          <w:tcPr>
            <w:tcW w:w="1970" w:type="dxa"/>
            <w:vMerge/>
            <w:vAlign w:val="center"/>
          </w:tcPr>
          <w:p w14:paraId="015B2820" w14:textId="77777777" w:rsidR="002060E2" w:rsidRPr="0041262C" w:rsidRDefault="002060E2" w:rsidP="002060E2">
            <w:pPr>
              <w:pStyle w:val="E3tabletext1"/>
              <w:rPr>
                <w:rFonts w:ascii="Helvetica" w:hAnsi="Helvetica" w:cs="Helvetica"/>
                <w:sz w:val="15"/>
                <w:szCs w:val="15"/>
              </w:rPr>
            </w:pPr>
          </w:p>
        </w:tc>
        <w:tc>
          <w:tcPr>
            <w:tcW w:w="1970" w:type="dxa"/>
            <w:vMerge/>
            <w:vAlign w:val="center"/>
          </w:tcPr>
          <w:p w14:paraId="211EF186" w14:textId="77777777" w:rsidR="002060E2" w:rsidRPr="0041262C" w:rsidRDefault="002060E2" w:rsidP="002060E2">
            <w:pPr>
              <w:pStyle w:val="E3tabletext1"/>
              <w:rPr>
                <w:rFonts w:ascii="Helvetica" w:hAnsi="Helvetica" w:cs="Helvetica"/>
                <w:sz w:val="15"/>
                <w:szCs w:val="15"/>
              </w:rPr>
            </w:pPr>
          </w:p>
        </w:tc>
      </w:tr>
      <w:tr w:rsidR="002060E2" w:rsidRPr="005A48AF" w14:paraId="56ABC882" w14:textId="77777777" w:rsidTr="002060E2">
        <w:tc>
          <w:tcPr>
            <w:tcW w:w="1861" w:type="dxa"/>
            <w:vAlign w:val="center"/>
          </w:tcPr>
          <w:p w14:paraId="7E9E3D46"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SRH</w:t>
            </w:r>
          </w:p>
        </w:tc>
        <w:tc>
          <w:tcPr>
            <w:tcW w:w="1969" w:type="dxa"/>
          </w:tcPr>
          <w:p w14:paraId="17A1B0E6"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$3,405</w:t>
            </w:r>
          </w:p>
        </w:tc>
        <w:tc>
          <w:tcPr>
            <w:tcW w:w="1970" w:type="dxa"/>
          </w:tcPr>
          <w:p w14:paraId="310C34CF"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$4,006</w:t>
            </w:r>
          </w:p>
        </w:tc>
        <w:tc>
          <w:tcPr>
            <w:tcW w:w="1970" w:type="dxa"/>
            <w:vMerge w:val="restart"/>
            <w:vAlign w:val="center"/>
          </w:tcPr>
          <w:p w14:paraId="3C52A717"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$4,768</w:t>
            </w:r>
          </w:p>
        </w:tc>
        <w:tc>
          <w:tcPr>
            <w:tcW w:w="1970" w:type="dxa"/>
            <w:vMerge w:val="restart"/>
            <w:vAlign w:val="center"/>
          </w:tcPr>
          <w:p w14:paraId="49E0F88B"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$5,609</w:t>
            </w:r>
          </w:p>
        </w:tc>
      </w:tr>
      <w:tr w:rsidR="002060E2" w:rsidRPr="005A48AF" w14:paraId="37C70B20" w14:textId="77777777" w:rsidTr="002060E2">
        <w:tc>
          <w:tcPr>
            <w:tcW w:w="1861" w:type="dxa"/>
            <w:vAlign w:val="center"/>
          </w:tcPr>
          <w:p w14:paraId="1737FF2B"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SRV</w:t>
            </w:r>
          </w:p>
        </w:tc>
        <w:tc>
          <w:tcPr>
            <w:tcW w:w="1969" w:type="dxa"/>
          </w:tcPr>
          <w:p w14:paraId="5A44C33A"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$4,344</w:t>
            </w:r>
          </w:p>
        </w:tc>
        <w:tc>
          <w:tcPr>
            <w:tcW w:w="1970" w:type="dxa"/>
          </w:tcPr>
          <w:p w14:paraId="1B02612A"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$5,111</w:t>
            </w:r>
          </w:p>
        </w:tc>
        <w:tc>
          <w:tcPr>
            <w:tcW w:w="1970" w:type="dxa"/>
            <w:vMerge/>
            <w:vAlign w:val="center"/>
          </w:tcPr>
          <w:p w14:paraId="45563A9C" w14:textId="77777777" w:rsidR="002060E2" w:rsidRPr="005A48AF" w:rsidRDefault="002060E2" w:rsidP="002060E2">
            <w:pPr>
              <w:pStyle w:val="E3tabletext1"/>
            </w:pPr>
          </w:p>
        </w:tc>
        <w:tc>
          <w:tcPr>
            <w:tcW w:w="1970" w:type="dxa"/>
            <w:vMerge/>
            <w:vAlign w:val="center"/>
          </w:tcPr>
          <w:p w14:paraId="18134EE9" w14:textId="77777777" w:rsidR="002060E2" w:rsidRPr="005A48AF" w:rsidRDefault="002060E2" w:rsidP="002060E2">
            <w:pPr>
              <w:pStyle w:val="E3tabletext1"/>
            </w:pPr>
          </w:p>
        </w:tc>
      </w:tr>
      <w:tr w:rsidR="002060E2" w:rsidRPr="005A48AF" w14:paraId="54E0C874" w14:textId="77777777" w:rsidTr="002060E2">
        <w:tc>
          <w:tcPr>
            <w:tcW w:w="1861" w:type="dxa"/>
            <w:vAlign w:val="center"/>
          </w:tcPr>
          <w:p w14:paraId="6A02933A"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SFH</w:t>
            </w:r>
          </w:p>
        </w:tc>
        <w:tc>
          <w:tcPr>
            <w:tcW w:w="1969" w:type="dxa"/>
          </w:tcPr>
          <w:p w14:paraId="7FD718A5"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$4,386</w:t>
            </w:r>
          </w:p>
        </w:tc>
        <w:tc>
          <w:tcPr>
            <w:tcW w:w="1970" w:type="dxa"/>
          </w:tcPr>
          <w:p w14:paraId="79D96674"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$5,159</w:t>
            </w:r>
          </w:p>
        </w:tc>
        <w:tc>
          <w:tcPr>
            <w:tcW w:w="1970" w:type="dxa"/>
            <w:vMerge/>
            <w:vAlign w:val="center"/>
          </w:tcPr>
          <w:p w14:paraId="243C5B5D" w14:textId="77777777" w:rsidR="002060E2" w:rsidRPr="005A48AF" w:rsidRDefault="002060E2" w:rsidP="002060E2">
            <w:pPr>
              <w:pStyle w:val="E3tabletext1"/>
            </w:pPr>
          </w:p>
        </w:tc>
        <w:tc>
          <w:tcPr>
            <w:tcW w:w="1970" w:type="dxa"/>
            <w:vMerge/>
            <w:vAlign w:val="center"/>
          </w:tcPr>
          <w:p w14:paraId="3A89D5ED" w14:textId="77777777" w:rsidR="002060E2" w:rsidRPr="005A48AF" w:rsidRDefault="002060E2" w:rsidP="002060E2">
            <w:pPr>
              <w:pStyle w:val="E3tabletext1"/>
            </w:pPr>
          </w:p>
        </w:tc>
      </w:tr>
      <w:tr w:rsidR="002060E2" w:rsidRPr="005A48AF" w14:paraId="12E40161" w14:textId="77777777" w:rsidTr="002060E2">
        <w:tc>
          <w:tcPr>
            <w:tcW w:w="1861" w:type="dxa"/>
            <w:vAlign w:val="center"/>
          </w:tcPr>
          <w:p w14:paraId="4E76DE6F"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SFV</w:t>
            </w:r>
          </w:p>
        </w:tc>
        <w:tc>
          <w:tcPr>
            <w:tcW w:w="1969" w:type="dxa"/>
          </w:tcPr>
          <w:p w14:paraId="41402F6D"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$6,470</w:t>
            </w:r>
          </w:p>
        </w:tc>
        <w:tc>
          <w:tcPr>
            <w:tcW w:w="1970" w:type="dxa"/>
          </w:tcPr>
          <w:p w14:paraId="5668400A"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$7,612</w:t>
            </w:r>
          </w:p>
        </w:tc>
        <w:tc>
          <w:tcPr>
            <w:tcW w:w="1970" w:type="dxa"/>
            <w:vMerge/>
            <w:vAlign w:val="center"/>
          </w:tcPr>
          <w:p w14:paraId="786D987F" w14:textId="77777777" w:rsidR="002060E2" w:rsidRPr="005A48AF" w:rsidRDefault="002060E2" w:rsidP="002060E2">
            <w:pPr>
              <w:pStyle w:val="E3tabletext1"/>
            </w:pPr>
          </w:p>
        </w:tc>
        <w:tc>
          <w:tcPr>
            <w:tcW w:w="1970" w:type="dxa"/>
            <w:vMerge/>
            <w:vAlign w:val="center"/>
          </w:tcPr>
          <w:p w14:paraId="1F802A50" w14:textId="77777777" w:rsidR="002060E2" w:rsidRPr="005A48AF" w:rsidRDefault="002060E2" w:rsidP="002060E2">
            <w:pPr>
              <w:pStyle w:val="E3tabletext1"/>
            </w:pPr>
          </w:p>
        </w:tc>
      </w:tr>
    </w:tbl>
    <w:p w14:paraId="50159033" w14:textId="77777777" w:rsidR="002060E2" w:rsidRPr="0041262C" w:rsidRDefault="002060E2" w:rsidP="004C7417">
      <w:pPr>
        <w:pStyle w:val="E3Heading2"/>
        <w:spacing w:before="360"/>
        <w:jc w:val="both"/>
        <w:rPr>
          <w:rFonts w:ascii="Georgia" w:hAnsi="Georgia"/>
          <w:sz w:val="24"/>
        </w:rPr>
      </w:pPr>
      <w:bookmarkStart w:id="382" w:name="_Toc447533632"/>
      <w:bookmarkStart w:id="383" w:name="_Toc449708806"/>
      <w:bookmarkStart w:id="384" w:name="_Toc494897992"/>
      <w:bookmarkStart w:id="385" w:name="_Toc494955784"/>
      <w:bookmarkStart w:id="386" w:name="_Toc494959592"/>
      <w:bookmarkStart w:id="387" w:name="_Toc494972718"/>
      <w:bookmarkStart w:id="388" w:name="_Toc494973905"/>
      <w:bookmarkStart w:id="389" w:name="_Toc494974594"/>
      <w:bookmarkStart w:id="390" w:name="_Toc500151838"/>
      <w:r w:rsidRPr="0041262C">
        <w:rPr>
          <w:rFonts w:ascii="Georgia" w:hAnsi="Georgia"/>
          <w:sz w:val="24"/>
        </w:rPr>
        <w:t>Energy efficiency opportunities and complementary activities</w:t>
      </w:r>
      <w:bookmarkEnd w:id="382"/>
      <w:bookmarkEnd w:id="383"/>
      <w:bookmarkEnd w:id="384"/>
      <w:bookmarkEnd w:id="385"/>
      <w:bookmarkEnd w:id="386"/>
      <w:bookmarkEnd w:id="387"/>
      <w:bookmarkEnd w:id="388"/>
      <w:bookmarkEnd w:id="389"/>
      <w:bookmarkEnd w:id="390"/>
    </w:p>
    <w:p w14:paraId="6649C393" w14:textId="77777777" w:rsidR="002060E2" w:rsidRPr="00AC7259" w:rsidRDefault="002060E2" w:rsidP="004C7417">
      <w:pPr>
        <w:pStyle w:val="E3BodyText"/>
        <w:jc w:val="both"/>
      </w:pPr>
      <w:r w:rsidRPr="00AC7259">
        <w:t xml:space="preserve">Current cabinet designs use a variety of technologies depending upon supplier preferences and the price points for the markets they are serving. For example, a top of the line model may already incorporate most of the latest technology, such as EC motors, LED lighting and high efficiency compressors while another model targeted at the low end of the market will be more basic. It should be noted that the price differences for some manufacturers’ model ranges do not necessarily reflect the technology used but rather the market tier that they are sold into. As a result, identifying the characteristics of a ‘standard’ cabinet, the potential for improvement and associated costs is complex; however, the conclusions of studies in Europe (EU 2007, EU 2011, EU 2014), which have had substantial involvement from industry, provide a sound indication of potential EE improvements and associated costs. </w:t>
      </w:r>
    </w:p>
    <w:p w14:paraId="464A0D74" w14:textId="77777777" w:rsidR="004C7417" w:rsidRDefault="004C7417" w:rsidP="004C7417">
      <w:pPr>
        <w:pStyle w:val="E3BodyText"/>
        <w:jc w:val="both"/>
      </w:pPr>
    </w:p>
    <w:p w14:paraId="21D856D4" w14:textId="77777777" w:rsidR="004C7417" w:rsidRDefault="004C7417" w:rsidP="004C7417">
      <w:pPr>
        <w:pStyle w:val="E3BodyText"/>
        <w:jc w:val="both"/>
      </w:pPr>
    </w:p>
    <w:p w14:paraId="3C82F8FB" w14:textId="77777777" w:rsidR="004C7417" w:rsidRDefault="004C7417" w:rsidP="004C7417">
      <w:pPr>
        <w:pStyle w:val="E3BodyText"/>
        <w:jc w:val="both"/>
      </w:pPr>
    </w:p>
    <w:p w14:paraId="77E98D08" w14:textId="77777777" w:rsidR="00E50722" w:rsidRDefault="00E50722" w:rsidP="004C7417">
      <w:pPr>
        <w:pStyle w:val="E3BodyText"/>
        <w:jc w:val="both"/>
      </w:pPr>
    </w:p>
    <w:p w14:paraId="36E0D072" w14:textId="228DDD83" w:rsidR="002060E2" w:rsidRPr="009D0851" w:rsidRDefault="002060E2" w:rsidP="003616D8">
      <w:pPr>
        <w:pStyle w:val="E3BodyText"/>
        <w:spacing w:after="160"/>
        <w:jc w:val="both"/>
      </w:pPr>
      <w:r w:rsidRPr="009D0851">
        <w:t>The key EE opportunities assessed in this report were:</w:t>
      </w:r>
    </w:p>
    <w:p w14:paraId="69A96A6C" w14:textId="77777777" w:rsidR="002060E2" w:rsidRPr="009D0851" w:rsidRDefault="002060E2" w:rsidP="003616D8">
      <w:pPr>
        <w:pStyle w:val="E3BodyText"/>
        <w:numPr>
          <w:ilvl w:val="0"/>
          <w:numId w:val="48"/>
        </w:numPr>
        <w:autoSpaceDE/>
        <w:autoSpaceDN/>
        <w:adjustRightInd/>
        <w:spacing w:after="160" w:line="278" w:lineRule="auto"/>
        <w:jc w:val="both"/>
      </w:pPr>
      <w:r w:rsidRPr="009D0851">
        <w:t>Upgrade T8 fluorescent lamps with electromagnetic ballasts to LED lamps.</w:t>
      </w:r>
    </w:p>
    <w:p w14:paraId="2364963D" w14:textId="77777777" w:rsidR="002060E2" w:rsidRPr="009D0851" w:rsidRDefault="002060E2" w:rsidP="003616D8">
      <w:pPr>
        <w:pStyle w:val="E3BodyText"/>
        <w:numPr>
          <w:ilvl w:val="0"/>
          <w:numId w:val="48"/>
        </w:numPr>
        <w:autoSpaceDE/>
        <w:autoSpaceDN/>
        <w:adjustRightInd/>
        <w:spacing w:after="160" w:line="278" w:lineRule="auto"/>
        <w:jc w:val="both"/>
      </w:pPr>
      <w:r w:rsidRPr="009D0851">
        <w:t>Controlled LED lighting (i.e. 12 hour LED lamps instead of 24 hour T8 fluorescent lamps).</w:t>
      </w:r>
    </w:p>
    <w:p w14:paraId="64E4764D" w14:textId="77777777" w:rsidR="002060E2" w:rsidRPr="009D0851" w:rsidRDefault="002060E2" w:rsidP="003616D8">
      <w:pPr>
        <w:pStyle w:val="E3BodyText"/>
        <w:numPr>
          <w:ilvl w:val="0"/>
          <w:numId w:val="48"/>
        </w:numPr>
        <w:autoSpaceDE/>
        <w:autoSpaceDN/>
        <w:adjustRightInd/>
        <w:spacing w:after="160" w:line="278" w:lineRule="auto"/>
        <w:jc w:val="both"/>
      </w:pPr>
      <w:r w:rsidRPr="009D0851">
        <w:t>Improve fan-motor(s) efficiency and reduce heat load by switching from shaded pole to EC motors.</w:t>
      </w:r>
    </w:p>
    <w:p w14:paraId="2B9B6781" w14:textId="77777777" w:rsidR="002060E2" w:rsidRPr="009D0851" w:rsidRDefault="002060E2" w:rsidP="003616D8">
      <w:pPr>
        <w:pStyle w:val="E3BodyText"/>
        <w:numPr>
          <w:ilvl w:val="0"/>
          <w:numId w:val="48"/>
        </w:numPr>
        <w:autoSpaceDE/>
        <w:autoSpaceDN/>
        <w:adjustRightInd/>
        <w:spacing w:after="160" w:line="278" w:lineRule="auto"/>
        <w:jc w:val="both"/>
      </w:pPr>
      <w:r w:rsidRPr="009D0851">
        <w:t>Electronic thermostat with Energy Management capability replacing mechanical thermostat.</w:t>
      </w:r>
    </w:p>
    <w:p w14:paraId="03DE7930" w14:textId="77777777" w:rsidR="002060E2" w:rsidRPr="009D0851" w:rsidRDefault="002060E2" w:rsidP="003616D8">
      <w:pPr>
        <w:pStyle w:val="E3BodyText"/>
        <w:numPr>
          <w:ilvl w:val="0"/>
          <w:numId w:val="48"/>
        </w:numPr>
        <w:autoSpaceDE/>
        <w:autoSpaceDN/>
        <w:adjustRightInd/>
        <w:spacing w:after="160" w:line="278" w:lineRule="auto"/>
        <w:jc w:val="both"/>
      </w:pPr>
      <w:r w:rsidRPr="009D0851">
        <w:t>Night blinds on open display cabinets.</w:t>
      </w:r>
    </w:p>
    <w:p w14:paraId="08DBD832" w14:textId="77777777" w:rsidR="002060E2" w:rsidRPr="009D0851" w:rsidRDefault="002060E2" w:rsidP="003616D8">
      <w:pPr>
        <w:pStyle w:val="E3BodyText"/>
        <w:numPr>
          <w:ilvl w:val="0"/>
          <w:numId w:val="48"/>
        </w:numPr>
        <w:autoSpaceDE/>
        <w:autoSpaceDN/>
        <w:adjustRightInd/>
        <w:spacing w:after="160" w:line="278" w:lineRule="auto"/>
        <w:jc w:val="both"/>
      </w:pPr>
      <w:r w:rsidRPr="009D0851">
        <w:t>High efficiency doors on cabinets fitted with transparent doors.</w:t>
      </w:r>
    </w:p>
    <w:p w14:paraId="75019AA7" w14:textId="77777777" w:rsidR="002060E2" w:rsidRPr="009D0851" w:rsidRDefault="002060E2" w:rsidP="003616D8">
      <w:pPr>
        <w:pStyle w:val="E3BodyText"/>
        <w:numPr>
          <w:ilvl w:val="0"/>
          <w:numId w:val="48"/>
        </w:numPr>
        <w:autoSpaceDE/>
        <w:autoSpaceDN/>
        <w:adjustRightInd/>
        <w:spacing w:after="240" w:line="278" w:lineRule="auto"/>
        <w:ind w:left="714" w:hanging="357"/>
        <w:jc w:val="both"/>
      </w:pPr>
      <w:r w:rsidRPr="009D0851">
        <w:t>Fitting doors or lids on open display cabinets.</w:t>
      </w:r>
    </w:p>
    <w:p w14:paraId="058F6E78" w14:textId="77777777" w:rsidR="003616D8" w:rsidRDefault="002060E2" w:rsidP="003616D8">
      <w:pPr>
        <w:pStyle w:val="E3BodyText"/>
        <w:spacing w:after="360"/>
        <w:jc w:val="both"/>
      </w:pPr>
      <w:r w:rsidRPr="00AC7259">
        <w:t xml:space="preserve">A thorough review was undertaken of the EU information, plus local costing of key initiatives grouped into typical or complementary packages by cabinet application. </w:t>
      </w:r>
    </w:p>
    <w:p w14:paraId="1035478E" w14:textId="77777777" w:rsidR="00D51B4B" w:rsidRDefault="002060E2" w:rsidP="004C7417">
      <w:pPr>
        <w:pStyle w:val="E3BodyText"/>
        <w:jc w:val="both"/>
      </w:pPr>
      <w:r w:rsidRPr="003616D8">
        <w:rPr>
          <w:b/>
        </w:rPr>
        <w:fldChar w:fldCharType="begin"/>
      </w:r>
      <w:r w:rsidRPr="003616D8">
        <w:rPr>
          <w:b/>
        </w:rPr>
        <w:instrText xml:space="preserve"> REF _Ref450032670 \h  \* MERGEFORMAT </w:instrText>
      </w:r>
      <w:r w:rsidRPr="003616D8">
        <w:rPr>
          <w:b/>
        </w:rPr>
      </w:r>
      <w:r w:rsidRPr="003616D8">
        <w:rPr>
          <w:b/>
        </w:rPr>
        <w:fldChar w:fldCharType="separate"/>
      </w:r>
      <w:r w:rsidR="00D51B4B" w:rsidRPr="00D51B4B">
        <w:rPr>
          <w:b/>
        </w:rPr>
        <w:t xml:space="preserve">s and </w:t>
      </w:r>
      <w:r w:rsidR="00D51B4B" w:rsidRPr="00D51B4B">
        <w:rPr>
          <w:b/>
          <w:noProof/>
        </w:rPr>
        <w:t>an</w:t>
      </w:r>
      <w:r w:rsidR="00D51B4B">
        <w:t xml:space="preserve"> electronic thermostat.</w:t>
      </w:r>
    </w:p>
    <w:p w14:paraId="6706CC94" w14:textId="77777777" w:rsidR="00D51B4B" w:rsidRDefault="00D51B4B" w:rsidP="004C7417">
      <w:pPr>
        <w:pStyle w:val="E3BodyText"/>
        <w:jc w:val="both"/>
      </w:pPr>
    </w:p>
    <w:p w14:paraId="3D0317E1" w14:textId="6A8D94F5" w:rsidR="000E3C98" w:rsidRDefault="00D51B4B" w:rsidP="004C7417">
      <w:pPr>
        <w:pStyle w:val="E3BodyText"/>
        <w:jc w:val="both"/>
      </w:pPr>
      <w:r>
        <w:t xml:space="preserve">Table D </w:t>
      </w:r>
      <w:r>
        <w:rPr>
          <w:noProof/>
        </w:rPr>
        <w:t>4</w:t>
      </w:r>
      <w:r w:rsidR="002060E2" w:rsidRPr="003616D8">
        <w:rPr>
          <w:b/>
        </w:rPr>
        <w:fldChar w:fldCharType="end"/>
      </w:r>
      <w:r w:rsidR="002060E2" w:rsidRPr="00AC7259">
        <w:rPr>
          <w:b/>
        </w:rPr>
        <w:t xml:space="preserve"> </w:t>
      </w:r>
      <w:r w:rsidR="002060E2" w:rsidRPr="00AC7259">
        <w:t xml:space="preserve">shows the initiatives grouped into </w:t>
      </w:r>
      <w:r w:rsidR="002060E2">
        <w:t xml:space="preserve">the </w:t>
      </w:r>
      <w:r w:rsidR="002060E2" w:rsidRPr="00AC7259">
        <w:t xml:space="preserve">complementary energy efficiency activities </w:t>
      </w:r>
      <w:r w:rsidR="002060E2">
        <w:t>EE</w:t>
      </w:r>
      <w:r w:rsidR="002060E2" w:rsidRPr="00AC7259">
        <w:t xml:space="preserve">I to </w:t>
      </w:r>
      <w:r w:rsidR="002060E2">
        <w:t>EE</w:t>
      </w:r>
      <w:r w:rsidR="002060E2" w:rsidRPr="00AC7259">
        <w:t xml:space="preserve">V, and circumstances where they can be applied. There are some instances where interventions are not applicable – for example </w:t>
      </w:r>
      <w:r w:rsidR="002060E2">
        <w:t xml:space="preserve">it does not may sense to </w:t>
      </w:r>
      <w:r w:rsidR="002060E2" w:rsidRPr="00AC7259">
        <w:t>apply translucent or HE doors or controlled LED lighting to cabinets with solid doors</w:t>
      </w:r>
      <w:r w:rsidR="002060E2">
        <w:t xml:space="preserve">. </w:t>
      </w:r>
      <w:r w:rsidR="002060E2" w:rsidRPr="00AC7259">
        <w:t>Whereas cabinets with closed solid doors could achieve efficiency gains by using EC fan motor</w:t>
      </w:r>
      <w:bookmarkStart w:id="391" w:name="_Ref450032670"/>
      <w:bookmarkStart w:id="392" w:name="_Toc449708980"/>
      <w:bookmarkStart w:id="393" w:name="_Toc449968536"/>
      <w:bookmarkStart w:id="394" w:name="_Toc456164778"/>
      <w:r w:rsidR="004C7417">
        <w:t>s and an electronic thermostat.</w:t>
      </w:r>
    </w:p>
    <w:p w14:paraId="4FA4910C" w14:textId="77777777" w:rsidR="003616D8" w:rsidRDefault="003616D8" w:rsidP="004C7417">
      <w:pPr>
        <w:pStyle w:val="E3BodyText"/>
        <w:jc w:val="both"/>
      </w:pPr>
    </w:p>
    <w:p w14:paraId="3AB7EBFB" w14:textId="4D0055D7" w:rsidR="002060E2" w:rsidRDefault="002060E2" w:rsidP="002060E2">
      <w:pPr>
        <w:pStyle w:val="E3TableTitles"/>
        <w:spacing w:before="240" w:after="240"/>
      </w:pPr>
      <w:bookmarkStart w:id="395" w:name="_Toc500159676"/>
      <w:r>
        <w:t xml:space="preserve">Table D </w:t>
      </w:r>
      <w:r>
        <w:fldChar w:fldCharType="begin"/>
      </w:r>
      <w:r>
        <w:instrText xml:space="preserve"> SEQ Table_D \* ARABIC </w:instrText>
      </w:r>
      <w:r>
        <w:fldChar w:fldCharType="separate"/>
      </w:r>
      <w:r w:rsidR="00D51B4B">
        <w:rPr>
          <w:noProof/>
        </w:rPr>
        <w:t>4</w:t>
      </w:r>
      <w:r>
        <w:rPr>
          <w:noProof/>
        </w:rPr>
        <w:fldChar w:fldCharType="end"/>
      </w:r>
      <w:bookmarkEnd w:id="391"/>
      <w:r w:rsidRPr="002705A4">
        <w:t>: Combination of energy efficiency improvement measures by cabinet application.</w:t>
      </w:r>
      <w:bookmarkEnd w:id="392"/>
      <w:bookmarkEnd w:id="393"/>
      <w:bookmarkEnd w:id="394"/>
      <w:bookmarkEnd w:id="395"/>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4"/>
        <w:gridCol w:w="1553"/>
        <w:gridCol w:w="1553"/>
        <w:gridCol w:w="1553"/>
        <w:gridCol w:w="1553"/>
        <w:gridCol w:w="1553"/>
      </w:tblGrid>
      <w:tr w:rsidR="002060E2" w:rsidRPr="0008605B" w14:paraId="2E1F41F4" w14:textId="77777777" w:rsidTr="002060E2">
        <w:trPr>
          <w:trHeight w:val="454"/>
        </w:trPr>
        <w:tc>
          <w:tcPr>
            <w:tcW w:w="9639" w:type="dxa"/>
            <w:gridSpan w:val="6"/>
            <w:shd w:val="clear" w:color="auto" w:fill="auto"/>
            <w:vAlign w:val="center"/>
          </w:tcPr>
          <w:p w14:paraId="3CE4BC79" w14:textId="77777777" w:rsidR="002060E2" w:rsidRPr="0008605B" w:rsidRDefault="002060E2" w:rsidP="002060E2">
            <w:pPr>
              <w:pStyle w:val="E3TableHeading"/>
            </w:pPr>
            <w:r w:rsidRPr="0008605B">
              <w:t>Combination of energy efficiency measures assessed</w:t>
            </w:r>
          </w:p>
        </w:tc>
      </w:tr>
      <w:tr w:rsidR="002060E2" w:rsidRPr="007A6253" w14:paraId="70DD027D" w14:textId="77777777" w:rsidTr="002060E2">
        <w:trPr>
          <w:trHeight w:val="454"/>
        </w:trPr>
        <w:tc>
          <w:tcPr>
            <w:tcW w:w="1874" w:type="dxa"/>
            <w:shd w:val="clear" w:color="auto" w:fill="000000"/>
            <w:vAlign w:val="center"/>
          </w:tcPr>
          <w:p w14:paraId="0031F8DF" w14:textId="55D45A80" w:rsidR="002060E2" w:rsidRPr="0040008A" w:rsidRDefault="002060E2" w:rsidP="00E50722">
            <w:pPr>
              <w:pStyle w:val="E3TableHeading"/>
              <w:jc w:val="center"/>
            </w:pPr>
            <w:r w:rsidRPr="0040008A">
              <w:t xml:space="preserve">EE </w:t>
            </w:r>
            <w:r>
              <w:t>Interventions</w:t>
            </w:r>
          </w:p>
        </w:tc>
        <w:tc>
          <w:tcPr>
            <w:tcW w:w="1553" w:type="dxa"/>
            <w:shd w:val="clear" w:color="auto" w:fill="000000"/>
            <w:vAlign w:val="center"/>
          </w:tcPr>
          <w:p w14:paraId="18254494" w14:textId="77777777" w:rsidR="002060E2" w:rsidRPr="007A6253" w:rsidRDefault="002060E2" w:rsidP="00E50722">
            <w:pPr>
              <w:pStyle w:val="E3TableHeading"/>
              <w:jc w:val="center"/>
              <w:rPr>
                <w:szCs w:val="22"/>
              </w:rPr>
            </w:pPr>
            <w:r>
              <w:rPr>
                <w:szCs w:val="22"/>
              </w:rPr>
              <w:t>I</w:t>
            </w:r>
          </w:p>
        </w:tc>
        <w:tc>
          <w:tcPr>
            <w:tcW w:w="1553" w:type="dxa"/>
            <w:shd w:val="clear" w:color="auto" w:fill="000000"/>
            <w:vAlign w:val="center"/>
          </w:tcPr>
          <w:p w14:paraId="68C492C5" w14:textId="77777777" w:rsidR="002060E2" w:rsidRPr="007A6253" w:rsidRDefault="002060E2" w:rsidP="00E50722">
            <w:pPr>
              <w:pStyle w:val="E3TableHeading"/>
              <w:jc w:val="center"/>
              <w:rPr>
                <w:szCs w:val="22"/>
              </w:rPr>
            </w:pPr>
            <w:r>
              <w:rPr>
                <w:szCs w:val="22"/>
              </w:rPr>
              <w:t>II</w:t>
            </w:r>
          </w:p>
        </w:tc>
        <w:tc>
          <w:tcPr>
            <w:tcW w:w="1553" w:type="dxa"/>
            <w:shd w:val="clear" w:color="auto" w:fill="000000"/>
            <w:vAlign w:val="center"/>
          </w:tcPr>
          <w:p w14:paraId="583F6FD4" w14:textId="77777777" w:rsidR="002060E2" w:rsidRPr="007A6253" w:rsidRDefault="002060E2" w:rsidP="00E50722">
            <w:pPr>
              <w:pStyle w:val="E3TableHeading"/>
              <w:jc w:val="center"/>
              <w:rPr>
                <w:szCs w:val="22"/>
              </w:rPr>
            </w:pPr>
            <w:r>
              <w:rPr>
                <w:szCs w:val="22"/>
              </w:rPr>
              <w:t>III</w:t>
            </w:r>
          </w:p>
        </w:tc>
        <w:tc>
          <w:tcPr>
            <w:tcW w:w="1553" w:type="dxa"/>
            <w:shd w:val="clear" w:color="auto" w:fill="000000"/>
            <w:vAlign w:val="center"/>
          </w:tcPr>
          <w:p w14:paraId="14B20963" w14:textId="77777777" w:rsidR="002060E2" w:rsidRPr="007A6253" w:rsidRDefault="002060E2" w:rsidP="00E50722">
            <w:pPr>
              <w:pStyle w:val="E3TableHeading"/>
              <w:jc w:val="center"/>
              <w:rPr>
                <w:szCs w:val="22"/>
              </w:rPr>
            </w:pPr>
            <w:r>
              <w:rPr>
                <w:szCs w:val="22"/>
              </w:rPr>
              <w:t>IV</w:t>
            </w:r>
          </w:p>
        </w:tc>
        <w:tc>
          <w:tcPr>
            <w:tcW w:w="1553" w:type="dxa"/>
            <w:shd w:val="clear" w:color="auto" w:fill="000000"/>
            <w:vAlign w:val="center"/>
          </w:tcPr>
          <w:p w14:paraId="0D1EC7A0" w14:textId="77777777" w:rsidR="002060E2" w:rsidRPr="007A6253" w:rsidRDefault="002060E2" w:rsidP="00E50722">
            <w:pPr>
              <w:pStyle w:val="E3TableHeading"/>
              <w:jc w:val="center"/>
              <w:rPr>
                <w:szCs w:val="22"/>
              </w:rPr>
            </w:pPr>
            <w:r>
              <w:rPr>
                <w:szCs w:val="22"/>
              </w:rPr>
              <w:t>V</w:t>
            </w:r>
          </w:p>
        </w:tc>
      </w:tr>
      <w:tr w:rsidR="002060E2" w:rsidRPr="00701317" w14:paraId="7D88D1FE" w14:textId="77777777" w:rsidTr="002060E2">
        <w:trPr>
          <w:trHeight w:val="454"/>
        </w:trPr>
        <w:tc>
          <w:tcPr>
            <w:tcW w:w="1874" w:type="dxa"/>
          </w:tcPr>
          <w:p w14:paraId="69B56C8B"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Controlled LED lighting</w:t>
            </w:r>
          </w:p>
        </w:tc>
        <w:tc>
          <w:tcPr>
            <w:tcW w:w="1553" w:type="dxa"/>
            <w:shd w:val="clear" w:color="auto" w:fill="E6E6E6"/>
            <w:vAlign w:val="center"/>
          </w:tcPr>
          <w:p w14:paraId="70120981" w14:textId="77777777" w:rsidR="002060E2" w:rsidRPr="0041262C" w:rsidRDefault="002060E2" w:rsidP="002060E2">
            <w:pPr>
              <w:pStyle w:val="E3tabletext1"/>
              <w:rPr>
                <w:rFonts w:ascii="Helvetica" w:hAnsi="Helvetica" w:cs="Helvetica"/>
                <w:sz w:val="15"/>
                <w:szCs w:val="15"/>
              </w:rPr>
            </w:pPr>
          </w:p>
        </w:tc>
        <w:tc>
          <w:tcPr>
            <w:tcW w:w="1553" w:type="dxa"/>
            <w:vAlign w:val="center"/>
          </w:tcPr>
          <w:p w14:paraId="7F03811C" w14:textId="77777777" w:rsidR="002060E2" w:rsidRPr="0041262C" w:rsidRDefault="002060E2" w:rsidP="002060E2">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447D1B10" w14:textId="77777777" w:rsidR="002060E2" w:rsidRPr="0041262C" w:rsidRDefault="002060E2" w:rsidP="002060E2">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0E841373" w14:textId="77777777" w:rsidR="002060E2" w:rsidRPr="0041262C" w:rsidRDefault="002060E2" w:rsidP="002060E2">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7BEAE60F" w14:textId="77777777" w:rsidR="002060E2" w:rsidRPr="0041262C" w:rsidRDefault="002060E2" w:rsidP="002060E2">
            <w:pPr>
              <w:jc w:val="center"/>
              <w:rPr>
                <w:rFonts w:ascii="Helvetica" w:hAnsi="Helvetica" w:cs="Helvetica"/>
                <w:sz w:val="15"/>
                <w:szCs w:val="15"/>
              </w:rPr>
            </w:pPr>
            <w:r w:rsidRPr="0041262C">
              <w:rPr>
                <w:rFonts w:ascii="Helvetica" w:hAnsi="Helvetica" w:cs="Helvetica"/>
                <w:sz w:val="15"/>
                <w:szCs w:val="15"/>
              </w:rPr>
              <w:t>√</w:t>
            </w:r>
          </w:p>
        </w:tc>
      </w:tr>
      <w:tr w:rsidR="002060E2" w:rsidRPr="00701317" w14:paraId="3527C5B5" w14:textId="77777777" w:rsidTr="002060E2">
        <w:trPr>
          <w:trHeight w:val="454"/>
        </w:trPr>
        <w:tc>
          <w:tcPr>
            <w:tcW w:w="1874" w:type="dxa"/>
          </w:tcPr>
          <w:p w14:paraId="04ED09EB"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EC fan motor(s)</w:t>
            </w:r>
          </w:p>
        </w:tc>
        <w:tc>
          <w:tcPr>
            <w:tcW w:w="1553" w:type="dxa"/>
            <w:vAlign w:val="center"/>
          </w:tcPr>
          <w:p w14:paraId="14A22D9A"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2CBC2D63" w14:textId="77777777" w:rsidR="002060E2" w:rsidRPr="0041262C" w:rsidRDefault="002060E2" w:rsidP="002060E2">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4A25EA88" w14:textId="77777777" w:rsidR="002060E2" w:rsidRPr="0041262C" w:rsidRDefault="002060E2" w:rsidP="002060E2">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2BA34CC2" w14:textId="77777777" w:rsidR="002060E2" w:rsidRPr="0041262C" w:rsidRDefault="002060E2" w:rsidP="002060E2">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32C470CA" w14:textId="77777777" w:rsidR="002060E2" w:rsidRPr="0041262C" w:rsidRDefault="002060E2" w:rsidP="002060E2">
            <w:pPr>
              <w:jc w:val="center"/>
              <w:rPr>
                <w:rFonts w:ascii="Helvetica" w:hAnsi="Helvetica" w:cs="Helvetica"/>
                <w:sz w:val="15"/>
                <w:szCs w:val="15"/>
              </w:rPr>
            </w:pPr>
            <w:r w:rsidRPr="0041262C">
              <w:rPr>
                <w:rFonts w:ascii="Helvetica" w:hAnsi="Helvetica" w:cs="Helvetica"/>
                <w:sz w:val="15"/>
                <w:szCs w:val="15"/>
              </w:rPr>
              <w:t>√</w:t>
            </w:r>
          </w:p>
        </w:tc>
      </w:tr>
      <w:tr w:rsidR="002060E2" w:rsidRPr="00701317" w14:paraId="032C4B0E" w14:textId="77777777" w:rsidTr="002060E2">
        <w:trPr>
          <w:trHeight w:val="454"/>
        </w:trPr>
        <w:tc>
          <w:tcPr>
            <w:tcW w:w="1874" w:type="dxa"/>
          </w:tcPr>
          <w:p w14:paraId="51D87FCD"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Electronic thermostat</w:t>
            </w:r>
          </w:p>
        </w:tc>
        <w:tc>
          <w:tcPr>
            <w:tcW w:w="1553" w:type="dxa"/>
            <w:vAlign w:val="center"/>
          </w:tcPr>
          <w:p w14:paraId="79ABCD83" w14:textId="77777777" w:rsidR="002060E2" w:rsidRPr="0041262C" w:rsidRDefault="002060E2" w:rsidP="002060E2">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4EF805F6" w14:textId="77777777" w:rsidR="002060E2" w:rsidRPr="0041262C" w:rsidRDefault="002060E2" w:rsidP="002060E2">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1C099373" w14:textId="77777777" w:rsidR="002060E2" w:rsidRPr="0041262C" w:rsidRDefault="002060E2" w:rsidP="002060E2">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366A5787" w14:textId="77777777" w:rsidR="002060E2" w:rsidRPr="0041262C" w:rsidRDefault="002060E2" w:rsidP="002060E2">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28ACAB17" w14:textId="77777777" w:rsidR="002060E2" w:rsidRPr="0041262C" w:rsidRDefault="002060E2" w:rsidP="002060E2">
            <w:pPr>
              <w:jc w:val="center"/>
              <w:rPr>
                <w:rFonts w:ascii="Helvetica" w:hAnsi="Helvetica" w:cs="Helvetica"/>
                <w:sz w:val="15"/>
                <w:szCs w:val="15"/>
              </w:rPr>
            </w:pPr>
            <w:r w:rsidRPr="0041262C">
              <w:rPr>
                <w:rFonts w:ascii="Helvetica" w:hAnsi="Helvetica" w:cs="Helvetica"/>
                <w:sz w:val="15"/>
                <w:szCs w:val="15"/>
              </w:rPr>
              <w:t>√</w:t>
            </w:r>
          </w:p>
        </w:tc>
      </w:tr>
      <w:tr w:rsidR="002060E2" w:rsidRPr="00701317" w14:paraId="1646E4C8" w14:textId="77777777" w:rsidTr="002060E2">
        <w:trPr>
          <w:trHeight w:val="454"/>
        </w:trPr>
        <w:tc>
          <w:tcPr>
            <w:tcW w:w="1874" w:type="dxa"/>
          </w:tcPr>
          <w:p w14:paraId="55480651"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lastRenderedPageBreak/>
              <w:t>Night blinds</w:t>
            </w:r>
          </w:p>
        </w:tc>
        <w:tc>
          <w:tcPr>
            <w:tcW w:w="1553" w:type="dxa"/>
            <w:shd w:val="clear" w:color="auto" w:fill="E6E6E6"/>
            <w:vAlign w:val="center"/>
          </w:tcPr>
          <w:p w14:paraId="47272E0A" w14:textId="77777777" w:rsidR="002060E2" w:rsidRPr="0041262C" w:rsidRDefault="002060E2" w:rsidP="002060E2">
            <w:pPr>
              <w:pStyle w:val="E3tabletext1"/>
              <w:rPr>
                <w:rFonts w:ascii="Helvetica" w:hAnsi="Helvetica" w:cs="Helvetica"/>
                <w:sz w:val="15"/>
                <w:szCs w:val="15"/>
              </w:rPr>
            </w:pPr>
          </w:p>
        </w:tc>
        <w:tc>
          <w:tcPr>
            <w:tcW w:w="1553" w:type="dxa"/>
            <w:shd w:val="clear" w:color="auto" w:fill="E6E6E6"/>
            <w:vAlign w:val="center"/>
          </w:tcPr>
          <w:p w14:paraId="451E1398" w14:textId="77777777" w:rsidR="002060E2" w:rsidRPr="0041262C" w:rsidRDefault="002060E2" w:rsidP="002060E2">
            <w:pPr>
              <w:pStyle w:val="E3tabletext1"/>
              <w:rPr>
                <w:rFonts w:ascii="Helvetica" w:hAnsi="Helvetica" w:cs="Helvetica"/>
                <w:sz w:val="15"/>
                <w:szCs w:val="15"/>
              </w:rPr>
            </w:pPr>
          </w:p>
        </w:tc>
        <w:tc>
          <w:tcPr>
            <w:tcW w:w="1553" w:type="dxa"/>
            <w:vAlign w:val="center"/>
          </w:tcPr>
          <w:p w14:paraId="2DE27F84"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w:t>
            </w:r>
          </w:p>
        </w:tc>
        <w:tc>
          <w:tcPr>
            <w:tcW w:w="1553" w:type="dxa"/>
            <w:shd w:val="clear" w:color="auto" w:fill="E6E6E6"/>
            <w:vAlign w:val="center"/>
          </w:tcPr>
          <w:p w14:paraId="6542C7DD" w14:textId="77777777" w:rsidR="002060E2" w:rsidRPr="0041262C" w:rsidRDefault="002060E2" w:rsidP="002060E2">
            <w:pPr>
              <w:pStyle w:val="E3tabletext1"/>
              <w:rPr>
                <w:rFonts w:ascii="Helvetica" w:hAnsi="Helvetica" w:cs="Helvetica"/>
                <w:sz w:val="15"/>
                <w:szCs w:val="15"/>
              </w:rPr>
            </w:pPr>
          </w:p>
        </w:tc>
        <w:tc>
          <w:tcPr>
            <w:tcW w:w="1553" w:type="dxa"/>
            <w:shd w:val="clear" w:color="auto" w:fill="E6E6E6"/>
            <w:vAlign w:val="center"/>
          </w:tcPr>
          <w:p w14:paraId="4DFA4C1D" w14:textId="77777777" w:rsidR="002060E2" w:rsidRPr="0041262C" w:rsidRDefault="002060E2" w:rsidP="002060E2">
            <w:pPr>
              <w:pStyle w:val="E3tabletext1"/>
              <w:rPr>
                <w:rFonts w:ascii="Helvetica" w:hAnsi="Helvetica" w:cs="Helvetica"/>
                <w:sz w:val="15"/>
                <w:szCs w:val="15"/>
              </w:rPr>
            </w:pPr>
          </w:p>
        </w:tc>
      </w:tr>
      <w:tr w:rsidR="002060E2" w:rsidRPr="00701317" w14:paraId="42BDB34A" w14:textId="77777777" w:rsidTr="002060E2">
        <w:trPr>
          <w:trHeight w:val="454"/>
        </w:trPr>
        <w:tc>
          <w:tcPr>
            <w:tcW w:w="1874" w:type="dxa"/>
          </w:tcPr>
          <w:p w14:paraId="38C383E1"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Fit doors on open display cabinets</w:t>
            </w:r>
          </w:p>
        </w:tc>
        <w:tc>
          <w:tcPr>
            <w:tcW w:w="1553" w:type="dxa"/>
            <w:shd w:val="clear" w:color="auto" w:fill="E6E6E6"/>
            <w:vAlign w:val="center"/>
          </w:tcPr>
          <w:p w14:paraId="3FA7238F" w14:textId="77777777" w:rsidR="002060E2" w:rsidRPr="0041262C" w:rsidRDefault="002060E2" w:rsidP="002060E2">
            <w:pPr>
              <w:pStyle w:val="E3tabletext1"/>
              <w:rPr>
                <w:rFonts w:ascii="Helvetica" w:hAnsi="Helvetica" w:cs="Helvetica"/>
                <w:sz w:val="15"/>
                <w:szCs w:val="15"/>
              </w:rPr>
            </w:pPr>
          </w:p>
        </w:tc>
        <w:tc>
          <w:tcPr>
            <w:tcW w:w="1553" w:type="dxa"/>
            <w:shd w:val="clear" w:color="auto" w:fill="E6E6E6"/>
            <w:vAlign w:val="center"/>
          </w:tcPr>
          <w:p w14:paraId="0A0BF01B" w14:textId="77777777" w:rsidR="002060E2" w:rsidRPr="0041262C" w:rsidRDefault="002060E2" w:rsidP="002060E2">
            <w:pPr>
              <w:pStyle w:val="E3tabletext1"/>
              <w:rPr>
                <w:rFonts w:ascii="Helvetica" w:hAnsi="Helvetica" w:cs="Helvetica"/>
                <w:sz w:val="15"/>
                <w:szCs w:val="15"/>
              </w:rPr>
            </w:pPr>
          </w:p>
        </w:tc>
        <w:tc>
          <w:tcPr>
            <w:tcW w:w="1553" w:type="dxa"/>
            <w:shd w:val="clear" w:color="auto" w:fill="E6E6E6"/>
            <w:vAlign w:val="center"/>
          </w:tcPr>
          <w:p w14:paraId="0706F668" w14:textId="77777777" w:rsidR="002060E2" w:rsidRPr="0041262C" w:rsidRDefault="002060E2" w:rsidP="002060E2">
            <w:pPr>
              <w:pStyle w:val="E3tabletext1"/>
              <w:rPr>
                <w:rFonts w:ascii="Helvetica" w:hAnsi="Helvetica" w:cs="Helvetica"/>
                <w:sz w:val="15"/>
                <w:szCs w:val="15"/>
              </w:rPr>
            </w:pPr>
          </w:p>
        </w:tc>
        <w:tc>
          <w:tcPr>
            <w:tcW w:w="1553" w:type="dxa"/>
            <w:shd w:val="clear" w:color="auto" w:fill="E6E6E6"/>
            <w:vAlign w:val="center"/>
          </w:tcPr>
          <w:p w14:paraId="3127A8E8" w14:textId="77777777" w:rsidR="002060E2" w:rsidRPr="0041262C" w:rsidRDefault="002060E2" w:rsidP="002060E2">
            <w:pPr>
              <w:pStyle w:val="E3tabletext1"/>
              <w:rPr>
                <w:rFonts w:ascii="Helvetica" w:hAnsi="Helvetica" w:cs="Helvetica"/>
                <w:sz w:val="15"/>
                <w:szCs w:val="15"/>
              </w:rPr>
            </w:pPr>
          </w:p>
        </w:tc>
        <w:tc>
          <w:tcPr>
            <w:tcW w:w="1553" w:type="dxa"/>
            <w:vAlign w:val="center"/>
          </w:tcPr>
          <w:p w14:paraId="59879DCD"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w:t>
            </w:r>
          </w:p>
        </w:tc>
      </w:tr>
      <w:tr w:rsidR="002060E2" w:rsidRPr="00701317" w14:paraId="7A6C0997" w14:textId="77777777" w:rsidTr="002060E2">
        <w:trPr>
          <w:trHeight w:val="454"/>
        </w:trPr>
        <w:tc>
          <w:tcPr>
            <w:tcW w:w="1874" w:type="dxa"/>
          </w:tcPr>
          <w:p w14:paraId="0293F45B"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High efficiency doors</w:t>
            </w:r>
          </w:p>
        </w:tc>
        <w:tc>
          <w:tcPr>
            <w:tcW w:w="1553" w:type="dxa"/>
            <w:shd w:val="clear" w:color="auto" w:fill="E6E6E6"/>
            <w:vAlign w:val="center"/>
          </w:tcPr>
          <w:p w14:paraId="0111EBB4" w14:textId="77777777" w:rsidR="002060E2" w:rsidRPr="0041262C" w:rsidRDefault="002060E2" w:rsidP="002060E2">
            <w:pPr>
              <w:pStyle w:val="E3tabletext1"/>
              <w:rPr>
                <w:rFonts w:ascii="Helvetica" w:hAnsi="Helvetica" w:cs="Helvetica"/>
                <w:sz w:val="15"/>
                <w:szCs w:val="15"/>
              </w:rPr>
            </w:pPr>
          </w:p>
        </w:tc>
        <w:tc>
          <w:tcPr>
            <w:tcW w:w="1553" w:type="dxa"/>
            <w:shd w:val="clear" w:color="auto" w:fill="E6E6E6"/>
            <w:vAlign w:val="center"/>
          </w:tcPr>
          <w:p w14:paraId="278C050D" w14:textId="77777777" w:rsidR="002060E2" w:rsidRPr="0041262C" w:rsidRDefault="002060E2" w:rsidP="002060E2">
            <w:pPr>
              <w:pStyle w:val="E3tabletext1"/>
              <w:rPr>
                <w:rFonts w:ascii="Helvetica" w:hAnsi="Helvetica" w:cs="Helvetica"/>
                <w:sz w:val="15"/>
                <w:szCs w:val="15"/>
              </w:rPr>
            </w:pPr>
          </w:p>
        </w:tc>
        <w:tc>
          <w:tcPr>
            <w:tcW w:w="1553" w:type="dxa"/>
            <w:shd w:val="clear" w:color="auto" w:fill="E6E6E6"/>
            <w:vAlign w:val="center"/>
          </w:tcPr>
          <w:p w14:paraId="41AA9816" w14:textId="77777777" w:rsidR="002060E2" w:rsidRPr="0041262C" w:rsidRDefault="002060E2" w:rsidP="002060E2">
            <w:pPr>
              <w:pStyle w:val="E3tabletext1"/>
              <w:rPr>
                <w:rFonts w:ascii="Helvetica" w:hAnsi="Helvetica" w:cs="Helvetica"/>
                <w:sz w:val="15"/>
                <w:szCs w:val="15"/>
              </w:rPr>
            </w:pPr>
          </w:p>
        </w:tc>
        <w:tc>
          <w:tcPr>
            <w:tcW w:w="1553" w:type="dxa"/>
            <w:vAlign w:val="center"/>
          </w:tcPr>
          <w:p w14:paraId="48995EEB"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w:t>
            </w:r>
          </w:p>
        </w:tc>
        <w:tc>
          <w:tcPr>
            <w:tcW w:w="1553" w:type="dxa"/>
            <w:shd w:val="clear" w:color="auto" w:fill="E6E6E6"/>
            <w:vAlign w:val="center"/>
          </w:tcPr>
          <w:p w14:paraId="3EDB3423" w14:textId="77777777" w:rsidR="002060E2" w:rsidRPr="0041262C" w:rsidRDefault="002060E2" w:rsidP="002060E2">
            <w:pPr>
              <w:pStyle w:val="E3tabletext1"/>
              <w:rPr>
                <w:rFonts w:ascii="Helvetica" w:hAnsi="Helvetica" w:cs="Helvetica"/>
                <w:sz w:val="15"/>
                <w:szCs w:val="15"/>
              </w:rPr>
            </w:pPr>
          </w:p>
        </w:tc>
      </w:tr>
      <w:tr w:rsidR="002060E2" w:rsidRPr="007A6253" w14:paraId="55E0A757" w14:textId="77777777" w:rsidTr="002060E2">
        <w:trPr>
          <w:trHeight w:val="454"/>
        </w:trPr>
        <w:tc>
          <w:tcPr>
            <w:tcW w:w="9639" w:type="dxa"/>
            <w:gridSpan w:val="6"/>
            <w:vAlign w:val="center"/>
          </w:tcPr>
          <w:p w14:paraId="1DB8CEC2" w14:textId="77777777" w:rsidR="002060E2" w:rsidRPr="007A6253" w:rsidRDefault="002060E2" w:rsidP="002060E2">
            <w:pPr>
              <w:pStyle w:val="E3TableHeading"/>
            </w:pPr>
            <w:r>
              <w:t>Circumstances where the above groups of EE interventions would be suitable</w:t>
            </w:r>
          </w:p>
        </w:tc>
      </w:tr>
      <w:tr w:rsidR="002060E2" w:rsidRPr="007A6253" w14:paraId="43125AA0" w14:textId="77777777" w:rsidTr="002060E2">
        <w:trPr>
          <w:trHeight w:val="454"/>
        </w:trPr>
        <w:tc>
          <w:tcPr>
            <w:tcW w:w="1874" w:type="dxa"/>
            <w:shd w:val="clear" w:color="auto" w:fill="000000"/>
            <w:vAlign w:val="center"/>
          </w:tcPr>
          <w:p w14:paraId="26809DA8" w14:textId="4EA0BE3C" w:rsidR="002060E2" w:rsidRPr="0040008A" w:rsidRDefault="002060E2" w:rsidP="00E50722">
            <w:pPr>
              <w:pStyle w:val="E3TableHeading"/>
              <w:jc w:val="center"/>
            </w:pPr>
            <w:r w:rsidRPr="0040008A">
              <w:t xml:space="preserve">EE </w:t>
            </w:r>
            <w:r>
              <w:t>Interventions</w:t>
            </w:r>
          </w:p>
        </w:tc>
        <w:tc>
          <w:tcPr>
            <w:tcW w:w="1553" w:type="dxa"/>
            <w:shd w:val="clear" w:color="auto" w:fill="000000"/>
            <w:vAlign w:val="center"/>
          </w:tcPr>
          <w:p w14:paraId="2F2D02D6" w14:textId="77777777" w:rsidR="002060E2" w:rsidRPr="007A6253" w:rsidRDefault="002060E2" w:rsidP="00E50722">
            <w:pPr>
              <w:pStyle w:val="E3TableHeading"/>
              <w:jc w:val="center"/>
              <w:rPr>
                <w:szCs w:val="22"/>
              </w:rPr>
            </w:pPr>
            <w:r>
              <w:rPr>
                <w:szCs w:val="22"/>
              </w:rPr>
              <w:t>I</w:t>
            </w:r>
          </w:p>
        </w:tc>
        <w:tc>
          <w:tcPr>
            <w:tcW w:w="1553" w:type="dxa"/>
            <w:shd w:val="clear" w:color="auto" w:fill="000000"/>
            <w:vAlign w:val="center"/>
          </w:tcPr>
          <w:p w14:paraId="6CD2862F" w14:textId="77777777" w:rsidR="002060E2" w:rsidRPr="007A6253" w:rsidRDefault="002060E2" w:rsidP="00E50722">
            <w:pPr>
              <w:pStyle w:val="E3TableHeading"/>
              <w:jc w:val="center"/>
              <w:rPr>
                <w:szCs w:val="22"/>
              </w:rPr>
            </w:pPr>
            <w:r>
              <w:rPr>
                <w:szCs w:val="22"/>
              </w:rPr>
              <w:t>II</w:t>
            </w:r>
          </w:p>
        </w:tc>
        <w:tc>
          <w:tcPr>
            <w:tcW w:w="1553" w:type="dxa"/>
            <w:shd w:val="clear" w:color="auto" w:fill="000000"/>
            <w:vAlign w:val="center"/>
          </w:tcPr>
          <w:p w14:paraId="6372ACFD" w14:textId="77777777" w:rsidR="002060E2" w:rsidRPr="007A6253" w:rsidRDefault="002060E2" w:rsidP="00E50722">
            <w:pPr>
              <w:pStyle w:val="E3TableHeading"/>
              <w:jc w:val="center"/>
              <w:rPr>
                <w:szCs w:val="22"/>
              </w:rPr>
            </w:pPr>
            <w:r>
              <w:rPr>
                <w:szCs w:val="22"/>
              </w:rPr>
              <w:t>III</w:t>
            </w:r>
          </w:p>
        </w:tc>
        <w:tc>
          <w:tcPr>
            <w:tcW w:w="1553" w:type="dxa"/>
            <w:shd w:val="clear" w:color="auto" w:fill="000000"/>
            <w:vAlign w:val="center"/>
          </w:tcPr>
          <w:p w14:paraId="41633FC0" w14:textId="77777777" w:rsidR="002060E2" w:rsidRPr="007A6253" w:rsidRDefault="002060E2" w:rsidP="00E50722">
            <w:pPr>
              <w:pStyle w:val="E3TableHeading"/>
              <w:jc w:val="center"/>
              <w:rPr>
                <w:szCs w:val="22"/>
              </w:rPr>
            </w:pPr>
            <w:r>
              <w:rPr>
                <w:szCs w:val="22"/>
              </w:rPr>
              <w:t>IV</w:t>
            </w:r>
          </w:p>
        </w:tc>
        <w:tc>
          <w:tcPr>
            <w:tcW w:w="1553" w:type="dxa"/>
            <w:shd w:val="clear" w:color="auto" w:fill="000000"/>
            <w:vAlign w:val="center"/>
          </w:tcPr>
          <w:p w14:paraId="17917A6D" w14:textId="77777777" w:rsidR="002060E2" w:rsidRPr="007A6253" w:rsidRDefault="002060E2" w:rsidP="00E50722">
            <w:pPr>
              <w:pStyle w:val="E3TableHeading"/>
              <w:jc w:val="center"/>
              <w:rPr>
                <w:szCs w:val="22"/>
              </w:rPr>
            </w:pPr>
            <w:r>
              <w:rPr>
                <w:szCs w:val="22"/>
              </w:rPr>
              <w:t>V</w:t>
            </w:r>
          </w:p>
        </w:tc>
      </w:tr>
      <w:tr w:rsidR="002060E2" w:rsidRPr="007A6253" w14:paraId="56AE7580" w14:textId="77777777" w:rsidTr="002060E2">
        <w:trPr>
          <w:trHeight w:val="454"/>
        </w:trPr>
        <w:tc>
          <w:tcPr>
            <w:tcW w:w="1874" w:type="dxa"/>
            <w:vAlign w:val="center"/>
          </w:tcPr>
          <w:p w14:paraId="322B7A5A"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Closed solid door cabinets</w:t>
            </w:r>
          </w:p>
        </w:tc>
        <w:tc>
          <w:tcPr>
            <w:tcW w:w="1553" w:type="dxa"/>
            <w:vAlign w:val="center"/>
          </w:tcPr>
          <w:p w14:paraId="49019A73"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w:t>
            </w:r>
          </w:p>
        </w:tc>
        <w:tc>
          <w:tcPr>
            <w:tcW w:w="1553" w:type="dxa"/>
            <w:shd w:val="clear" w:color="auto" w:fill="E6E6E6"/>
            <w:vAlign w:val="center"/>
          </w:tcPr>
          <w:p w14:paraId="5D8EF9C1" w14:textId="77777777" w:rsidR="002060E2" w:rsidRPr="0041262C" w:rsidRDefault="002060E2" w:rsidP="002060E2">
            <w:pPr>
              <w:pStyle w:val="E3tabletext1"/>
              <w:rPr>
                <w:rFonts w:ascii="Helvetica" w:hAnsi="Helvetica" w:cs="Helvetica"/>
                <w:sz w:val="15"/>
                <w:szCs w:val="15"/>
              </w:rPr>
            </w:pPr>
          </w:p>
        </w:tc>
        <w:tc>
          <w:tcPr>
            <w:tcW w:w="1553" w:type="dxa"/>
            <w:shd w:val="clear" w:color="auto" w:fill="E6E6E6"/>
            <w:vAlign w:val="center"/>
          </w:tcPr>
          <w:p w14:paraId="511041FF" w14:textId="77777777" w:rsidR="002060E2" w:rsidRPr="0041262C" w:rsidRDefault="002060E2" w:rsidP="002060E2">
            <w:pPr>
              <w:pStyle w:val="E3tabletext1"/>
              <w:rPr>
                <w:rFonts w:ascii="Helvetica" w:hAnsi="Helvetica" w:cs="Helvetica"/>
                <w:sz w:val="15"/>
                <w:szCs w:val="15"/>
              </w:rPr>
            </w:pPr>
          </w:p>
        </w:tc>
        <w:tc>
          <w:tcPr>
            <w:tcW w:w="1553" w:type="dxa"/>
            <w:shd w:val="clear" w:color="auto" w:fill="E6E6E6"/>
            <w:vAlign w:val="center"/>
          </w:tcPr>
          <w:p w14:paraId="77C0A827" w14:textId="77777777" w:rsidR="002060E2" w:rsidRPr="0041262C" w:rsidRDefault="002060E2" w:rsidP="002060E2">
            <w:pPr>
              <w:pStyle w:val="E3tabletext1"/>
              <w:rPr>
                <w:rFonts w:ascii="Helvetica" w:hAnsi="Helvetica" w:cs="Helvetica"/>
                <w:sz w:val="15"/>
                <w:szCs w:val="15"/>
              </w:rPr>
            </w:pPr>
          </w:p>
        </w:tc>
        <w:tc>
          <w:tcPr>
            <w:tcW w:w="1553" w:type="dxa"/>
            <w:shd w:val="clear" w:color="auto" w:fill="E6E6E6"/>
            <w:vAlign w:val="center"/>
          </w:tcPr>
          <w:p w14:paraId="34FFDC2D" w14:textId="77777777" w:rsidR="002060E2" w:rsidRPr="0041262C" w:rsidRDefault="002060E2" w:rsidP="002060E2">
            <w:pPr>
              <w:pStyle w:val="E3tabletext1"/>
              <w:rPr>
                <w:rFonts w:ascii="Helvetica" w:hAnsi="Helvetica" w:cs="Helvetica"/>
                <w:sz w:val="15"/>
                <w:szCs w:val="15"/>
              </w:rPr>
            </w:pPr>
          </w:p>
        </w:tc>
      </w:tr>
      <w:tr w:rsidR="002060E2" w:rsidRPr="007A6253" w14:paraId="27AC47C9" w14:textId="77777777" w:rsidTr="002060E2">
        <w:trPr>
          <w:trHeight w:val="454"/>
        </w:trPr>
        <w:tc>
          <w:tcPr>
            <w:tcW w:w="1874" w:type="dxa"/>
            <w:vAlign w:val="center"/>
          </w:tcPr>
          <w:p w14:paraId="7DDE9074"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Supermarket – Plugins</w:t>
            </w:r>
          </w:p>
        </w:tc>
        <w:tc>
          <w:tcPr>
            <w:tcW w:w="1553" w:type="dxa"/>
            <w:shd w:val="clear" w:color="auto" w:fill="E6E6E6"/>
            <w:vAlign w:val="center"/>
          </w:tcPr>
          <w:p w14:paraId="5E58B3FD" w14:textId="77777777" w:rsidR="002060E2" w:rsidRPr="0041262C" w:rsidRDefault="002060E2" w:rsidP="002060E2">
            <w:pPr>
              <w:pStyle w:val="E3tabletext1"/>
              <w:rPr>
                <w:rFonts w:ascii="Helvetica" w:hAnsi="Helvetica" w:cs="Helvetica"/>
                <w:sz w:val="15"/>
                <w:szCs w:val="15"/>
              </w:rPr>
            </w:pPr>
          </w:p>
        </w:tc>
        <w:tc>
          <w:tcPr>
            <w:tcW w:w="1553" w:type="dxa"/>
            <w:vAlign w:val="center"/>
          </w:tcPr>
          <w:p w14:paraId="0BFDE8E0" w14:textId="77777777" w:rsidR="002060E2" w:rsidRPr="0041262C" w:rsidRDefault="002060E2" w:rsidP="002060E2">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26DB856F" w14:textId="77777777" w:rsidR="002060E2" w:rsidRPr="0041262C" w:rsidRDefault="002060E2" w:rsidP="002060E2">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4E9AC5AB" w14:textId="77777777" w:rsidR="002060E2" w:rsidRPr="0041262C" w:rsidRDefault="002060E2" w:rsidP="002060E2">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229E22DD" w14:textId="77777777" w:rsidR="002060E2" w:rsidRPr="0041262C" w:rsidRDefault="002060E2" w:rsidP="002060E2">
            <w:pPr>
              <w:jc w:val="center"/>
              <w:rPr>
                <w:rFonts w:ascii="Helvetica" w:hAnsi="Helvetica" w:cs="Helvetica"/>
                <w:sz w:val="15"/>
                <w:szCs w:val="15"/>
              </w:rPr>
            </w:pPr>
            <w:r w:rsidRPr="0041262C">
              <w:rPr>
                <w:rFonts w:ascii="Helvetica" w:hAnsi="Helvetica" w:cs="Helvetica"/>
                <w:sz w:val="15"/>
                <w:szCs w:val="15"/>
              </w:rPr>
              <w:t>√</w:t>
            </w:r>
          </w:p>
        </w:tc>
      </w:tr>
      <w:tr w:rsidR="002060E2" w:rsidRPr="007A6253" w14:paraId="01F792A6" w14:textId="77777777" w:rsidTr="002060E2">
        <w:trPr>
          <w:trHeight w:val="454"/>
        </w:trPr>
        <w:tc>
          <w:tcPr>
            <w:tcW w:w="1874" w:type="dxa"/>
            <w:vAlign w:val="bottom"/>
          </w:tcPr>
          <w:p w14:paraId="174AB926"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color w:val="000000"/>
                <w:sz w:val="15"/>
                <w:szCs w:val="15"/>
              </w:rPr>
              <w:t>All cabinets except solid door</w:t>
            </w:r>
          </w:p>
        </w:tc>
        <w:tc>
          <w:tcPr>
            <w:tcW w:w="1553" w:type="dxa"/>
            <w:shd w:val="clear" w:color="auto" w:fill="E6E6E6"/>
            <w:vAlign w:val="center"/>
          </w:tcPr>
          <w:p w14:paraId="28AD9317" w14:textId="77777777" w:rsidR="002060E2" w:rsidRPr="0041262C" w:rsidRDefault="002060E2" w:rsidP="002060E2">
            <w:pPr>
              <w:pStyle w:val="E3tabletext1"/>
              <w:rPr>
                <w:rFonts w:ascii="Helvetica" w:hAnsi="Helvetica" w:cs="Helvetica"/>
                <w:sz w:val="15"/>
                <w:szCs w:val="15"/>
              </w:rPr>
            </w:pPr>
          </w:p>
        </w:tc>
        <w:tc>
          <w:tcPr>
            <w:tcW w:w="1553" w:type="dxa"/>
            <w:vAlign w:val="center"/>
          </w:tcPr>
          <w:p w14:paraId="25F09A3F" w14:textId="77777777" w:rsidR="002060E2" w:rsidRPr="0041262C" w:rsidRDefault="002060E2" w:rsidP="002060E2">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1A5A21E7" w14:textId="77777777" w:rsidR="002060E2" w:rsidRPr="0041262C" w:rsidRDefault="002060E2" w:rsidP="002060E2">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0ED36B8B" w14:textId="77777777" w:rsidR="002060E2" w:rsidRPr="0041262C" w:rsidRDefault="002060E2" w:rsidP="002060E2">
            <w:pPr>
              <w:jc w:val="center"/>
              <w:rPr>
                <w:rFonts w:ascii="Helvetica" w:hAnsi="Helvetica" w:cs="Helvetica"/>
                <w:sz w:val="15"/>
                <w:szCs w:val="15"/>
              </w:rPr>
            </w:pPr>
            <w:r w:rsidRPr="0041262C">
              <w:rPr>
                <w:rFonts w:ascii="Helvetica" w:hAnsi="Helvetica" w:cs="Helvetica"/>
                <w:sz w:val="15"/>
                <w:szCs w:val="15"/>
              </w:rPr>
              <w:t>√</w:t>
            </w:r>
          </w:p>
        </w:tc>
        <w:tc>
          <w:tcPr>
            <w:tcW w:w="1553" w:type="dxa"/>
            <w:shd w:val="clear" w:color="auto" w:fill="E6E6E6"/>
            <w:vAlign w:val="center"/>
          </w:tcPr>
          <w:p w14:paraId="5FD1780E" w14:textId="77777777" w:rsidR="002060E2" w:rsidRPr="0041262C" w:rsidRDefault="002060E2" w:rsidP="002060E2">
            <w:pPr>
              <w:pStyle w:val="E3tabletext1"/>
              <w:rPr>
                <w:rFonts w:ascii="Helvetica" w:hAnsi="Helvetica" w:cs="Helvetica"/>
                <w:sz w:val="15"/>
                <w:szCs w:val="15"/>
              </w:rPr>
            </w:pPr>
          </w:p>
        </w:tc>
      </w:tr>
      <w:tr w:rsidR="002060E2" w:rsidRPr="007A6253" w14:paraId="78CE8F48" w14:textId="77777777" w:rsidTr="002060E2">
        <w:trPr>
          <w:trHeight w:val="454"/>
        </w:trPr>
        <w:tc>
          <w:tcPr>
            <w:tcW w:w="1874" w:type="dxa"/>
            <w:vAlign w:val="center"/>
          </w:tcPr>
          <w:p w14:paraId="11C18A74"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Storage cabinet</w:t>
            </w:r>
          </w:p>
        </w:tc>
        <w:tc>
          <w:tcPr>
            <w:tcW w:w="1553" w:type="dxa"/>
            <w:shd w:val="clear" w:color="auto" w:fill="E6E6E6"/>
            <w:vAlign w:val="center"/>
          </w:tcPr>
          <w:p w14:paraId="48E934B2" w14:textId="77777777" w:rsidR="002060E2" w:rsidRPr="0041262C" w:rsidRDefault="002060E2" w:rsidP="002060E2">
            <w:pPr>
              <w:pStyle w:val="E3tabletext1"/>
              <w:rPr>
                <w:rFonts w:ascii="Helvetica" w:hAnsi="Helvetica" w:cs="Helvetica"/>
                <w:sz w:val="15"/>
                <w:szCs w:val="15"/>
              </w:rPr>
            </w:pPr>
          </w:p>
        </w:tc>
        <w:tc>
          <w:tcPr>
            <w:tcW w:w="1553" w:type="dxa"/>
            <w:vAlign w:val="center"/>
          </w:tcPr>
          <w:p w14:paraId="3597761E"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w:t>
            </w:r>
          </w:p>
        </w:tc>
        <w:tc>
          <w:tcPr>
            <w:tcW w:w="1553" w:type="dxa"/>
            <w:shd w:val="clear" w:color="auto" w:fill="E6E6E6"/>
            <w:vAlign w:val="center"/>
          </w:tcPr>
          <w:p w14:paraId="0E9B347E" w14:textId="77777777" w:rsidR="002060E2" w:rsidRPr="0041262C" w:rsidRDefault="002060E2" w:rsidP="002060E2">
            <w:pPr>
              <w:pStyle w:val="E3tabletext1"/>
              <w:rPr>
                <w:rFonts w:ascii="Helvetica" w:hAnsi="Helvetica" w:cs="Helvetica"/>
                <w:sz w:val="15"/>
                <w:szCs w:val="15"/>
              </w:rPr>
            </w:pPr>
          </w:p>
        </w:tc>
        <w:tc>
          <w:tcPr>
            <w:tcW w:w="1553" w:type="dxa"/>
            <w:shd w:val="clear" w:color="auto" w:fill="E6E6E6"/>
            <w:vAlign w:val="center"/>
          </w:tcPr>
          <w:p w14:paraId="73398635" w14:textId="77777777" w:rsidR="002060E2" w:rsidRPr="0041262C" w:rsidRDefault="002060E2" w:rsidP="002060E2">
            <w:pPr>
              <w:pStyle w:val="E3tabletext1"/>
              <w:rPr>
                <w:rFonts w:ascii="Helvetica" w:hAnsi="Helvetica" w:cs="Helvetica"/>
                <w:sz w:val="15"/>
                <w:szCs w:val="15"/>
              </w:rPr>
            </w:pPr>
          </w:p>
        </w:tc>
        <w:tc>
          <w:tcPr>
            <w:tcW w:w="1553" w:type="dxa"/>
            <w:vAlign w:val="center"/>
          </w:tcPr>
          <w:p w14:paraId="00DEA78D"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w:t>
            </w:r>
          </w:p>
        </w:tc>
      </w:tr>
    </w:tbl>
    <w:p w14:paraId="163E7FF6" w14:textId="77777777" w:rsidR="00CA582C" w:rsidRDefault="00CA582C" w:rsidP="002060E2">
      <w:pPr>
        <w:pStyle w:val="E3Heading2"/>
        <w:rPr>
          <w:rFonts w:ascii="Georgia" w:hAnsi="Georgia"/>
          <w:sz w:val="24"/>
        </w:rPr>
      </w:pPr>
      <w:bookmarkStart w:id="396" w:name="_Toc447533633"/>
      <w:bookmarkStart w:id="397" w:name="_Toc449708807"/>
      <w:bookmarkStart w:id="398" w:name="_Toc494897993"/>
      <w:bookmarkStart w:id="399" w:name="_Toc494955785"/>
      <w:bookmarkStart w:id="400" w:name="_Toc494959593"/>
      <w:bookmarkStart w:id="401" w:name="_Toc494972719"/>
      <w:bookmarkStart w:id="402" w:name="_Toc494973906"/>
      <w:bookmarkStart w:id="403" w:name="_Toc494974595"/>
    </w:p>
    <w:p w14:paraId="4858703B" w14:textId="77777777" w:rsidR="00CA582C" w:rsidRDefault="00CA582C" w:rsidP="002060E2">
      <w:pPr>
        <w:pStyle w:val="E3Heading2"/>
        <w:rPr>
          <w:rFonts w:ascii="Georgia" w:hAnsi="Georgia"/>
          <w:sz w:val="24"/>
        </w:rPr>
      </w:pPr>
    </w:p>
    <w:p w14:paraId="4E1D7C6B" w14:textId="0C52507D" w:rsidR="002060E2" w:rsidRPr="0041262C" w:rsidRDefault="002060E2" w:rsidP="002060E2">
      <w:pPr>
        <w:pStyle w:val="E3Heading2"/>
        <w:rPr>
          <w:rFonts w:ascii="Georgia" w:hAnsi="Georgia"/>
          <w:sz w:val="24"/>
        </w:rPr>
      </w:pPr>
      <w:bookmarkStart w:id="404" w:name="_Toc500151839"/>
      <w:r w:rsidRPr="0041262C">
        <w:rPr>
          <w:rFonts w:ascii="Georgia" w:hAnsi="Georgia"/>
          <w:sz w:val="24"/>
        </w:rPr>
        <w:t>Estimated costs for energy saving technologies</w:t>
      </w:r>
      <w:bookmarkEnd w:id="396"/>
      <w:bookmarkEnd w:id="397"/>
      <w:bookmarkEnd w:id="398"/>
      <w:bookmarkEnd w:id="399"/>
      <w:bookmarkEnd w:id="400"/>
      <w:bookmarkEnd w:id="401"/>
      <w:bookmarkEnd w:id="402"/>
      <w:bookmarkEnd w:id="403"/>
      <w:bookmarkEnd w:id="404"/>
    </w:p>
    <w:p w14:paraId="2CFBD729" w14:textId="77777777" w:rsidR="00D51B4B" w:rsidRPr="00D866F8" w:rsidRDefault="002060E2" w:rsidP="004C7417">
      <w:pPr>
        <w:pStyle w:val="E3BodyText"/>
        <w:jc w:val="both"/>
      </w:pPr>
      <w:r w:rsidRPr="00AC7259">
        <w:t xml:space="preserve">The percentage improvement and incremental cost for energy efficiency groupings was estimated for each cabinet group </w:t>
      </w:r>
      <w:r>
        <w:t xml:space="preserve">as shown by </w:t>
      </w:r>
      <w:r w:rsidRPr="0025148C">
        <w:fldChar w:fldCharType="begin"/>
      </w:r>
      <w:r w:rsidRPr="0025148C">
        <w:instrText xml:space="preserve"> REF _Ref450032707 \h  \* MERGEFORMAT </w:instrText>
      </w:r>
      <w:r w:rsidRPr="0025148C">
        <w:fldChar w:fldCharType="separate"/>
      </w:r>
    </w:p>
    <w:p w14:paraId="6C649328" w14:textId="713A0D13" w:rsidR="002060E2" w:rsidRPr="00D866F8" w:rsidRDefault="00D51B4B" w:rsidP="004C7417">
      <w:pPr>
        <w:pStyle w:val="E3BodyText"/>
        <w:jc w:val="both"/>
      </w:pPr>
      <w:r w:rsidRPr="00D51B4B">
        <w:rPr>
          <w:b/>
        </w:rPr>
        <w:t xml:space="preserve">Table D </w:t>
      </w:r>
      <w:r w:rsidRPr="00D51B4B">
        <w:rPr>
          <w:b/>
          <w:noProof/>
        </w:rPr>
        <w:t>5</w:t>
      </w:r>
      <w:r w:rsidR="002060E2" w:rsidRPr="0025148C">
        <w:fldChar w:fldCharType="end"/>
      </w:r>
      <w:r w:rsidR="002060E2" w:rsidRPr="00AC7259">
        <w:rPr>
          <w:b/>
        </w:rPr>
        <w:t xml:space="preserve"> </w:t>
      </w:r>
      <w:r w:rsidR="002060E2" w:rsidRPr="00AC7259">
        <w:t xml:space="preserve">below.  This information was used in the </w:t>
      </w:r>
      <w:r w:rsidR="002060E2">
        <w:t xml:space="preserve">costs analysis and in the calculation of the </w:t>
      </w:r>
      <w:r w:rsidR="002060E2" w:rsidRPr="00AC7259">
        <w:t xml:space="preserve">costs of changing </w:t>
      </w:r>
      <w:r w:rsidR="002060E2">
        <w:t xml:space="preserve">the </w:t>
      </w:r>
      <w:r w:rsidR="002060E2" w:rsidRPr="00AC7259">
        <w:t>MEPS requirements</w:t>
      </w:r>
      <w:r w:rsidR="002060E2">
        <w:t>.</w:t>
      </w:r>
      <w:bookmarkStart w:id="405" w:name="_Ref450032707"/>
      <w:bookmarkStart w:id="406" w:name="_Toc449708981"/>
      <w:bookmarkStart w:id="407" w:name="_Toc449968537"/>
      <w:bookmarkStart w:id="408" w:name="_Toc456164779"/>
    </w:p>
    <w:p w14:paraId="4656A7B0" w14:textId="213408D6" w:rsidR="002060E2" w:rsidRPr="00F428D8" w:rsidRDefault="002060E2" w:rsidP="004C7417">
      <w:pPr>
        <w:pStyle w:val="E3TableTitles"/>
        <w:jc w:val="both"/>
      </w:pPr>
      <w:bookmarkStart w:id="409" w:name="_Toc500159677"/>
      <w:r>
        <w:t xml:space="preserve">Table D </w:t>
      </w:r>
      <w:r>
        <w:fldChar w:fldCharType="begin"/>
      </w:r>
      <w:r>
        <w:instrText xml:space="preserve"> SEQ Table_D \* ARABIC </w:instrText>
      </w:r>
      <w:r>
        <w:fldChar w:fldCharType="separate"/>
      </w:r>
      <w:r w:rsidR="00D51B4B">
        <w:rPr>
          <w:noProof/>
        </w:rPr>
        <w:t>5</w:t>
      </w:r>
      <w:r>
        <w:rPr>
          <w:noProof/>
        </w:rPr>
        <w:fldChar w:fldCharType="end"/>
      </w:r>
      <w:bookmarkEnd w:id="405"/>
      <w:r w:rsidRPr="002705A4">
        <w:t>: Percentage improvement and incremental cost for energy efficiency groupings by cabinet type</w:t>
      </w:r>
      <w:bookmarkEnd w:id="406"/>
      <w:bookmarkEnd w:id="407"/>
      <w:bookmarkEnd w:id="408"/>
      <w:bookmarkEnd w:id="409"/>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568"/>
        <w:gridCol w:w="862"/>
        <w:gridCol w:w="863"/>
        <w:gridCol w:w="863"/>
        <w:gridCol w:w="863"/>
        <w:gridCol w:w="863"/>
        <w:gridCol w:w="863"/>
        <w:gridCol w:w="863"/>
        <w:gridCol w:w="863"/>
        <w:gridCol w:w="863"/>
      </w:tblGrid>
      <w:tr w:rsidR="002060E2" w:rsidRPr="007A6253" w14:paraId="0F104B07" w14:textId="77777777" w:rsidTr="003616D8">
        <w:trPr>
          <w:trHeight w:val="20"/>
        </w:trPr>
        <w:tc>
          <w:tcPr>
            <w:tcW w:w="1305" w:type="dxa"/>
            <w:shd w:val="clear" w:color="auto" w:fill="000000"/>
            <w:vAlign w:val="center"/>
          </w:tcPr>
          <w:p w14:paraId="056BED3F" w14:textId="77777777" w:rsidR="002060E2" w:rsidRPr="007029A0" w:rsidRDefault="002060E2" w:rsidP="004C7417">
            <w:pPr>
              <w:pStyle w:val="E3TableHeading"/>
              <w:jc w:val="both"/>
              <w:rPr>
                <w:szCs w:val="15"/>
              </w:rPr>
            </w:pPr>
            <w:r w:rsidRPr="007029A0">
              <w:rPr>
                <w:szCs w:val="15"/>
              </w:rPr>
              <w:t xml:space="preserve">EE Grouping </w:t>
            </w:r>
          </w:p>
        </w:tc>
        <w:tc>
          <w:tcPr>
            <w:tcW w:w="1430" w:type="dxa"/>
            <w:gridSpan w:val="2"/>
            <w:shd w:val="clear" w:color="auto" w:fill="000000"/>
            <w:vAlign w:val="center"/>
          </w:tcPr>
          <w:p w14:paraId="1879495B" w14:textId="77777777" w:rsidR="002060E2" w:rsidRPr="007029A0" w:rsidRDefault="002060E2" w:rsidP="003616D8">
            <w:pPr>
              <w:pStyle w:val="E3TableHeading"/>
              <w:jc w:val="center"/>
              <w:rPr>
                <w:szCs w:val="15"/>
              </w:rPr>
            </w:pPr>
            <w:r w:rsidRPr="007029A0">
              <w:rPr>
                <w:szCs w:val="15"/>
              </w:rPr>
              <w:t>I</w:t>
            </w:r>
          </w:p>
        </w:tc>
        <w:tc>
          <w:tcPr>
            <w:tcW w:w="1726" w:type="dxa"/>
            <w:gridSpan w:val="2"/>
            <w:shd w:val="clear" w:color="auto" w:fill="000000"/>
            <w:vAlign w:val="center"/>
          </w:tcPr>
          <w:p w14:paraId="7FFFD5C3" w14:textId="77777777" w:rsidR="002060E2" w:rsidRPr="007029A0" w:rsidRDefault="002060E2" w:rsidP="003616D8">
            <w:pPr>
              <w:pStyle w:val="E3TableHeading"/>
              <w:jc w:val="center"/>
              <w:rPr>
                <w:szCs w:val="15"/>
              </w:rPr>
            </w:pPr>
            <w:r w:rsidRPr="007029A0">
              <w:rPr>
                <w:szCs w:val="15"/>
              </w:rPr>
              <w:t>II</w:t>
            </w:r>
          </w:p>
        </w:tc>
        <w:tc>
          <w:tcPr>
            <w:tcW w:w="1726" w:type="dxa"/>
            <w:gridSpan w:val="2"/>
            <w:shd w:val="clear" w:color="auto" w:fill="000000"/>
            <w:vAlign w:val="center"/>
          </w:tcPr>
          <w:p w14:paraId="14B89267" w14:textId="77777777" w:rsidR="002060E2" w:rsidRPr="007029A0" w:rsidRDefault="002060E2" w:rsidP="003616D8">
            <w:pPr>
              <w:pStyle w:val="E3TableHeading"/>
              <w:jc w:val="center"/>
              <w:rPr>
                <w:szCs w:val="15"/>
              </w:rPr>
            </w:pPr>
            <w:r w:rsidRPr="007029A0">
              <w:rPr>
                <w:szCs w:val="15"/>
              </w:rPr>
              <w:t>III</w:t>
            </w:r>
          </w:p>
        </w:tc>
        <w:tc>
          <w:tcPr>
            <w:tcW w:w="1726" w:type="dxa"/>
            <w:gridSpan w:val="2"/>
            <w:shd w:val="clear" w:color="auto" w:fill="000000"/>
            <w:vAlign w:val="center"/>
          </w:tcPr>
          <w:p w14:paraId="07D536F0" w14:textId="77777777" w:rsidR="002060E2" w:rsidRPr="007029A0" w:rsidRDefault="002060E2" w:rsidP="003616D8">
            <w:pPr>
              <w:pStyle w:val="E3TableHeading"/>
              <w:jc w:val="center"/>
              <w:rPr>
                <w:szCs w:val="15"/>
              </w:rPr>
            </w:pPr>
            <w:r w:rsidRPr="007029A0">
              <w:rPr>
                <w:szCs w:val="15"/>
              </w:rPr>
              <w:t>IV</w:t>
            </w:r>
          </w:p>
        </w:tc>
        <w:tc>
          <w:tcPr>
            <w:tcW w:w="1726" w:type="dxa"/>
            <w:gridSpan w:val="2"/>
            <w:shd w:val="clear" w:color="auto" w:fill="000000"/>
            <w:vAlign w:val="center"/>
          </w:tcPr>
          <w:p w14:paraId="19A94D89" w14:textId="77777777" w:rsidR="002060E2" w:rsidRPr="007029A0" w:rsidRDefault="002060E2" w:rsidP="003616D8">
            <w:pPr>
              <w:pStyle w:val="E3TableHeading"/>
              <w:jc w:val="center"/>
              <w:rPr>
                <w:szCs w:val="15"/>
              </w:rPr>
            </w:pPr>
            <w:r w:rsidRPr="007029A0">
              <w:rPr>
                <w:szCs w:val="15"/>
              </w:rPr>
              <w:t>V</w:t>
            </w:r>
          </w:p>
        </w:tc>
      </w:tr>
      <w:tr w:rsidR="002060E2" w:rsidRPr="00397457" w14:paraId="38DBB68C" w14:textId="77777777" w:rsidTr="003616D8">
        <w:trPr>
          <w:trHeight w:val="20"/>
        </w:trPr>
        <w:tc>
          <w:tcPr>
            <w:tcW w:w="1305" w:type="dxa"/>
            <w:vMerge w:val="restart"/>
            <w:shd w:val="clear" w:color="auto" w:fill="auto"/>
            <w:vAlign w:val="center"/>
          </w:tcPr>
          <w:p w14:paraId="7F1AFF3D" w14:textId="77777777" w:rsidR="002060E2" w:rsidRPr="007029A0" w:rsidRDefault="002060E2" w:rsidP="004C7417">
            <w:pPr>
              <w:pStyle w:val="E3TableHeading"/>
              <w:jc w:val="both"/>
              <w:rPr>
                <w:szCs w:val="15"/>
              </w:rPr>
            </w:pPr>
            <w:r w:rsidRPr="007029A0">
              <w:rPr>
                <w:szCs w:val="15"/>
              </w:rPr>
              <w:t>Grouped cabinet types</w:t>
            </w:r>
          </w:p>
        </w:tc>
        <w:tc>
          <w:tcPr>
            <w:tcW w:w="8334" w:type="dxa"/>
            <w:gridSpan w:val="10"/>
            <w:shd w:val="clear" w:color="auto" w:fill="auto"/>
            <w:vAlign w:val="center"/>
          </w:tcPr>
          <w:p w14:paraId="49BED41A" w14:textId="77777777" w:rsidR="002060E2" w:rsidRPr="007029A0" w:rsidRDefault="002060E2" w:rsidP="004C7417">
            <w:pPr>
              <w:pStyle w:val="E3TableHeading"/>
              <w:jc w:val="both"/>
              <w:rPr>
                <w:szCs w:val="15"/>
              </w:rPr>
            </w:pPr>
            <w:r w:rsidRPr="007029A0">
              <w:rPr>
                <w:szCs w:val="15"/>
              </w:rPr>
              <w:t>Percentage improvement and incremental cost</w:t>
            </w:r>
          </w:p>
        </w:tc>
      </w:tr>
      <w:tr w:rsidR="002060E2" w:rsidRPr="007A6253" w14:paraId="48CC524F" w14:textId="77777777" w:rsidTr="003616D8">
        <w:trPr>
          <w:trHeight w:val="20"/>
        </w:trPr>
        <w:tc>
          <w:tcPr>
            <w:tcW w:w="1305" w:type="dxa"/>
            <w:vMerge/>
            <w:shd w:val="clear" w:color="auto" w:fill="auto"/>
            <w:vAlign w:val="center"/>
          </w:tcPr>
          <w:p w14:paraId="5FF6EF2D" w14:textId="77777777" w:rsidR="002060E2" w:rsidRPr="007029A0" w:rsidRDefault="002060E2" w:rsidP="004C7417">
            <w:pPr>
              <w:pStyle w:val="E3tabletext1"/>
              <w:jc w:val="both"/>
              <w:rPr>
                <w:rFonts w:ascii="Helvetica" w:hAnsi="Helvetica" w:cs="Helvetica"/>
                <w:color w:val="000000"/>
                <w:sz w:val="15"/>
                <w:szCs w:val="15"/>
              </w:rPr>
            </w:pPr>
          </w:p>
        </w:tc>
        <w:tc>
          <w:tcPr>
            <w:tcW w:w="568" w:type="dxa"/>
            <w:shd w:val="clear" w:color="auto" w:fill="auto"/>
            <w:vAlign w:val="center"/>
          </w:tcPr>
          <w:p w14:paraId="1F4274C8" w14:textId="77777777" w:rsidR="002060E2" w:rsidRPr="007029A0" w:rsidRDefault="002060E2" w:rsidP="004C741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2" w:type="dxa"/>
            <w:shd w:val="clear" w:color="auto" w:fill="auto"/>
            <w:vAlign w:val="center"/>
          </w:tcPr>
          <w:p w14:paraId="5386D18E" w14:textId="77777777" w:rsidR="002060E2" w:rsidRPr="007029A0" w:rsidRDefault="002060E2" w:rsidP="004C741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3" w:type="dxa"/>
            <w:shd w:val="clear" w:color="auto" w:fill="auto"/>
            <w:vAlign w:val="center"/>
          </w:tcPr>
          <w:p w14:paraId="76221790" w14:textId="77777777" w:rsidR="002060E2" w:rsidRPr="007029A0" w:rsidRDefault="002060E2" w:rsidP="004C741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3" w:type="dxa"/>
            <w:shd w:val="clear" w:color="auto" w:fill="auto"/>
            <w:vAlign w:val="center"/>
          </w:tcPr>
          <w:p w14:paraId="14EEED7F" w14:textId="77777777" w:rsidR="002060E2" w:rsidRPr="007029A0" w:rsidRDefault="002060E2" w:rsidP="004C741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3" w:type="dxa"/>
            <w:shd w:val="clear" w:color="auto" w:fill="auto"/>
            <w:vAlign w:val="center"/>
          </w:tcPr>
          <w:p w14:paraId="2D19D01E" w14:textId="77777777" w:rsidR="002060E2" w:rsidRPr="007029A0" w:rsidRDefault="002060E2" w:rsidP="004C741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3" w:type="dxa"/>
            <w:shd w:val="clear" w:color="auto" w:fill="auto"/>
            <w:vAlign w:val="center"/>
          </w:tcPr>
          <w:p w14:paraId="5251E477" w14:textId="77777777" w:rsidR="002060E2" w:rsidRPr="007029A0" w:rsidRDefault="002060E2" w:rsidP="004C741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3" w:type="dxa"/>
            <w:shd w:val="clear" w:color="auto" w:fill="auto"/>
            <w:vAlign w:val="center"/>
          </w:tcPr>
          <w:p w14:paraId="2AB693B5" w14:textId="77777777" w:rsidR="002060E2" w:rsidRPr="007029A0" w:rsidRDefault="002060E2" w:rsidP="004C741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3" w:type="dxa"/>
            <w:shd w:val="clear" w:color="auto" w:fill="auto"/>
            <w:vAlign w:val="center"/>
          </w:tcPr>
          <w:p w14:paraId="394D3E80" w14:textId="77777777" w:rsidR="002060E2" w:rsidRPr="007029A0" w:rsidRDefault="002060E2" w:rsidP="004C741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3" w:type="dxa"/>
            <w:shd w:val="clear" w:color="auto" w:fill="auto"/>
            <w:vAlign w:val="center"/>
          </w:tcPr>
          <w:p w14:paraId="636393BB" w14:textId="77777777" w:rsidR="002060E2" w:rsidRPr="007029A0" w:rsidRDefault="002060E2" w:rsidP="004C741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3" w:type="dxa"/>
            <w:shd w:val="clear" w:color="auto" w:fill="auto"/>
            <w:vAlign w:val="center"/>
          </w:tcPr>
          <w:p w14:paraId="7E2767F6" w14:textId="77777777" w:rsidR="002060E2" w:rsidRPr="007029A0" w:rsidRDefault="002060E2" w:rsidP="004C741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r>
      <w:tr w:rsidR="002060E2" w:rsidRPr="007A6253" w14:paraId="7C7116A6" w14:textId="77777777" w:rsidTr="003616D8">
        <w:trPr>
          <w:trHeight w:val="20"/>
        </w:trPr>
        <w:tc>
          <w:tcPr>
            <w:tcW w:w="1305" w:type="dxa"/>
            <w:shd w:val="clear" w:color="auto" w:fill="auto"/>
            <w:vAlign w:val="center"/>
          </w:tcPr>
          <w:p w14:paraId="617E89F9"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IRH</w:t>
            </w:r>
          </w:p>
        </w:tc>
        <w:tc>
          <w:tcPr>
            <w:tcW w:w="568" w:type="dxa"/>
            <w:shd w:val="clear" w:color="auto" w:fill="auto"/>
            <w:vAlign w:val="center"/>
          </w:tcPr>
          <w:p w14:paraId="4E7FF72A"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1E39DAB4"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2C87FA11"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14%</w:t>
            </w:r>
          </w:p>
        </w:tc>
        <w:tc>
          <w:tcPr>
            <w:tcW w:w="863" w:type="dxa"/>
            <w:shd w:val="clear" w:color="auto" w:fill="auto"/>
            <w:vAlign w:val="center"/>
          </w:tcPr>
          <w:p w14:paraId="77912D5F"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$266</w:t>
            </w:r>
          </w:p>
        </w:tc>
        <w:tc>
          <w:tcPr>
            <w:tcW w:w="863" w:type="dxa"/>
            <w:shd w:val="clear" w:color="auto" w:fill="auto"/>
            <w:vAlign w:val="center"/>
          </w:tcPr>
          <w:p w14:paraId="1786957E"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28%</w:t>
            </w:r>
          </w:p>
        </w:tc>
        <w:tc>
          <w:tcPr>
            <w:tcW w:w="863" w:type="dxa"/>
            <w:shd w:val="clear" w:color="auto" w:fill="auto"/>
            <w:vAlign w:val="center"/>
          </w:tcPr>
          <w:p w14:paraId="2121BF8B"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$733</w:t>
            </w:r>
          </w:p>
        </w:tc>
        <w:tc>
          <w:tcPr>
            <w:tcW w:w="863" w:type="dxa"/>
            <w:shd w:val="clear" w:color="auto" w:fill="auto"/>
            <w:vAlign w:val="center"/>
          </w:tcPr>
          <w:p w14:paraId="26BDF6E3"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40%</w:t>
            </w:r>
          </w:p>
        </w:tc>
        <w:tc>
          <w:tcPr>
            <w:tcW w:w="863" w:type="dxa"/>
            <w:shd w:val="clear" w:color="auto" w:fill="auto"/>
            <w:vAlign w:val="center"/>
          </w:tcPr>
          <w:p w14:paraId="60B52F90"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$3,508</w:t>
            </w:r>
          </w:p>
        </w:tc>
        <w:tc>
          <w:tcPr>
            <w:tcW w:w="863" w:type="dxa"/>
            <w:shd w:val="clear" w:color="auto" w:fill="auto"/>
            <w:vAlign w:val="center"/>
          </w:tcPr>
          <w:p w14:paraId="21EEA3FF"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17%</w:t>
            </w:r>
          </w:p>
        </w:tc>
        <w:tc>
          <w:tcPr>
            <w:tcW w:w="863" w:type="dxa"/>
            <w:shd w:val="clear" w:color="auto" w:fill="auto"/>
            <w:vAlign w:val="center"/>
          </w:tcPr>
          <w:p w14:paraId="5B162AB4"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$437</w:t>
            </w:r>
          </w:p>
        </w:tc>
      </w:tr>
      <w:tr w:rsidR="002060E2" w:rsidRPr="007A6253" w14:paraId="0CC49C2A" w14:textId="77777777" w:rsidTr="003616D8">
        <w:trPr>
          <w:trHeight w:val="20"/>
        </w:trPr>
        <w:tc>
          <w:tcPr>
            <w:tcW w:w="1305" w:type="dxa"/>
            <w:shd w:val="clear" w:color="auto" w:fill="auto"/>
            <w:vAlign w:val="center"/>
          </w:tcPr>
          <w:p w14:paraId="197EE7A7"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IRV</w:t>
            </w:r>
          </w:p>
        </w:tc>
        <w:tc>
          <w:tcPr>
            <w:tcW w:w="568" w:type="dxa"/>
            <w:shd w:val="clear" w:color="auto" w:fill="auto"/>
            <w:vAlign w:val="center"/>
          </w:tcPr>
          <w:p w14:paraId="3489A332"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1F46917A"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7147C6C4"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16%</w:t>
            </w:r>
          </w:p>
        </w:tc>
        <w:tc>
          <w:tcPr>
            <w:tcW w:w="863" w:type="dxa"/>
            <w:shd w:val="clear" w:color="auto" w:fill="auto"/>
            <w:vAlign w:val="center"/>
          </w:tcPr>
          <w:p w14:paraId="69A1380C"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$384</w:t>
            </w:r>
          </w:p>
        </w:tc>
        <w:tc>
          <w:tcPr>
            <w:tcW w:w="863" w:type="dxa"/>
            <w:shd w:val="clear" w:color="auto" w:fill="auto"/>
            <w:vAlign w:val="center"/>
          </w:tcPr>
          <w:p w14:paraId="68F02575"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36%</w:t>
            </w:r>
          </w:p>
        </w:tc>
        <w:tc>
          <w:tcPr>
            <w:tcW w:w="863" w:type="dxa"/>
            <w:shd w:val="clear" w:color="auto" w:fill="auto"/>
            <w:vAlign w:val="center"/>
          </w:tcPr>
          <w:p w14:paraId="5FD9F86E"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$714</w:t>
            </w:r>
          </w:p>
        </w:tc>
        <w:tc>
          <w:tcPr>
            <w:tcW w:w="863" w:type="dxa"/>
            <w:shd w:val="clear" w:color="auto" w:fill="auto"/>
            <w:vAlign w:val="center"/>
          </w:tcPr>
          <w:p w14:paraId="481C88A0"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51%</w:t>
            </w:r>
          </w:p>
        </w:tc>
        <w:tc>
          <w:tcPr>
            <w:tcW w:w="863" w:type="dxa"/>
            <w:shd w:val="clear" w:color="auto" w:fill="auto"/>
            <w:vAlign w:val="center"/>
          </w:tcPr>
          <w:p w14:paraId="09B234D9"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$4,209</w:t>
            </w:r>
          </w:p>
        </w:tc>
        <w:tc>
          <w:tcPr>
            <w:tcW w:w="863" w:type="dxa"/>
            <w:shd w:val="clear" w:color="auto" w:fill="auto"/>
            <w:vAlign w:val="center"/>
          </w:tcPr>
          <w:p w14:paraId="14A230B1"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2D32B132"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r>
      <w:tr w:rsidR="002060E2" w:rsidRPr="007A6253" w14:paraId="1E1FEA94" w14:textId="77777777" w:rsidTr="003616D8">
        <w:trPr>
          <w:trHeight w:val="20"/>
        </w:trPr>
        <w:tc>
          <w:tcPr>
            <w:tcW w:w="1305" w:type="dxa"/>
            <w:shd w:val="clear" w:color="auto" w:fill="auto"/>
            <w:vAlign w:val="center"/>
          </w:tcPr>
          <w:p w14:paraId="6DA7B84B"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IRV-4</w:t>
            </w:r>
          </w:p>
        </w:tc>
        <w:tc>
          <w:tcPr>
            <w:tcW w:w="568" w:type="dxa"/>
            <w:shd w:val="clear" w:color="auto" w:fill="auto"/>
            <w:vAlign w:val="center"/>
          </w:tcPr>
          <w:p w14:paraId="5656088F"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3D9344C5"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55C205D8"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42%</w:t>
            </w:r>
          </w:p>
        </w:tc>
        <w:tc>
          <w:tcPr>
            <w:tcW w:w="863" w:type="dxa"/>
            <w:shd w:val="clear" w:color="auto" w:fill="auto"/>
            <w:vAlign w:val="center"/>
          </w:tcPr>
          <w:p w14:paraId="0F6705DD"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$399</w:t>
            </w:r>
          </w:p>
        </w:tc>
        <w:tc>
          <w:tcPr>
            <w:tcW w:w="863" w:type="dxa"/>
            <w:shd w:val="clear" w:color="auto" w:fill="auto"/>
            <w:vAlign w:val="center"/>
          </w:tcPr>
          <w:p w14:paraId="7E58B351"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2BE427EF"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6ADCB8E3"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30ADDE18"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92DFB7D"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45%</w:t>
            </w:r>
          </w:p>
        </w:tc>
        <w:tc>
          <w:tcPr>
            <w:tcW w:w="863" w:type="dxa"/>
            <w:shd w:val="clear" w:color="auto" w:fill="auto"/>
            <w:vAlign w:val="center"/>
          </w:tcPr>
          <w:p w14:paraId="1415A9CD"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$713</w:t>
            </w:r>
          </w:p>
        </w:tc>
      </w:tr>
      <w:tr w:rsidR="002060E2" w:rsidRPr="007A6253" w14:paraId="5B7B82FF" w14:textId="77777777" w:rsidTr="003616D8">
        <w:trPr>
          <w:trHeight w:val="20"/>
        </w:trPr>
        <w:tc>
          <w:tcPr>
            <w:tcW w:w="1305" w:type="dxa"/>
            <w:shd w:val="clear" w:color="auto" w:fill="auto"/>
            <w:vAlign w:val="center"/>
          </w:tcPr>
          <w:p w14:paraId="4976DFB8"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IFH</w:t>
            </w:r>
          </w:p>
        </w:tc>
        <w:tc>
          <w:tcPr>
            <w:tcW w:w="568" w:type="dxa"/>
            <w:shd w:val="clear" w:color="auto" w:fill="auto"/>
            <w:vAlign w:val="center"/>
          </w:tcPr>
          <w:p w14:paraId="70717945"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4C464DB1"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401F626E"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11%</w:t>
            </w:r>
          </w:p>
        </w:tc>
        <w:tc>
          <w:tcPr>
            <w:tcW w:w="863" w:type="dxa"/>
            <w:shd w:val="clear" w:color="auto" w:fill="auto"/>
            <w:vAlign w:val="center"/>
          </w:tcPr>
          <w:p w14:paraId="0F0FFBB8"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$310</w:t>
            </w:r>
          </w:p>
        </w:tc>
        <w:tc>
          <w:tcPr>
            <w:tcW w:w="863" w:type="dxa"/>
            <w:shd w:val="clear" w:color="auto" w:fill="auto"/>
            <w:vAlign w:val="center"/>
          </w:tcPr>
          <w:p w14:paraId="73386894"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28%</w:t>
            </w:r>
          </w:p>
        </w:tc>
        <w:tc>
          <w:tcPr>
            <w:tcW w:w="863" w:type="dxa"/>
            <w:shd w:val="clear" w:color="auto" w:fill="auto"/>
            <w:vAlign w:val="center"/>
          </w:tcPr>
          <w:p w14:paraId="5610F272"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$589</w:t>
            </w:r>
          </w:p>
        </w:tc>
        <w:tc>
          <w:tcPr>
            <w:tcW w:w="863" w:type="dxa"/>
            <w:shd w:val="clear" w:color="auto" w:fill="auto"/>
            <w:vAlign w:val="center"/>
          </w:tcPr>
          <w:p w14:paraId="6331E2D8"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40%</w:t>
            </w:r>
          </w:p>
        </w:tc>
        <w:tc>
          <w:tcPr>
            <w:tcW w:w="863" w:type="dxa"/>
            <w:shd w:val="clear" w:color="auto" w:fill="auto"/>
            <w:vAlign w:val="center"/>
          </w:tcPr>
          <w:p w14:paraId="0BD853BC"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$3,529</w:t>
            </w:r>
          </w:p>
        </w:tc>
        <w:tc>
          <w:tcPr>
            <w:tcW w:w="863" w:type="dxa"/>
            <w:shd w:val="clear" w:color="auto" w:fill="auto"/>
            <w:vAlign w:val="center"/>
          </w:tcPr>
          <w:p w14:paraId="05110FEB"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12%</w:t>
            </w:r>
          </w:p>
        </w:tc>
        <w:tc>
          <w:tcPr>
            <w:tcW w:w="863" w:type="dxa"/>
            <w:shd w:val="clear" w:color="auto" w:fill="auto"/>
            <w:vAlign w:val="center"/>
          </w:tcPr>
          <w:p w14:paraId="7A9C5BD2"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$426</w:t>
            </w:r>
          </w:p>
        </w:tc>
      </w:tr>
      <w:tr w:rsidR="002060E2" w:rsidRPr="007A6253" w14:paraId="1046FB60" w14:textId="77777777" w:rsidTr="003616D8">
        <w:trPr>
          <w:trHeight w:val="20"/>
        </w:trPr>
        <w:tc>
          <w:tcPr>
            <w:tcW w:w="1305" w:type="dxa"/>
            <w:shd w:val="clear" w:color="auto" w:fill="auto"/>
            <w:vAlign w:val="center"/>
          </w:tcPr>
          <w:p w14:paraId="2C5D4648"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IFH-5</w:t>
            </w:r>
          </w:p>
        </w:tc>
        <w:tc>
          <w:tcPr>
            <w:tcW w:w="568" w:type="dxa"/>
            <w:shd w:val="clear" w:color="auto" w:fill="auto"/>
            <w:vAlign w:val="center"/>
          </w:tcPr>
          <w:p w14:paraId="115E033D"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5EAEEEC9"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780B74A0"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18%</w:t>
            </w:r>
          </w:p>
        </w:tc>
        <w:tc>
          <w:tcPr>
            <w:tcW w:w="863" w:type="dxa"/>
            <w:shd w:val="clear" w:color="auto" w:fill="auto"/>
            <w:vAlign w:val="center"/>
          </w:tcPr>
          <w:p w14:paraId="6A8615A2"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$175</w:t>
            </w:r>
          </w:p>
        </w:tc>
        <w:tc>
          <w:tcPr>
            <w:tcW w:w="863" w:type="dxa"/>
            <w:shd w:val="clear" w:color="auto" w:fill="auto"/>
            <w:vAlign w:val="center"/>
          </w:tcPr>
          <w:p w14:paraId="34F8DD44"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4A4D4561"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16B859D"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64F196AC"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232E3EFF"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28%</w:t>
            </w:r>
          </w:p>
        </w:tc>
        <w:tc>
          <w:tcPr>
            <w:tcW w:w="863" w:type="dxa"/>
            <w:shd w:val="clear" w:color="auto" w:fill="auto"/>
            <w:vAlign w:val="center"/>
          </w:tcPr>
          <w:p w14:paraId="40336F70"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$490</w:t>
            </w:r>
          </w:p>
        </w:tc>
      </w:tr>
      <w:tr w:rsidR="002060E2" w:rsidRPr="007A6253" w14:paraId="6B38B028" w14:textId="77777777" w:rsidTr="003616D8">
        <w:trPr>
          <w:trHeight w:val="20"/>
        </w:trPr>
        <w:tc>
          <w:tcPr>
            <w:tcW w:w="1305" w:type="dxa"/>
            <w:shd w:val="clear" w:color="auto" w:fill="auto"/>
            <w:vAlign w:val="center"/>
          </w:tcPr>
          <w:p w14:paraId="0E2643A1"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IFV</w:t>
            </w:r>
          </w:p>
        </w:tc>
        <w:tc>
          <w:tcPr>
            <w:tcW w:w="568" w:type="dxa"/>
            <w:shd w:val="clear" w:color="auto" w:fill="auto"/>
            <w:vAlign w:val="center"/>
          </w:tcPr>
          <w:p w14:paraId="6CFD4257"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4AE6EF0D"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86DB1D9"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12%</w:t>
            </w:r>
          </w:p>
        </w:tc>
        <w:tc>
          <w:tcPr>
            <w:tcW w:w="863" w:type="dxa"/>
            <w:shd w:val="clear" w:color="auto" w:fill="auto"/>
            <w:vAlign w:val="center"/>
          </w:tcPr>
          <w:p w14:paraId="434C896E"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$261</w:t>
            </w:r>
          </w:p>
        </w:tc>
        <w:tc>
          <w:tcPr>
            <w:tcW w:w="863" w:type="dxa"/>
            <w:shd w:val="clear" w:color="auto" w:fill="auto"/>
            <w:vAlign w:val="center"/>
          </w:tcPr>
          <w:p w14:paraId="6A411242"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35%</w:t>
            </w:r>
          </w:p>
        </w:tc>
        <w:tc>
          <w:tcPr>
            <w:tcW w:w="863" w:type="dxa"/>
            <w:shd w:val="clear" w:color="auto" w:fill="auto"/>
            <w:vAlign w:val="center"/>
          </w:tcPr>
          <w:p w14:paraId="5D664AE3"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$551</w:t>
            </w:r>
          </w:p>
        </w:tc>
        <w:tc>
          <w:tcPr>
            <w:tcW w:w="863" w:type="dxa"/>
            <w:shd w:val="clear" w:color="auto" w:fill="auto"/>
            <w:vAlign w:val="center"/>
          </w:tcPr>
          <w:p w14:paraId="3853C94C"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45%</w:t>
            </w:r>
          </w:p>
        </w:tc>
        <w:tc>
          <w:tcPr>
            <w:tcW w:w="863" w:type="dxa"/>
            <w:shd w:val="clear" w:color="auto" w:fill="auto"/>
            <w:vAlign w:val="center"/>
          </w:tcPr>
          <w:p w14:paraId="015E327E"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$4,046</w:t>
            </w:r>
          </w:p>
        </w:tc>
        <w:tc>
          <w:tcPr>
            <w:tcW w:w="863" w:type="dxa"/>
            <w:shd w:val="clear" w:color="auto" w:fill="auto"/>
            <w:vAlign w:val="center"/>
          </w:tcPr>
          <w:p w14:paraId="15C3C300"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18%</w:t>
            </w:r>
          </w:p>
        </w:tc>
        <w:tc>
          <w:tcPr>
            <w:tcW w:w="863" w:type="dxa"/>
            <w:shd w:val="clear" w:color="auto" w:fill="auto"/>
            <w:vAlign w:val="center"/>
          </w:tcPr>
          <w:p w14:paraId="121C8576"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$657</w:t>
            </w:r>
          </w:p>
        </w:tc>
      </w:tr>
      <w:tr w:rsidR="002060E2" w:rsidRPr="007A6253" w14:paraId="552885E1" w14:textId="77777777" w:rsidTr="003616D8">
        <w:trPr>
          <w:trHeight w:val="20"/>
        </w:trPr>
        <w:tc>
          <w:tcPr>
            <w:tcW w:w="1305" w:type="dxa"/>
            <w:shd w:val="clear" w:color="auto" w:fill="auto"/>
            <w:vAlign w:val="center"/>
          </w:tcPr>
          <w:p w14:paraId="78CADE22"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RRH</w:t>
            </w:r>
          </w:p>
        </w:tc>
        <w:tc>
          <w:tcPr>
            <w:tcW w:w="568" w:type="dxa"/>
            <w:shd w:val="clear" w:color="auto" w:fill="auto"/>
            <w:vAlign w:val="center"/>
          </w:tcPr>
          <w:p w14:paraId="19B8C0A8"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5FC39BB6"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6E39752C"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19%</w:t>
            </w:r>
          </w:p>
        </w:tc>
        <w:tc>
          <w:tcPr>
            <w:tcW w:w="863" w:type="dxa"/>
            <w:shd w:val="clear" w:color="auto" w:fill="auto"/>
            <w:vAlign w:val="center"/>
          </w:tcPr>
          <w:p w14:paraId="2D5113F1"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$317</w:t>
            </w:r>
          </w:p>
        </w:tc>
        <w:tc>
          <w:tcPr>
            <w:tcW w:w="863" w:type="dxa"/>
            <w:shd w:val="clear" w:color="auto" w:fill="auto"/>
            <w:vAlign w:val="center"/>
          </w:tcPr>
          <w:p w14:paraId="1A76E13D"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5DABAF16"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E68B53D"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31FD9B42"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693A125C"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22%</w:t>
            </w:r>
          </w:p>
        </w:tc>
        <w:tc>
          <w:tcPr>
            <w:tcW w:w="863" w:type="dxa"/>
            <w:shd w:val="clear" w:color="auto" w:fill="auto"/>
            <w:vAlign w:val="center"/>
          </w:tcPr>
          <w:p w14:paraId="73DF3606"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$947</w:t>
            </w:r>
          </w:p>
        </w:tc>
      </w:tr>
      <w:tr w:rsidR="002060E2" w:rsidRPr="007A6253" w14:paraId="6273721E" w14:textId="77777777" w:rsidTr="003616D8">
        <w:trPr>
          <w:trHeight w:val="20"/>
        </w:trPr>
        <w:tc>
          <w:tcPr>
            <w:tcW w:w="1305" w:type="dxa"/>
            <w:shd w:val="clear" w:color="auto" w:fill="auto"/>
            <w:vAlign w:val="center"/>
          </w:tcPr>
          <w:p w14:paraId="0EA4F2C4"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RRV</w:t>
            </w:r>
          </w:p>
        </w:tc>
        <w:tc>
          <w:tcPr>
            <w:tcW w:w="568" w:type="dxa"/>
            <w:shd w:val="clear" w:color="auto" w:fill="auto"/>
            <w:vAlign w:val="center"/>
          </w:tcPr>
          <w:p w14:paraId="6901FD80"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20%</w:t>
            </w:r>
          </w:p>
        </w:tc>
        <w:tc>
          <w:tcPr>
            <w:tcW w:w="862" w:type="dxa"/>
            <w:shd w:val="clear" w:color="auto" w:fill="auto"/>
            <w:vAlign w:val="center"/>
          </w:tcPr>
          <w:p w14:paraId="0C670F77"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$128</w:t>
            </w:r>
          </w:p>
        </w:tc>
        <w:tc>
          <w:tcPr>
            <w:tcW w:w="863" w:type="dxa"/>
            <w:shd w:val="clear" w:color="auto" w:fill="auto"/>
            <w:vAlign w:val="center"/>
          </w:tcPr>
          <w:p w14:paraId="68C8F449"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19%</w:t>
            </w:r>
          </w:p>
        </w:tc>
        <w:tc>
          <w:tcPr>
            <w:tcW w:w="863" w:type="dxa"/>
            <w:shd w:val="clear" w:color="auto" w:fill="auto"/>
            <w:vAlign w:val="center"/>
          </w:tcPr>
          <w:p w14:paraId="00508D3C"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$539</w:t>
            </w:r>
          </w:p>
        </w:tc>
        <w:tc>
          <w:tcPr>
            <w:tcW w:w="863" w:type="dxa"/>
            <w:shd w:val="clear" w:color="auto" w:fill="auto"/>
            <w:vAlign w:val="center"/>
          </w:tcPr>
          <w:p w14:paraId="2D46DBD0"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30%</w:t>
            </w:r>
          </w:p>
        </w:tc>
        <w:tc>
          <w:tcPr>
            <w:tcW w:w="863" w:type="dxa"/>
            <w:shd w:val="clear" w:color="auto" w:fill="auto"/>
            <w:vAlign w:val="center"/>
          </w:tcPr>
          <w:p w14:paraId="126B8A11"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$1,255</w:t>
            </w:r>
          </w:p>
        </w:tc>
        <w:tc>
          <w:tcPr>
            <w:tcW w:w="863" w:type="dxa"/>
            <w:shd w:val="clear" w:color="auto" w:fill="auto"/>
            <w:vAlign w:val="center"/>
          </w:tcPr>
          <w:p w14:paraId="429C6553"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46%</w:t>
            </w:r>
          </w:p>
        </w:tc>
        <w:tc>
          <w:tcPr>
            <w:tcW w:w="863" w:type="dxa"/>
            <w:shd w:val="clear" w:color="auto" w:fill="auto"/>
            <w:vAlign w:val="center"/>
          </w:tcPr>
          <w:p w14:paraId="04E7EF02"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$6,217</w:t>
            </w:r>
          </w:p>
        </w:tc>
        <w:tc>
          <w:tcPr>
            <w:tcW w:w="863" w:type="dxa"/>
            <w:shd w:val="clear" w:color="auto" w:fill="auto"/>
            <w:vAlign w:val="center"/>
          </w:tcPr>
          <w:p w14:paraId="50C8C8A3"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47%</w:t>
            </w:r>
          </w:p>
        </w:tc>
        <w:tc>
          <w:tcPr>
            <w:tcW w:w="863" w:type="dxa"/>
            <w:shd w:val="clear" w:color="auto" w:fill="auto"/>
            <w:vAlign w:val="center"/>
          </w:tcPr>
          <w:p w14:paraId="41C5F5CC"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$976</w:t>
            </w:r>
          </w:p>
        </w:tc>
      </w:tr>
      <w:tr w:rsidR="002060E2" w:rsidRPr="007A6253" w14:paraId="7AE2DBA1" w14:textId="77777777" w:rsidTr="003616D8">
        <w:trPr>
          <w:trHeight w:val="20"/>
        </w:trPr>
        <w:tc>
          <w:tcPr>
            <w:tcW w:w="1305" w:type="dxa"/>
            <w:shd w:val="clear" w:color="auto" w:fill="auto"/>
            <w:vAlign w:val="center"/>
          </w:tcPr>
          <w:p w14:paraId="01EDCF08"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RRV-2</w:t>
            </w:r>
          </w:p>
        </w:tc>
        <w:tc>
          <w:tcPr>
            <w:tcW w:w="568" w:type="dxa"/>
            <w:shd w:val="clear" w:color="auto" w:fill="auto"/>
            <w:vAlign w:val="center"/>
          </w:tcPr>
          <w:p w14:paraId="1B2C0920"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0366D258"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AA0298D"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12%</w:t>
            </w:r>
          </w:p>
        </w:tc>
        <w:tc>
          <w:tcPr>
            <w:tcW w:w="863" w:type="dxa"/>
            <w:shd w:val="clear" w:color="auto" w:fill="auto"/>
            <w:vAlign w:val="center"/>
          </w:tcPr>
          <w:p w14:paraId="0D66C6D0"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$512</w:t>
            </w:r>
          </w:p>
        </w:tc>
        <w:tc>
          <w:tcPr>
            <w:tcW w:w="863" w:type="dxa"/>
            <w:shd w:val="clear" w:color="auto" w:fill="auto"/>
            <w:vAlign w:val="center"/>
          </w:tcPr>
          <w:p w14:paraId="3AE5E311"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37%</w:t>
            </w:r>
          </w:p>
        </w:tc>
        <w:tc>
          <w:tcPr>
            <w:tcW w:w="863" w:type="dxa"/>
            <w:shd w:val="clear" w:color="auto" w:fill="auto"/>
            <w:vAlign w:val="center"/>
          </w:tcPr>
          <w:p w14:paraId="2044E449"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$1,172</w:t>
            </w:r>
          </w:p>
        </w:tc>
        <w:tc>
          <w:tcPr>
            <w:tcW w:w="863" w:type="dxa"/>
            <w:shd w:val="clear" w:color="auto" w:fill="auto"/>
            <w:vAlign w:val="center"/>
          </w:tcPr>
          <w:p w14:paraId="0DF68795"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47%</w:t>
            </w:r>
          </w:p>
        </w:tc>
        <w:tc>
          <w:tcPr>
            <w:tcW w:w="863" w:type="dxa"/>
            <w:shd w:val="clear" w:color="auto" w:fill="auto"/>
            <w:vAlign w:val="center"/>
          </w:tcPr>
          <w:p w14:paraId="45BC2869"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$6,249</w:t>
            </w:r>
          </w:p>
        </w:tc>
        <w:tc>
          <w:tcPr>
            <w:tcW w:w="863" w:type="dxa"/>
            <w:shd w:val="clear" w:color="auto" w:fill="auto"/>
            <w:vAlign w:val="center"/>
          </w:tcPr>
          <w:p w14:paraId="5E671058"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32EAF5C2"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r>
      <w:tr w:rsidR="002060E2" w:rsidRPr="007A6253" w14:paraId="102C93C6" w14:textId="77777777" w:rsidTr="003616D8">
        <w:trPr>
          <w:trHeight w:val="20"/>
        </w:trPr>
        <w:tc>
          <w:tcPr>
            <w:tcW w:w="1305" w:type="dxa"/>
            <w:shd w:val="clear" w:color="auto" w:fill="auto"/>
            <w:vAlign w:val="center"/>
          </w:tcPr>
          <w:p w14:paraId="6C10AC9E"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RFH</w:t>
            </w:r>
          </w:p>
        </w:tc>
        <w:tc>
          <w:tcPr>
            <w:tcW w:w="568" w:type="dxa"/>
            <w:shd w:val="clear" w:color="auto" w:fill="auto"/>
            <w:vAlign w:val="center"/>
          </w:tcPr>
          <w:p w14:paraId="56BB106C"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6171F625"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6BFCCD65"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8%</w:t>
            </w:r>
          </w:p>
        </w:tc>
        <w:tc>
          <w:tcPr>
            <w:tcW w:w="863" w:type="dxa"/>
            <w:shd w:val="clear" w:color="auto" w:fill="auto"/>
            <w:vAlign w:val="center"/>
          </w:tcPr>
          <w:p w14:paraId="5C60815E"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$299</w:t>
            </w:r>
          </w:p>
        </w:tc>
        <w:tc>
          <w:tcPr>
            <w:tcW w:w="863" w:type="dxa"/>
            <w:shd w:val="clear" w:color="auto" w:fill="auto"/>
            <w:vAlign w:val="center"/>
          </w:tcPr>
          <w:p w14:paraId="7D4FDFB7"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26%</w:t>
            </w:r>
          </w:p>
        </w:tc>
        <w:tc>
          <w:tcPr>
            <w:tcW w:w="863" w:type="dxa"/>
            <w:shd w:val="clear" w:color="auto" w:fill="auto"/>
            <w:vAlign w:val="center"/>
          </w:tcPr>
          <w:p w14:paraId="7C46773F"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$959</w:t>
            </w:r>
          </w:p>
        </w:tc>
        <w:tc>
          <w:tcPr>
            <w:tcW w:w="863" w:type="dxa"/>
            <w:shd w:val="clear" w:color="auto" w:fill="auto"/>
            <w:vAlign w:val="center"/>
          </w:tcPr>
          <w:p w14:paraId="3659B12F"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38%</w:t>
            </w:r>
          </w:p>
        </w:tc>
        <w:tc>
          <w:tcPr>
            <w:tcW w:w="863" w:type="dxa"/>
            <w:shd w:val="clear" w:color="auto" w:fill="auto"/>
            <w:vAlign w:val="center"/>
          </w:tcPr>
          <w:p w14:paraId="29EF374F"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$5,204</w:t>
            </w:r>
          </w:p>
        </w:tc>
        <w:tc>
          <w:tcPr>
            <w:tcW w:w="863" w:type="dxa"/>
            <w:shd w:val="clear" w:color="auto" w:fill="auto"/>
            <w:vAlign w:val="center"/>
          </w:tcPr>
          <w:p w14:paraId="5929A65E"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2DE047BB"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r>
      <w:tr w:rsidR="002060E2" w:rsidRPr="007A6253" w14:paraId="71BF5F8E" w14:textId="77777777" w:rsidTr="003616D8">
        <w:trPr>
          <w:trHeight w:val="20"/>
        </w:trPr>
        <w:tc>
          <w:tcPr>
            <w:tcW w:w="1305" w:type="dxa"/>
            <w:shd w:val="clear" w:color="auto" w:fill="auto"/>
            <w:vAlign w:val="center"/>
          </w:tcPr>
          <w:p w14:paraId="192DC74F"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RFV</w:t>
            </w:r>
          </w:p>
        </w:tc>
        <w:tc>
          <w:tcPr>
            <w:tcW w:w="568" w:type="dxa"/>
            <w:shd w:val="clear" w:color="auto" w:fill="auto"/>
            <w:vAlign w:val="center"/>
          </w:tcPr>
          <w:p w14:paraId="0C43D3E8"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2%</w:t>
            </w:r>
          </w:p>
        </w:tc>
        <w:tc>
          <w:tcPr>
            <w:tcW w:w="862" w:type="dxa"/>
            <w:shd w:val="clear" w:color="auto" w:fill="auto"/>
            <w:vAlign w:val="center"/>
          </w:tcPr>
          <w:p w14:paraId="21251338"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$126</w:t>
            </w:r>
          </w:p>
        </w:tc>
        <w:tc>
          <w:tcPr>
            <w:tcW w:w="863" w:type="dxa"/>
            <w:shd w:val="clear" w:color="auto" w:fill="auto"/>
            <w:vAlign w:val="center"/>
          </w:tcPr>
          <w:p w14:paraId="265F1E11"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6%</w:t>
            </w:r>
          </w:p>
        </w:tc>
        <w:tc>
          <w:tcPr>
            <w:tcW w:w="863" w:type="dxa"/>
            <w:shd w:val="clear" w:color="auto" w:fill="auto"/>
            <w:vAlign w:val="center"/>
          </w:tcPr>
          <w:p w14:paraId="2A113A09"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$479</w:t>
            </w:r>
          </w:p>
        </w:tc>
        <w:tc>
          <w:tcPr>
            <w:tcW w:w="863" w:type="dxa"/>
            <w:shd w:val="clear" w:color="auto" w:fill="auto"/>
            <w:vAlign w:val="center"/>
          </w:tcPr>
          <w:p w14:paraId="71EC2629"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31%</w:t>
            </w:r>
          </w:p>
        </w:tc>
        <w:tc>
          <w:tcPr>
            <w:tcW w:w="863" w:type="dxa"/>
            <w:shd w:val="clear" w:color="auto" w:fill="auto"/>
            <w:vAlign w:val="center"/>
          </w:tcPr>
          <w:p w14:paraId="0B80EA42"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$1,061</w:t>
            </w:r>
          </w:p>
        </w:tc>
        <w:tc>
          <w:tcPr>
            <w:tcW w:w="863" w:type="dxa"/>
            <w:shd w:val="clear" w:color="auto" w:fill="auto"/>
            <w:vAlign w:val="center"/>
          </w:tcPr>
          <w:p w14:paraId="6BA7A716"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41%</w:t>
            </w:r>
          </w:p>
        </w:tc>
        <w:tc>
          <w:tcPr>
            <w:tcW w:w="863" w:type="dxa"/>
            <w:shd w:val="clear" w:color="auto" w:fill="auto"/>
            <w:vAlign w:val="center"/>
          </w:tcPr>
          <w:p w14:paraId="19C1F147"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$6,138</w:t>
            </w:r>
          </w:p>
        </w:tc>
        <w:tc>
          <w:tcPr>
            <w:tcW w:w="863" w:type="dxa"/>
            <w:shd w:val="clear" w:color="auto" w:fill="auto"/>
            <w:vAlign w:val="center"/>
          </w:tcPr>
          <w:p w14:paraId="4051F50E"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8%</w:t>
            </w:r>
          </w:p>
        </w:tc>
        <w:tc>
          <w:tcPr>
            <w:tcW w:w="863" w:type="dxa"/>
            <w:shd w:val="clear" w:color="auto" w:fill="auto"/>
            <w:vAlign w:val="center"/>
          </w:tcPr>
          <w:p w14:paraId="2332DFC5"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$1,135</w:t>
            </w:r>
          </w:p>
        </w:tc>
      </w:tr>
      <w:tr w:rsidR="002060E2" w:rsidRPr="007A6253" w14:paraId="33C53114" w14:textId="77777777" w:rsidTr="003616D8">
        <w:trPr>
          <w:trHeight w:val="20"/>
        </w:trPr>
        <w:tc>
          <w:tcPr>
            <w:tcW w:w="1305" w:type="dxa"/>
            <w:shd w:val="clear" w:color="auto" w:fill="auto"/>
            <w:vAlign w:val="center"/>
          </w:tcPr>
          <w:p w14:paraId="55C1C65E"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SRH</w:t>
            </w:r>
          </w:p>
        </w:tc>
        <w:tc>
          <w:tcPr>
            <w:tcW w:w="568" w:type="dxa"/>
            <w:shd w:val="clear" w:color="auto" w:fill="auto"/>
            <w:vAlign w:val="center"/>
          </w:tcPr>
          <w:p w14:paraId="05E3E0B0"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14%</w:t>
            </w:r>
          </w:p>
        </w:tc>
        <w:tc>
          <w:tcPr>
            <w:tcW w:w="862" w:type="dxa"/>
            <w:shd w:val="clear" w:color="auto" w:fill="auto"/>
            <w:vAlign w:val="center"/>
          </w:tcPr>
          <w:p w14:paraId="122F7FEE"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$179</w:t>
            </w:r>
          </w:p>
        </w:tc>
        <w:tc>
          <w:tcPr>
            <w:tcW w:w="863" w:type="dxa"/>
            <w:shd w:val="clear" w:color="auto" w:fill="auto"/>
            <w:vAlign w:val="center"/>
          </w:tcPr>
          <w:p w14:paraId="434B8595"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435080D7"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026B9E89"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75ADACDB"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22CD4B84"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38D6DE65"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261EA18F"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0028AEC3"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r>
      <w:tr w:rsidR="002060E2" w:rsidRPr="007A6253" w14:paraId="12DDDD01" w14:textId="77777777" w:rsidTr="003616D8">
        <w:trPr>
          <w:trHeight w:val="20"/>
        </w:trPr>
        <w:tc>
          <w:tcPr>
            <w:tcW w:w="1305" w:type="dxa"/>
            <w:shd w:val="clear" w:color="auto" w:fill="auto"/>
            <w:vAlign w:val="center"/>
          </w:tcPr>
          <w:p w14:paraId="2EF895A0"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SRV</w:t>
            </w:r>
          </w:p>
        </w:tc>
        <w:tc>
          <w:tcPr>
            <w:tcW w:w="568" w:type="dxa"/>
            <w:shd w:val="clear" w:color="auto" w:fill="auto"/>
            <w:vAlign w:val="center"/>
          </w:tcPr>
          <w:p w14:paraId="1190D652"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20%</w:t>
            </w:r>
          </w:p>
        </w:tc>
        <w:tc>
          <w:tcPr>
            <w:tcW w:w="862" w:type="dxa"/>
            <w:shd w:val="clear" w:color="auto" w:fill="auto"/>
            <w:vAlign w:val="center"/>
          </w:tcPr>
          <w:p w14:paraId="7C7ACE4B"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$179</w:t>
            </w:r>
          </w:p>
        </w:tc>
        <w:tc>
          <w:tcPr>
            <w:tcW w:w="863" w:type="dxa"/>
            <w:shd w:val="clear" w:color="auto" w:fill="auto"/>
            <w:vAlign w:val="center"/>
          </w:tcPr>
          <w:p w14:paraId="0E491088"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240BD97F"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75A3976E"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FF53CF1"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E2FA545"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24E418FE"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5D9F8257"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4B583B0A"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r>
      <w:tr w:rsidR="002060E2" w:rsidRPr="007A6253" w14:paraId="26D528D9" w14:textId="77777777" w:rsidTr="003616D8">
        <w:trPr>
          <w:trHeight w:val="20"/>
        </w:trPr>
        <w:tc>
          <w:tcPr>
            <w:tcW w:w="1305" w:type="dxa"/>
            <w:shd w:val="clear" w:color="auto" w:fill="auto"/>
            <w:vAlign w:val="center"/>
          </w:tcPr>
          <w:p w14:paraId="64743831"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SFH</w:t>
            </w:r>
          </w:p>
        </w:tc>
        <w:tc>
          <w:tcPr>
            <w:tcW w:w="568" w:type="dxa"/>
            <w:shd w:val="clear" w:color="auto" w:fill="auto"/>
            <w:vAlign w:val="center"/>
          </w:tcPr>
          <w:p w14:paraId="599C9EEB"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9%</w:t>
            </w:r>
          </w:p>
        </w:tc>
        <w:tc>
          <w:tcPr>
            <w:tcW w:w="862" w:type="dxa"/>
            <w:shd w:val="clear" w:color="auto" w:fill="auto"/>
            <w:vAlign w:val="center"/>
          </w:tcPr>
          <w:p w14:paraId="68898585"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$137</w:t>
            </w:r>
          </w:p>
        </w:tc>
        <w:tc>
          <w:tcPr>
            <w:tcW w:w="863" w:type="dxa"/>
            <w:shd w:val="clear" w:color="auto" w:fill="auto"/>
            <w:vAlign w:val="center"/>
          </w:tcPr>
          <w:p w14:paraId="7ED42B96"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2C990564"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05709663"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4B460B43"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592AE520"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5DA4EA05"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AB2A327"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5229C0C5"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r>
      <w:tr w:rsidR="002060E2" w:rsidRPr="007A6253" w14:paraId="5EAA0F26" w14:textId="77777777" w:rsidTr="003616D8">
        <w:trPr>
          <w:trHeight w:val="20"/>
        </w:trPr>
        <w:tc>
          <w:tcPr>
            <w:tcW w:w="1305" w:type="dxa"/>
            <w:shd w:val="clear" w:color="auto" w:fill="auto"/>
            <w:vAlign w:val="center"/>
          </w:tcPr>
          <w:p w14:paraId="5A8CDA28"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SFV</w:t>
            </w:r>
          </w:p>
        </w:tc>
        <w:tc>
          <w:tcPr>
            <w:tcW w:w="568" w:type="dxa"/>
            <w:shd w:val="clear" w:color="auto" w:fill="auto"/>
            <w:vAlign w:val="center"/>
          </w:tcPr>
          <w:p w14:paraId="689A1BC0"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14%</w:t>
            </w:r>
          </w:p>
        </w:tc>
        <w:tc>
          <w:tcPr>
            <w:tcW w:w="862" w:type="dxa"/>
            <w:shd w:val="clear" w:color="auto" w:fill="auto"/>
            <w:vAlign w:val="center"/>
          </w:tcPr>
          <w:p w14:paraId="7B27922D"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$165</w:t>
            </w:r>
          </w:p>
        </w:tc>
        <w:tc>
          <w:tcPr>
            <w:tcW w:w="863" w:type="dxa"/>
            <w:shd w:val="clear" w:color="auto" w:fill="auto"/>
            <w:vAlign w:val="center"/>
          </w:tcPr>
          <w:p w14:paraId="381FCB19"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36BF5693"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65690CBB"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0A1A5F24"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30C0AF90"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6B1BE5BA"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2848F62D"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218DB84" w14:textId="77777777" w:rsidR="002060E2" w:rsidRPr="007029A0" w:rsidRDefault="002060E2" w:rsidP="004C7417">
            <w:pPr>
              <w:pStyle w:val="E3tabletext1"/>
              <w:jc w:val="both"/>
              <w:rPr>
                <w:rFonts w:ascii="Helvetica" w:hAnsi="Helvetica" w:cs="Helvetica"/>
                <w:sz w:val="15"/>
                <w:szCs w:val="15"/>
              </w:rPr>
            </w:pPr>
            <w:r w:rsidRPr="007029A0">
              <w:rPr>
                <w:rFonts w:ascii="Helvetica" w:hAnsi="Helvetica" w:cs="Helvetica"/>
                <w:color w:val="000000"/>
                <w:sz w:val="15"/>
                <w:szCs w:val="15"/>
              </w:rPr>
              <w:t>-</w:t>
            </w:r>
          </w:p>
        </w:tc>
      </w:tr>
    </w:tbl>
    <w:p w14:paraId="3D14077C" w14:textId="77777777" w:rsidR="002060E2" w:rsidRPr="0041262C" w:rsidRDefault="002060E2" w:rsidP="004C7417">
      <w:pPr>
        <w:pStyle w:val="E3Heading2"/>
        <w:spacing w:before="360"/>
        <w:jc w:val="both"/>
        <w:rPr>
          <w:rFonts w:ascii="Georgia" w:hAnsi="Georgia"/>
          <w:sz w:val="24"/>
        </w:rPr>
      </w:pPr>
      <w:bookmarkStart w:id="410" w:name="_Toc447533634"/>
      <w:bookmarkStart w:id="411" w:name="_Toc449708808"/>
      <w:bookmarkStart w:id="412" w:name="_Toc494897994"/>
      <w:bookmarkStart w:id="413" w:name="_Toc494955786"/>
      <w:bookmarkStart w:id="414" w:name="_Toc494959594"/>
      <w:bookmarkStart w:id="415" w:name="_Toc494972720"/>
      <w:bookmarkStart w:id="416" w:name="_Toc494973907"/>
      <w:bookmarkStart w:id="417" w:name="_Toc494974596"/>
      <w:bookmarkStart w:id="418" w:name="_Toc500151840"/>
      <w:r w:rsidRPr="0041262C">
        <w:rPr>
          <w:rFonts w:ascii="Georgia" w:hAnsi="Georgia"/>
          <w:sz w:val="24"/>
        </w:rPr>
        <w:lastRenderedPageBreak/>
        <w:t>Cost of improving efficiency with current registered models</w:t>
      </w:r>
      <w:bookmarkEnd w:id="410"/>
      <w:bookmarkEnd w:id="411"/>
      <w:bookmarkEnd w:id="412"/>
      <w:bookmarkEnd w:id="413"/>
      <w:bookmarkEnd w:id="414"/>
      <w:bookmarkEnd w:id="415"/>
      <w:bookmarkEnd w:id="416"/>
      <w:bookmarkEnd w:id="417"/>
      <w:bookmarkEnd w:id="418"/>
    </w:p>
    <w:p w14:paraId="4470025A" w14:textId="77777777" w:rsidR="002060E2" w:rsidRPr="00AC7259" w:rsidRDefault="002060E2" w:rsidP="004C7417">
      <w:pPr>
        <w:pStyle w:val="E3BodyText"/>
        <w:jc w:val="both"/>
      </w:pPr>
      <w:r w:rsidRPr="00AC7259">
        <w:t xml:space="preserve">Improving the MEPS levels has the effect of removing the least energy efficient registered models and encourages suppliers to introduce performance enhancements to satisfy the more onerous MEPS levels.  </w:t>
      </w:r>
    </w:p>
    <w:p w14:paraId="18171C87" w14:textId="77777777" w:rsidR="002060E2" w:rsidRPr="00AC7259" w:rsidRDefault="002060E2" w:rsidP="004C7417">
      <w:pPr>
        <w:pStyle w:val="E3BodyText"/>
        <w:jc w:val="both"/>
      </w:pPr>
      <w:r w:rsidRPr="00AC7259">
        <w:t>If the MEPS levels were made 24% more onerous, around 425 to 440 currently registered models would be affected and become non-compliant. The potential level of efficiency improvement required where approximately 145 of these products (33% of non-compliant products) would require energy efficiency improvements of between 0% and 8%. A</w:t>
      </w:r>
      <w:r>
        <w:t xml:space="preserve"> further </w:t>
      </w:r>
      <w:r w:rsidRPr="00AC7259">
        <w:t xml:space="preserve">145 cabinets would need an improvement of 8% to 16% and the final 145 </w:t>
      </w:r>
      <w:r>
        <w:t xml:space="preserve">would require </w:t>
      </w:r>
      <w:r w:rsidRPr="00AC7259">
        <w:t>more significant improvements of between 16%</w:t>
      </w:r>
      <w:r>
        <w:t xml:space="preserve"> and 24%. The cost of higher level improvements will </w:t>
      </w:r>
      <w:r w:rsidRPr="00AC7259">
        <w:t>vary considerably depending on the type of product and the market it is sold into.</w:t>
      </w:r>
    </w:p>
    <w:p w14:paraId="49AE14C0" w14:textId="77777777" w:rsidR="002060E2" w:rsidRPr="00AC7259" w:rsidRDefault="002060E2" w:rsidP="004C7417">
      <w:pPr>
        <w:pStyle w:val="E3BodyText"/>
        <w:jc w:val="both"/>
      </w:pPr>
      <w:r w:rsidRPr="00AC7259">
        <w:t>One of the objects of MEPS is to drive the lower efficiency refrigeration equipment to adopt the newer more efficient technologies</w:t>
      </w:r>
      <w:r>
        <w:t>.  This means that the greater</w:t>
      </w:r>
      <w:r w:rsidRPr="00AC7259">
        <w:t xml:space="preserve"> the “efficiency gap” </w:t>
      </w:r>
      <w:r>
        <w:t xml:space="preserve">is </w:t>
      </w:r>
      <w:r w:rsidRPr="00AC7259">
        <w:t>between a product and MEPS levels, the higher the cost of bringing the low performing product up to a new standard.</w:t>
      </w:r>
    </w:p>
    <w:p w14:paraId="365EDBF2" w14:textId="77777777" w:rsidR="002060E2" w:rsidRPr="00AC7259" w:rsidRDefault="002060E2" w:rsidP="004C7417">
      <w:pPr>
        <w:pStyle w:val="E3BodyText"/>
        <w:jc w:val="both"/>
      </w:pPr>
      <w:r w:rsidRPr="00AC7259">
        <w:t xml:space="preserve">Overseas studies both in the US and Europe have produced information showing the efficiency improvements and the cost incurred as well as payback periods. However due to the considerable time frames involved in developing this data, technology has moved forward rapidly. The products at the top end of the market tend to be more sophisticated in the technology being incorporated and so in general, </w:t>
      </w:r>
      <w:r>
        <w:t xml:space="preserve">this part of the market has seen the adoption of newer and more </w:t>
      </w:r>
      <w:r w:rsidRPr="00AC7259">
        <w:t>advanced technologies. Those products at the lower end of the market tend to be slower in the uptake of new technology partly in an effort to keep manufacturing and development costs down.</w:t>
      </w:r>
    </w:p>
    <w:p w14:paraId="7028B6B7" w14:textId="77777777" w:rsidR="002060E2" w:rsidRPr="00AC7259" w:rsidRDefault="002060E2" w:rsidP="004C7417">
      <w:pPr>
        <w:pStyle w:val="E3BodyText"/>
        <w:jc w:val="both"/>
      </w:pPr>
      <w:r w:rsidRPr="00AC7259">
        <w:t>Thus some of the claims of the efficiency gains from new technology appear to relate to product</w:t>
      </w:r>
      <w:r>
        <w:t>s that have</w:t>
      </w:r>
      <w:r w:rsidRPr="00AC7259">
        <w:t xml:space="preserve"> been in the market for some time and </w:t>
      </w:r>
      <w:r>
        <w:t xml:space="preserve">are </w:t>
      </w:r>
      <w:r w:rsidRPr="00AC7259">
        <w:t>u</w:t>
      </w:r>
      <w:r>
        <w:t xml:space="preserve">sing less advanced, </w:t>
      </w:r>
      <w:r w:rsidRPr="00AC7259">
        <w:t>lower cost components.</w:t>
      </w:r>
    </w:p>
    <w:p w14:paraId="64F68895" w14:textId="461A21D8" w:rsidR="00E50722" w:rsidRDefault="002060E2" w:rsidP="004C7417">
      <w:pPr>
        <w:pStyle w:val="E3BodyText"/>
        <w:jc w:val="both"/>
      </w:pPr>
      <w:r>
        <w:t>LED lighting that by</w:t>
      </w:r>
      <w:r w:rsidRPr="00AC7259">
        <w:t xml:space="preserve"> necessity uses electronic power supplies is a case in point. As an example</w:t>
      </w:r>
      <w:r>
        <w:t>,</w:t>
      </w:r>
      <w:r w:rsidRPr="00AC7259">
        <w:t xml:space="preserve"> fluorescent lighting with smaller diameter higher efficacy lamps powered by electronic ballasts has been widely used for some time in sectors of the refrigerated display cabinet market in Australia and New Zealand</w:t>
      </w:r>
      <w:r>
        <w:t xml:space="preserve">, while </w:t>
      </w:r>
      <w:r w:rsidRPr="00AC7259">
        <w:t xml:space="preserve">other sectors still use magnetic ballasts and large diameter fluorescent lamps.  Upgrading from older and less expensive technologies to LEDs will be a greater cost step then upgrading from T5 to LEDs, see </w:t>
      </w:r>
      <w:r w:rsidRPr="00AC7259">
        <w:rPr>
          <w:b/>
        </w:rPr>
        <w:fldChar w:fldCharType="begin"/>
      </w:r>
      <w:r w:rsidRPr="00AC7259">
        <w:rPr>
          <w:b/>
        </w:rPr>
        <w:instrText xml:space="preserve"> REF _Ref450032742 \h  \* MERGEFORMAT </w:instrText>
      </w:r>
      <w:r w:rsidRPr="00AC7259">
        <w:rPr>
          <w:b/>
        </w:rPr>
      </w:r>
      <w:r w:rsidRPr="00AC7259">
        <w:rPr>
          <w:b/>
        </w:rPr>
        <w:fldChar w:fldCharType="separate"/>
      </w:r>
      <w:r w:rsidR="00D51B4B" w:rsidRPr="00D51B4B">
        <w:rPr>
          <w:b/>
        </w:rPr>
        <w:t xml:space="preserve">Table D </w:t>
      </w:r>
      <w:r w:rsidR="00D51B4B" w:rsidRPr="00D51B4B">
        <w:rPr>
          <w:b/>
          <w:noProof/>
        </w:rPr>
        <w:t>6</w:t>
      </w:r>
      <w:r w:rsidRPr="00AC7259">
        <w:rPr>
          <w:b/>
        </w:rPr>
        <w:fldChar w:fldCharType="end"/>
      </w:r>
      <w:r w:rsidRPr="00AC7259">
        <w:t xml:space="preserve"> below.</w:t>
      </w:r>
    </w:p>
    <w:p w14:paraId="73912FE9" w14:textId="77777777" w:rsidR="00E50722" w:rsidRDefault="00E50722">
      <w:pPr>
        <w:spacing w:after="0" w:line="240" w:lineRule="auto"/>
        <w:rPr>
          <w:rFonts w:eastAsia="Calibri" w:cs="Georgia"/>
          <w:color w:val="000000"/>
          <w:sz w:val="24"/>
          <w:szCs w:val="19"/>
          <w:lang w:val="en-US"/>
        </w:rPr>
      </w:pPr>
      <w:r>
        <w:br w:type="page"/>
      </w:r>
    </w:p>
    <w:p w14:paraId="60E2B0F1" w14:textId="10ED8649" w:rsidR="002060E2" w:rsidRPr="00F428D8" w:rsidRDefault="002060E2" w:rsidP="002060E2">
      <w:pPr>
        <w:pStyle w:val="E3TableTitles"/>
        <w:spacing w:before="100" w:beforeAutospacing="1"/>
      </w:pPr>
      <w:bookmarkStart w:id="419" w:name="_Ref450032742"/>
      <w:bookmarkStart w:id="420" w:name="_Toc449708982"/>
      <w:bookmarkStart w:id="421" w:name="_Toc456164780"/>
      <w:bookmarkStart w:id="422" w:name="_Toc500159678"/>
      <w:r>
        <w:lastRenderedPageBreak/>
        <w:t xml:space="preserve">Table D </w:t>
      </w:r>
      <w:r>
        <w:fldChar w:fldCharType="begin"/>
      </w:r>
      <w:r>
        <w:instrText xml:space="preserve"> SEQ Table_D \* ARABIC </w:instrText>
      </w:r>
      <w:r>
        <w:fldChar w:fldCharType="separate"/>
      </w:r>
      <w:r w:rsidR="00D51B4B">
        <w:rPr>
          <w:noProof/>
        </w:rPr>
        <w:t>6</w:t>
      </w:r>
      <w:r>
        <w:rPr>
          <w:noProof/>
        </w:rPr>
        <w:fldChar w:fldCharType="end"/>
      </w:r>
      <w:bookmarkEnd w:id="419"/>
      <w:r w:rsidRPr="002705A4">
        <w:t>: Energy efficiency and technology upgrade potential of fan motors and cabinet lighting</w:t>
      </w:r>
      <w:bookmarkEnd w:id="420"/>
      <w:bookmarkEnd w:id="421"/>
      <w:bookmarkEnd w:id="42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838"/>
        <w:gridCol w:w="7003"/>
      </w:tblGrid>
      <w:tr w:rsidR="002060E2" w14:paraId="1E7CB284" w14:textId="77777777" w:rsidTr="002060E2">
        <w:trPr>
          <w:trHeight w:val="20"/>
        </w:trPr>
        <w:tc>
          <w:tcPr>
            <w:tcW w:w="1701" w:type="dxa"/>
            <w:shd w:val="clear" w:color="auto" w:fill="000000"/>
          </w:tcPr>
          <w:p w14:paraId="73AAEE35" w14:textId="77777777" w:rsidR="002060E2" w:rsidRDefault="002060E2" w:rsidP="002060E2">
            <w:pPr>
              <w:pStyle w:val="E3TableHeading"/>
            </w:pPr>
            <w:r>
              <w:t>Product</w:t>
            </w:r>
          </w:p>
        </w:tc>
        <w:tc>
          <w:tcPr>
            <w:tcW w:w="8039" w:type="dxa"/>
            <w:gridSpan w:val="2"/>
            <w:shd w:val="clear" w:color="auto" w:fill="000000"/>
          </w:tcPr>
          <w:p w14:paraId="7F814D3A" w14:textId="77777777" w:rsidR="002060E2" w:rsidRDefault="002060E2" w:rsidP="002060E2">
            <w:pPr>
              <w:pStyle w:val="E3TableHeading"/>
            </w:pPr>
            <w:r>
              <w:t>Technological improvements</w:t>
            </w:r>
          </w:p>
        </w:tc>
      </w:tr>
      <w:tr w:rsidR="002060E2" w14:paraId="04C656A4" w14:textId="77777777" w:rsidTr="002060E2">
        <w:trPr>
          <w:trHeight w:val="20"/>
        </w:trPr>
        <w:tc>
          <w:tcPr>
            <w:tcW w:w="1701" w:type="dxa"/>
            <w:vMerge w:val="restart"/>
            <w:vAlign w:val="center"/>
          </w:tcPr>
          <w:p w14:paraId="30D942F4" w14:textId="77777777" w:rsidR="002060E2" w:rsidRDefault="002060E2" w:rsidP="002060E2">
            <w:pPr>
              <w:pStyle w:val="E3TableHeading"/>
            </w:pPr>
            <w:r>
              <w:t>Fan motors</w:t>
            </w:r>
          </w:p>
        </w:tc>
        <w:tc>
          <w:tcPr>
            <w:tcW w:w="851" w:type="dxa"/>
            <w:vAlign w:val="center"/>
          </w:tcPr>
          <w:p w14:paraId="19EA4BAE" w14:textId="77777777" w:rsidR="002060E2" w:rsidRPr="0041262C" w:rsidRDefault="002060E2" w:rsidP="002060E2">
            <w:pPr>
              <w:pStyle w:val="E3tabletext1"/>
              <w:rPr>
                <w:rFonts w:ascii="Wingdings" w:hAnsi="Wingdings" w:cs="Helvetica"/>
                <w:sz w:val="15"/>
                <w:szCs w:val="15"/>
              </w:rPr>
            </w:pPr>
          </w:p>
        </w:tc>
        <w:tc>
          <w:tcPr>
            <w:tcW w:w="7188" w:type="dxa"/>
            <w:vAlign w:val="center"/>
          </w:tcPr>
          <w:p w14:paraId="4C661F29"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Shaded Pole</w:t>
            </w:r>
          </w:p>
        </w:tc>
      </w:tr>
      <w:tr w:rsidR="002060E2" w14:paraId="396D5522" w14:textId="77777777" w:rsidTr="002060E2">
        <w:trPr>
          <w:trHeight w:val="20"/>
        </w:trPr>
        <w:tc>
          <w:tcPr>
            <w:tcW w:w="1701" w:type="dxa"/>
            <w:vMerge/>
            <w:vAlign w:val="center"/>
          </w:tcPr>
          <w:p w14:paraId="47F696E3" w14:textId="77777777" w:rsidR="002060E2" w:rsidRDefault="002060E2" w:rsidP="002060E2">
            <w:pPr>
              <w:pStyle w:val="E3TableHeading"/>
            </w:pPr>
          </w:p>
        </w:tc>
        <w:tc>
          <w:tcPr>
            <w:tcW w:w="851" w:type="dxa"/>
            <w:vAlign w:val="center"/>
          </w:tcPr>
          <w:p w14:paraId="5A075CFA" w14:textId="77777777" w:rsidR="002060E2" w:rsidRPr="0041262C" w:rsidRDefault="002060E2" w:rsidP="002060E2">
            <w:pPr>
              <w:pStyle w:val="E3tabletext1"/>
              <w:rPr>
                <w:rFonts w:ascii="Wingdings" w:hAnsi="Wingdings" w:cs="Helvetica"/>
                <w:sz w:val="15"/>
                <w:szCs w:val="15"/>
              </w:rPr>
            </w:pPr>
            <w:r w:rsidRPr="0041262C">
              <w:rPr>
                <w:rFonts w:ascii="Wingdings" w:hAnsi="Wingdings" w:cs="Helvetica"/>
                <w:sz w:val="15"/>
                <w:szCs w:val="15"/>
              </w:rPr>
              <w:t></w:t>
            </w:r>
          </w:p>
        </w:tc>
        <w:tc>
          <w:tcPr>
            <w:tcW w:w="7188" w:type="dxa"/>
            <w:vAlign w:val="center"/>
          </w:tcPr>
          <w:p w14:paraId="6786CCD7"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Permanent Split Capacitor (PSC)</w:t>
            </w:r>
          </w:p>
        </w:tc>
      </w:tr>
      <w:tr w:rsidR="002060E2" w14:paraId="61CB2D40" w14:textId="77777777" w:rsidTr="002060E2">
        <w:trPr>
          <w:trHeight w:val="20"/>
        </w:trPr>
        <w:tc>
          <w:tcPr>
            <w:tcW w:w="1701" w:type="dxa"/>
            <w:vMerge/>
            <w:vAlign w:val="center"/>
          </w:tcPr>
          <w:p w14:paraId="3267CAF3" w14:textId="77777777" w:rsidR="002060E2" w:rsidRDefault="002060E2" w:rsidP="002060E2">
            <w:pPr>
              <w:pStyle w:val="E3TableHeading"/>
            </w:pPr>
          </w:p>
        </w:tc>
        <w:tc>
          <w:tcPr>
            <w:tcW w:w="851" w:type="dxa"/>
            <w:vAlign w:val="center"/>
          </w:tcPr>
          <w:p w14:paraId="52E19EB3" w14:textId="77777777" w:rsidR="002060E2" w:rsidRPr="0041262C" w:rsidRDefault="002060E2" w:rsidP="002060E2">
            <w:pPr>
              <w:pStyle w:val="E3tabletext1"/>
              <w:rPr>
                <w:rFonts w:ascii="Wingdings" w:hAnsi="Wingdings" w:cs="Helvetica"/>
                <w:sz w:val="15"/>
                <w:szCs w:val="15"/>
              </w:rPr>
            </w:pPr>
            <w:r w:rsidRPr="0041262C">
              <w:rPr>
                <w:rFonts w:ascii="Wingdings" w:hAnsi="Wingdings" w:cs="Helvetica"/>
                <w:sz w:val="15"/>
                <w:szCs w:val="15"/>
              </w:rPr>
              <w:t></w:t>
            </w:r>
          </w:p>
        </w:tc>
        <w:tc>
          <w:tcPr>
            <w:tcW w:w="7188" w:type="dxa"/>
            <w:vAlign w:val="center"/>
          </w:tcPr>
          <w:p w14:paraId="34920B60"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Electronically commutated (EC) or Brushless dc (BLDC)</w:t>
            </w:r>
          </w:p>
        </w:tc>
      </w:tr>
      <w:tr w:rsidR="002060E2" w14:paraId="26EFB5A9" w14:textId="77777777" w:rsidTr="002060E2">
        <w:trPr>
          <w:trHeight w:val="20"/>
        </w:trPr>
        <w:tc>
          <w:tcPr>
            <w:tcW w:w="9740" w:type="dxa"/>
            <w:gridSpan w:val="3"/>
            <w:shd w:val="clear" w:color="auto" w:fill="D9D9D9" w:themeFill="background1" w:themeFillShade="D9"/>
            <w:vAlign w:val="center"/>
          </w:tcPr>
          <w:p w14:paraId="4A93E61D" w14:textId="77777777" w:rsidR="002060E2" w:rsidRPr="00CD2BF0" w:rsidRDefault="002060E2" w:rsidP="002060E2">
            <w:pPr>
              <w:pStyle w:val="E3TableHeading"/>
              <w:rPr>
                <w:rFonts w:ascii="Wingdings" w:hAnsi="Wingdings"/>
              </w:rPr>
            </w:pPr>
          </w:p>
        </w:tc>
      </w:tr>
      <w:tr w:rsidR="002060E2" w14:paraId="689EAF4E" w14:textId="77777777" w:rsidTr="002060E2">
        <w:trPr>
          <w:trHeight w:val="20"/>
        </w:trPr>
        <w:tc>
          <w:tcPr>
            <w:tcW w:w="1701" w:type="dxa"/>
            <w:vMerge w:val="restart"/>
            <w:vAlign w:val="center"/>
          </w:tcPr>
          <w:p w14:paraId="5518E70A" w14:textId="77777777" w:rsidR="002060E2" w:rsidRDefault="002060E2" w:rsidP="002060E2">
            <w:pPr>
              <w:pStyle w:val="E3TableHeading"/>
            </w:pPr>
            <w:r>
              <w:t>Cabinet lighting</w:t>
            </w:r>
          </w:p>
        </w:tc>
        <w:tc>
          <w:tcPr>
            <w:tcW w:w="851" w:type="dxa"/>
            <w:vAlign w:val="center"/>
          </w:tcPr>
          <w:p w14:paraId="376451E3" w14:textId="77777777" w:rsidR="002060E2" w:rsidRPr="0041262C" w:rsidRDefault="002060E2" w:rsidP="002060E2">
            <w:pPr>
              <w:pStyle w:val="E3tabletext1"/>
              <w:rPr>
                <w:rFonts w:ascii="Wingdings" w:hAnsi="Wingdings" w:cs="Helvetica"/>
                <w:sz w:val="15"/>
                <w:szCs w:val="15"/>
              </w:rPr>
            </w:pPr>
          </w:p>
        </w:tc>
        <w:tc>
          <w:tcPr>
            <w:tcW w:w="7188" w:type="dxa"/>
            <w:vAlign w:val="center"/>
          </w:tcPr>
          <w:p w14:paraId="1EA6307B"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T12 (38 mm diameter) fluorescent lamps with magnetic ballasts</w:t>
            </w:r>
          </w:p>
        </w:tc>
      </w:tr>
      <w:tr w:rsidR="002060E2" w14:paraId="1A9F63CA" w14:textId="77777777" w:rsidTr="002060E2">
        <w:trPr>
          <w:trHeight w:val="20"/>
        </w:trPr>
        <w:tc>
          <w:tcPr>
            <w:tcW w:w="1701" w:type="dxa"/>
            <w:vMerge/>
            <w:vAlign w:val="center"/>
          </w:tcPr>
          <w:p w14:paraId="2AB82E43" w14:textId="77777777" w:rsidR="002060E2" w:rsidRPr="0041262C" w:rsidRDefault="002060E2" w:rsidP="002060E2">
            <w:pPr>
              <w:pStyle w:val="E3tabletext1"/>
              <w:rPr>
                <w:rFonts w:ascii="Helvetica" w:hAnsi="Helvetica" w:cs="Helvetica"/>
                <w:sz w:val="15"/>
                <w:szCs w:val="15"/>
              </w:rPr>
            </w:pPr>
          </w:p>
        </w:tc>
        <w:tc>
          <w:tcPr>
            <w:tcW w:w="851" w:type="dxa"/>
            <w:vAlign w:val="center"/>
          </w:tcPr>
          <w:p w14:paraId="76D37B88" w14:textId="77777777" w:rsidR="002060E2" w:rsidRPr="0041262C" w:rsidRDefault="002060E2" w:rsidP="002060E2">
            <w:pPr>
              <w:pStyle w:val="E3tabletext1"/>
              <w:rPr>
                <w:rFonts w:ascii="Wingdings" w:hAnsi="Wingdings" w:cs="Helvetica"/>
                <w:sz w:val="15"/>
                <w:szCs w:val="15"/>
              </w:rPr>
            </w:pPr>
            <w:r w:rsidRPr="0041262C">
              <w:rPr>
                <w:rFonts w:ascii="Wingdings" w:hAnsi="Wingdings" w:cs="Helvetica"/>
                <w:sz w:val="15"/>
                <w:szCs w:val="15"/>
              </w:rPr>
              <w:t></w:t>
            </w:r>
          </w:p>
        </w:tc>
        <w:tc>
          <w:tcPr>
            <w:tcW w:w="7188" w:type="dxa"/>
            <w:vAlign w:val="center"/>
          </w:tcPr>
          <w:p w14:paraId="2A36FD47"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T8 (25 mm diameter) fluorescent lamps with magnetic ballasts</w:t>
            </w:r>
          </w:p>
        </w:tc>
      </w:tr>
      <w:tr w:rsidR="002060E2" w14:paraId="58252ECE" w14:textId="77777777" w:rsidTr="002060E2">
        <w:trPr>
          <w:trHeight w:val="20"/>
        </w:trPr>
        <w:tc>
          <w:tcPr>
            <w:tcW w:w="1701" w:type="dxa"/>
            <w:vMerge/>
            <w:vAlign w:val="center"/>
          </w:tcPr>
          <w:p w14:paraId="6FC3EB6F" w14:textId="77777777" w:rsidR="002060E2" w:rsidRPr="0041262C" w:rsidRDefault="002060E2" w:rsidP="002060E2">
            <w:pPr>
              <w:pStyle w:val="E3tabletext1"/>
              <w:rPr>
                <w:rFonts w:ascii="Helvetica" w:hAnsi="Helvetica" w:cs="Helvetica"/>
                <w:sz w:val="15"/>
                <w:szCs w:val="15"/>
              </w:rPr>
            </w:pPr>
          </w:p>
        </w:tc>
        <w:tc>
          <w:tcPr>
            <w:tcW w:w="851" w:type="dxa"/>
            <w:vAlign w:val="center"/>
          </w:tcPr>
          <w:p w14:paraId="4A2C0439" w14:textId="77777777" w:rsidR="002060E2" w:rsidRPr="0041262C" w:rsidRDefault="002060E2" w:rsidP="002060E2">
            <w:pPr>
              <w:pStyle w:val="E3tabletext1"/>
              <w:rPr>
                <w:rFonts w:ascii="Wingdings" w:hAnsi="Wingdings" w:cs="Helvetica"/>
                <w:sz w:val="15"/>
                <w:szCs w:val="15"/>
              </w:rPr>
            </w:pPr>
            <w:r w:rsidRPr="0041262C">
              <w:rPr>
                <w:rFonts w:ascii="Wingdings" w:hAnsi="Wingdings" w:cs="Helvetica"/>
                <w:sz w:val="15"/>
                <w:szCs w:val="15"/>
              </w:rPr>
              <w:t></w:t>
            </w:r>
          </w:p>
        </w:tc>
        <w:tc>
          <w:tcPr>
            <w:tcW w:w="7188" w:type="dxa"/>
            <w:vAlign w:val="center"/>
          </w:tcPr>
          <w:p w14:paraId="15AAE523"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T8 (25 mm diameter) fluorescent lamps with energy efficient magnetic ballasts</w:t>
            </w:r>
          </w:p>
        </w:tc>
      </w:tr>
      <w:tr w:rsidR="002060E2" w14:paraId="21D126F9" w14:textId="77777777" w:rsidTr="002060E2">
        <w:trPr>
          <w:trHeight w:val="20"/>
        </w:trPr>
        <w:tc>
          <w:tcPr>
            <w:tcW w:w="1701" w:type="dxa"/>
            <w:vMerge/>
            <w:vAlign w:val="center"/>
          </w:tcPr>
          <w:p w14:paraId="25816C6E" w14:textId="77777777" w:rsidR="002060E2" w:rsidRPr="0041262C" w:rsidRDefault="002060E2" w:rsidP="002060E2">
            <w:pPr>
              <w:pStyle w:val="E3tabletext1"/>
              <w:rPr>
                <w:rFonts w:ascii="Helvetica" w:hAnsi="Helvetica" w:cs="Helvetica"/>
                <w:sz w:val="15"/>
                <w:szCs w:val="15"/>
              </w:rPr>
            </w:pPr>
          </w:p>
        </w:tc>
        <w:tc>
          <w:tcPr>
            <w:tcW w:w="851" w:type="dxa"/>
            <w:vAlign w:val="center"/>
          </w:tcPr>
          <w:p w14:paraId="71297866" w14:textId="77777777" w:rsidR="002060E2" w:rsidRPr="0041262C" w:rsidRDefault="002060E2" w:rsidP="002060E2">
            <w:pPr>
              <w:pStyle w:val="E3tabletext1"/>
              <w:rPr>
                <w:rFonts w:ascii="Wingdings" w:hAnsi="Wingdings" w:cs="Helvetica"/>
                <w:sz w:val="15"/>
                <w:szCs w:val="15"/>
              </w:rPr>
            </w:pPr>
            <w:r w:rsidRPr="0041262C">
              <w:rPr>
                <w:rFonts w:ascii="Wingdings" w:hAnsi="Wingdings" w:cs="Helvetica"/>
                <w:sz w:val="15"/>
                <w:szCs w:val="15"/>
              </w:rPr>
              <w:t></w:t>
            </w:r>
          </w:p>
        </w:tc>
        <w:tc>
          <w:tcPr>
            <w:tcW w:w="7188" w:type="dxa"/>
            <w:vAlign w:val="center"/>
          </w:tcPr>
          <w:p w14:paraId="5EFCC2FC"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T8 (25 mm diameter) fluorescent lamps with electronic control gear</w:t>
            </w:r>
          </w:p>
        </w:tc>
      </w:tr>
      <w:tr w:rsidR="002060E2" w14:paraId="25031825" w14:textId="77777777" w:rsidTr="002060E2">
        <w:trPr>
          <w:trHeight w:val="20"/>
        </w:trPr>
        <w:tc>
          <w:tcPr>
            <w:tcW w:w="1701" w:type="dxa"/>
            <w:vMerge/>
            <w:vAlign w:val="center"/>
          </w:tcPr>
          <w:p w14:paraId="6FD0E7BC" w14:textId="77777777" w:rsidR="002060E2" w:rsidRPr="0041262C" w:rsidRDefault="002060E2" w:rsidP="002060E2">
            <w:pPr>
              <w:pStyle w:val="E3tabletext1"/>
              <w:rPr>
                <w:rFonts w:ascii="Helvetica" w:hAnsi="Helvetica" w:cs="Helvetica"/>
                <w:sz w:val="15"/>
                <w:szCs w:val="15"/>
              </w:rPr>
            </w:pPr>
          </w:p>
        </w:tc>
        <w:tc>
          <w:tcPr>
            <w:tcW w:w="851" w:type="dxa"/>
            <w:vAlign w:val="center"/>
          </w:tcPr>
          <w:p w14:paraId="3C5709DD" w14:textId="77777777" w:rsidR="002060E2" w:rsidRPr="0041262C" w:rsidRDefault="002060E2" w:rsidP="002060E2">
            <w:pPr>
              <w:pStyle w:val="E3tabletext1"/>
              <w:rPr>
                <w:rFonts w:ascii="Wingdings" w:hAnsi="Wingdings" w:cs="Helvetica"/>
                <w:sz w:val="15"/>
                <w:szCs w:val="15"/>
              </w:rPr>
            </w:pPr>
            <w:r w:rsidRPr="0041262C">
              <w:rPr>
                <w:rFonts w:ascii="Wingdings" w:hAnsi="Wingdings" w:cs="Helvetica"/>
                <w:sz w:val="15"/>
                <w:szCs w:val="15"/>
              </w:rPr>
              <w:t></w:t>
            </w:r>
          </w:p>
        </w:tc>
        <w:tc>
          <w:tcPr>
            <w:tcW w:w="7188" w:type="dxa"/>
            <w:vAlign w:val="center"/>
          </w:tcPr>
          <w:p w14:paraId="722232C8"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T5 (16 mm diameter) fluorescent lamps with electronic control gear</w:t>
            </w:r>
          </w:p>
        </w:tc>
      </w:tr>
      <w:tr w:rsidR="002060E2" w14:paraId="5092118B" w14:textId="77777777" w:rsidTr="002060E2">
        <w:trPr>
          <w:trHeight w:val="20"/>
        </w:trPr>
        <w:tc>
          <w:tcPr>
            <w:tcW w:w="1701" w:type="dxa"/>
            <w:vMerge/>
            <w:vAlign w:val="center"/>
          </w:tcPr>
          <w:p w14:paraId="02C21617" w14:textId="77777777" w:rsidR="002060E2" w:rsidRPr="0041262C" w:rsidRDefault="002060E2" w:rsidP="002060E2">
            <w:pPr>
              <w:pStyle w:val="E3tabletext1"/>
              <w:rPr>
                <w:rFonts w:ascii="Helvetica" w:hAnsi="Helvetica" w:cs="Helvetica"/>
                <w:sz w:val="15"/>
                <w:szCs w:val="15"/>
              </w:rPr>
            </w:pPr>
          </w:p>
        </w:tc>
        <w:tc>
          <w:tcPr>
            <w:tcW w:w="851" w:type="dxa"/>
            <w:vAlign w:val="center"/>
          </w:tcPr>
          <w:p w14:paraId="6AD6313E" w14:textId="77777777" w:rsidR="002060E2" w:rsidRPr="0041262C" w:rsidRDefault="002060E2" w:rsidP="002060E2">
            <w:pPr>
              <w:pStyle w:val="E3tabletext1"/>
              <w:rPr>
                <w:rFonts w:ascii="Wingdings" w:hAnsi="Wingdings" w:cs="Helvetica"/>
                <w:sz w:val="15"/>
                <w:szCs w:val="15"/>
              </w:rPr>
            </w:pPr>
            <w:r w:rsidRPr="0041262C">
              <w:rPr>
                <w:rFonts w:ascii="Wingdings" w:hAnsi="Wingdings" w:cs="Helvetica"/>
                <w:sz w:val="15"/>
                <w:szCs w:val="15"/>
              </w:rPr>
              <w:t></w:t>
            </w:r>
          </w:p>
        </w:tc>
        <w:tc>
          <w:tcPr>
            <w:tcW w:w="7188" w:type="dxa"/>
            <w:vAlign w:val="center"/>
          </w:tcPr>
          <w:p w14:paraId="362BFCE8" w14:textId="77777777" w:rsidR="002060E2" w:rsidRPr="0041262C" w:rsidRDefault="002060E2" w:rsidP="002060E2">
            <w:pPr>
              <w:pStyle w:val="E3tabletext1"/>
              <w:rPr>
                <w:rFonts w:ascii="Helvetica" w:hAnsi="Helvetica" w:cs="Helvetica"/>
                <w:sz w:val="15"/>
                <w:szCs w:val="15"/>
              </w:rPr>
            </w:pPr>
            <w:r w:rsidRPr="0041262C">
              <w:rPr>
                <w:rFonts w:ascii="Helvetica" w:hAnsi="Helvetica" w:cs="Helvetica"/>
                <w:sz w:val="15"/>
                <w:szCs w:val="15"/>
              </w:rPr>
              <w:t>LED lamps with electronic control gear</w:t>
            </w:r>
          </w:p>
        </w:tc>
      </w:tr>
    </w:tbl>
    <w:p w14:paraId="0EB7E35B" w14:textId="77777777" w:rsidR="002060E2" w:rsidRDefault="002060E2" w:rsidP="002060E2">
      <w:pPr>
        <w:pStyle w:val="E3Caption"/>
        <w:numPr>
          <w:ilvl w:val="0"/>
          <w:numId w:val="49"/>
        </w:numPr>
        <w:spacing w:before="60" w:after="120"/>
      </w:pPr>
      <w:r>
        <w:t xml:space="preserve">In </w:t>
      </w:r>
      <w:r w:rsidRPr="000D518E">
        <w:t>2003 MEPS was introduced into AU and NZ for fluorescent lamp ballasts.</w:t>
      </w:r>
    </w:p>
    <w:p w14:paraId="3F99D614" w14:textId="77777777" w:rsidR="002060E2" w:rsidRPr="000D518E" w:rsidRDefault="002060E2" w:rsidP="002060E2">
      <w:pPr>
        <w:pStyle w:val="E3Caption"/>
        <w:numPr>
          <w:ilvl w:val="0"/>
          <w:numId w:val="49"/>
        </w:numPr>
        <w:spacing w:before="60" w:after="120"/>
      </w:pPr>
      <w:r w:rsidRPr="000D518E">
        <w:t>In 2004 MEPS was introduced into AU and NZ for fluorescent lamps</w:t>
      </w:r>
      <w:r>
        <w:t>.</w:t>
      </w:r>
    </w:p>
    <w:p w14:paraId="0BB683B4" w14:textId="77777777" w:rsidR="002060E2" w:rsidRDefault="002060E2" w:rsidP="002060E2"/>
    <w:p w14:paraId="2C36EAB2" w14:textId="77777777" w:rsidR="004C7417" w:rsidRDefault="004C7417" w:rsidP="002060E2">
      <w:pPr>
        <w:pStyle w:val="E3BodyText"/>
      </w:pPr>
    </w:p>
    <w:p w14:paraId="73E739F9" w14:textId="67E08ABA" w:rsidR="002060E2" w:rsidRPr="00AC7259" w:rsidRDefault="002060E2" w:rsidP="004C7417">
      <w:pPr>
        <w:pStyle w:val="E3BodyText"/>
        <w:jc w:val="both"/>
      </w:pPr>
      <w:r w:rsidRPr="00AC7259">
        <w:t>This is similar to the scenario with electric motors driving fans. EC and brushless DC motors are now widely used both as original equipment and in the replacement market. In some instances these are taking the place of low efficiency, lower cost, shaded pole motors</w:t>
      </w:r>
      <w:r>
        <w:t xml:space="preserve">. However </w:t>
      </w:r>
      <w:r w:rsidRPr="00AC7259">
        <w:t xml:space="preserve">in other </w:t>
      </w:r>
      <w:r>
        <w:t xml:space="preserve">cases </w:t>
      </w:r>
      <w:r w:rsidRPr="00AC7259">
        <w:t xml:space="preserve">suppliers had already moved to more efficient motors such as PSC motors, thus an EC motor does not bring the same efficiency gains. </w:t>
      </w:r>
    </w:p>
    <w:p w14:paraId="08A7FE65" w14:textId="77777777" w:rsidR="002060E2" w:rsidRPr="0041262C" w:rsidRDefault="002060E2" w:rsidP="004C7417">
      <w:pPr>
        <w:pStyle w:val="E3Heading2"/>
        <w:jc w:val="both"/>
        <w:rPr>
          <w:rFonts w:ascii="Georgia" w:hAnsi="Georgia"/>
          <w:sz w:val="24"/>
        </w:rPr>
      </w:pPr>
      <w:bookmarkStart w:id="423" w:name="_Toc447533635"/>
      <w:bookmarkStart w:id="424" w:name="_Toc449708809"/>
      <w:bookmarkStart w:id="425" w:name="_Toc494897995"/>
      <w:bookmarkStart w:id="426" w:name="_Toc494955787"/>
      <w:bookmarkStart w:id="427" w:name="_Toc494959595"/>
      <w:bookmarkStart w:id="428" w:name="_Toc494972721"/>
      <w:bookmarkStart w:id="429" w:name="_Toc494973908"/>
      <w:bookmarkStart w:id="430" w:name="_Toc494974597"/>
      <w:bookmarkStart w:id="431" w:name="_Toc500151841"/>
      <w:r w:rsidRPr="0041262C">
        <w:rPr>
          <w:rFonts w:ascii="Georgia" w:hAnsi="Georgia"/>
          <w:sz w:val="24"/>
        </w:rPr>
        <w:t>Assumptions relating to cost of efficiency improvement</w:t>
      </w:r>
      <w:bookmarkEnd w:id="423"/>
      <w:bookmarkEnd w:id="424"/>
      <w:bookmarkEnd w:id="425"/>
      <w:bookmarkEnd w:id="426"/>
      <w:bookmarkEnd w:id="427"/>
      <w:bookmarkEnd w:id="428"/>
      <w:bookmarkEnd w:id="429"/>
      <w:bookmarkEnd w:id="430"/>
      <w:bookmarkEnd w:id="431"/>
    </w:p>
    <w:p w14:paraId="2FD722C3" w14:textId="77777777" w:rsidR="002060E2" w:rsidRPr="00DA7667" w:rsidRDefault="002060E2" w:rsidP="004C7417">
      <w:pPr>
        <w:pStyle w:val="E3BodyText"/>
        <w:jc w:val="both"/>
      </w:pPr>
      <w:r w:rsidRPr="00DA7667">
        <w:t>The costs of components incorporated into a refrigerated cabinet are subject to a number of variables that can have a considerable effect on price. These include:</w:t>
      </w:r>
    </w:p>
    <w:p w14:paraId="6B5D63E9" w14:textId="77777777" w:rsidR="002060E2" w:rsidRPr="00DA7667" w:rsidRDefault="002060E2" w:rsidP="004C7417">
      <w:pPr>
        <w:pStyle w:val="E3SubSubBullets"/>
        <w:jc w:val="both"/>
      </w:pPr>
      <w:r w:rsidRPr="00DA7667">
        <w:t>Buying power of the purchaser</w:t>
      </w:r>
      <w:r>
        <w:t>.</w:t>
      </w:r>
    </w:p>
    <w:p w14:paraId="78CED003" w14:textId="77777777" w:rsidR="002060E2" w:rsidRPr="00AC7259" w:rsidRDefault="002060E2" w:rsidP="004C7417">
      <w:pPr>
        <w:pStyle w:val="E3SubSubBullets"/>
        <w:jc w:val="both"/>
      </w:pPr>
      <w:r w:rsidRPr="00AC7259">
        <w:t>Quantity purchased</w:t>
      </w:r>
      <w:r>
        <w:t>.</w:t>
      </w:r>
    </w:p>
    <w:p w14:paraId="310EF25C" w14:textId="77777777" w:rsidR="002060E2" w:rsidRPr="00AC7259" w:rsidRDefault="002060E2" w:rsidP="004C7417">
      <w:pPr>
        <w:pStyle w:val="E3SubSubBullets"/>
        <w:jc w:val="both"/>
      </w:pPr>
      <w:r w:rsidRPr="00AC7259">
        <w:t>Source of supply</w:t>
      </w:r>
      <w:r>
        <w:t>.</w:t>
      </w:r>
    </w:p>
    <w:p w14:paraId="25748339" w14:textId="77777777" w:rsidR="002060E2" w:rsidRPr="00AC7259" w:rsidRDefault="002060E2" w:rsidP="004C7417">
      <w:pPr>
        <w:pStyle w:val="E3SubSubBullets"/>
        <w:jc w:val="both"/>
      </w:pPr>
      <w:r w:rsidRPr="00AC7259">
        <w:t>Size, duty and capacity of the component</w:t>
      </w:r>
      <w:r>
        <w:t>.</w:t>
      </w:r>
      <w:r w:rsidRPr="00AC7259">
        <w:t xml:space="preserve"> </w:t>
      </w:r>
    </w:p>
    <w:p w14:paraId="01DAE658" w14:textId="77777777" w:rsidR="002060E2" w:rsidRPr="00AC7259" w:rsidRDefault="002060E2" w:rsidP="004C7417">
      <w:pPr>
        <w:pStyle w:val="E3SubSubBullets"/>
        <w:jc w:val="both"/>
      </w:pPr>
      <w:r w:rsidRPr="00AC7259">
        <w:t>Maturity of the technology</w:t>
      </w:r>
      <w:r>
        <w:t>.</w:t>
      </w:r>
      <w:r w:rsidRPr="00AC7259">
        <w:t xml:space="preserve"> </w:t>
      </w:r>
    </w:p>
    <w:p w14:paraId="45C38021" w14:textId="77777777" w:rsidR="002060E2" w:rsidRPr="00AC7259" w:rsidRDefault="002060E2" w:rsidP="004C7417">
      <w:pPr>
        <w:pStyle w:val="E3SubSubBullets"/>
        <w:jc w:val="both"/>
      </w:pPr>
      <w:r w:rsidRPr="00AC7259">
        <w:t>Development cost in applying the technology</w:t>
      </w:r>
      <w:r>
        <w:t>.</w:t>
      </w:r>
    </w:p>
    <w:p w14:paraId="78175ABD" w14:textId="77777777" w:rsidR="002060E2" w:rsidRPr="00AC7259" w:rsidRDefault="002060E2" w:rsidP="004C7417">
      <w:pPr>
        <w:pStyle w:val="E3SubSubBullets"/>
        <w:jc w:val="both"/>
      </w:pPr>
      <w:r w:rsidRPr="00AC7259">
        <w:t>Testing costs</w:t>
      </w:r>
      <w:r>
        <w:t>.</w:t>
      </w:r>
    </w:p>
    <w:p w14:paraId="3300F2F5" w14:textId="77777777" w:rsidR="002060E2" w:rsidRPr="00AC7259" w:rsidRDefault="002060E2" w:rsidP="004C7417">
      <w:pPr>
        <w:pStyle w:val="E3SubSubBullets"/>
        <w:jc w:val="both"/>
      </w:pPr>
      <w:r w:rsidRPr="00AC7259">
        <w:t>Assembly costs</w:t>
      </w:r>
      <w:r>
        <w:t>.</w:t>
      </w:r>
    </w:p>
    <w:p w14:paraId="467562DE" w14:textId="77777777" w:rsidR="002060E2" w:rsidRPr="00AC7259" w:rsidRDefault="002060E2" w:rsidP="004C7417">
      <w:pPr>
        <w:pStyle w:val="E3SubSubBullets"/>
        <w:jc w:val="both"/>
      </w:pPr>
      <w:r w:rsidRPr="00AC7259">
        <w:t>Type and complexity of the component</w:t>
      </w:r>
      <w:r>
        <w:t>.</w:t>
      </w:r>
      <w:r w:rsidRPr="00AC7259">
        <w:t xml:space="preserve"> </w:t>
      </w:r>
    </w:p>
    <w:p w14:paraId="205EAB87" w14:textId="77777777" w:rsidR="002060E2" w:rsidRPr="00AC7259" w:rsidRDefault="002060E2" w:rsidP="004C7417">
      <w:pPr>
        <w:pStyle w:val="E3SubSubBullets"/>
        <w:jc w:val="both"/>
      </w:pPr>
      <w:r w:rsidRPr="00AC7259">
        <w:t>Type and complexity of the refrigerated product involved</w:t>
      </w:r>
      <w:r>
        <w:t>.</w:t>
      </w:r>
      <w:r w:rsidRPr="00AC7259">
        <w:t xml:space="preserve"> </w:t>
      </w:r>
    </w:p>
    <w:p w14:paraId="6AE71B74" w14:textId="77777777" w:rsidR="002060E2" w:rsidRDefault="002060E2" w:rsidP="004C7417">
      <w:pPr>
        <w:pStyle w:val="E3BodyText"/>
        <w:jc w:val="both"/>
      </w:pPr>
    </w:p>
    <w:p w14:paraId="3F1520EF" w14:textId="77777777" w:rsidR="002060E2" w:rsidRPr="00AC7259" w:rsidRDefault="002060E2" w:rsidP="004C7417">
      <w:pPr>
        <w:pStyle w:val="E3BodyText"/>
        <w:jc w:val="both"/>
      </w:pPr>
      <w:r>
        <w:t>T</w:t>
      </w:r>
      <w:r w:rsidRPr="00AC7259">
        <w:t xml:space="preserve">he estimated typical cost increases that have been used in the calculation of efficiency improvement are </w:t>
      </w:r>
      <w:r>
        <w:t xml:space="preserve">therefore </w:t>
      </w:r>
      <w:r w:rsidRPr="00AC7259">
        <w:t xml:space="preserve">based on multiple purchases and the substitution of one technology with another rather than retrofitting to existing products. No development, testing or registration costs have been allowed for or apportioned. Due to the wide range of </w:t>
      </w:r>
      <w:r w:rsidRPr="00AC7259">
        <w:lastRenderedPageBreak/>
        <w:t>equipment in the market and the varying degrees of uptake of the efficient technologies it is not possible to specify exact costs for improving each sub-type or product group. However every effort has been made to ensure the estimates are as realistic and accurate as can be established.</w:t>
      </w:r>
    </w:p>
    <w:p w14:paraId="289D4AF7" w14:textId="77777777" w:rsidR="002060E2" w:rsidRPr="00AC7259" w:rsidRDefault="002060E2" w:rsidP="004C7417">
      <w:pPr>
        <w:pStyle w:val="E3BodyText"/>
        <w:jc w:val="both"/>
      </w:pPr>
      <w:r w:rsidRPr="00AC7259">
        <w:t>It has been assumed that:</w:t>
      </w:r>
    </w:p>
    <w:p w14:paraId="3551ACEA" w14:textId="77777777" w:rsidR="002060E2" w:rsidRPr="00AC7259" w:rsidRDefault="002060E2" w:rsidP="004C7417">
      <w:pPr>
        <w:pStyle w:val="E3SubSubBullets"/>
        <w:jc w:val="both"/>
      </w:pPr>
      <w:r w:rsidRPr="00AC7259">
        <w:t>Remote cabinet types have a standard length of 2.5 to 3.0 meters, and typical closed integral cabinets have 1 or 2 doors.</w:t>
      </w:r>
    </w:p>
    <w:p w14:paraId="196355EA" w14:textId="77777777" w:rsidR="002060E2" w:rsidRPr="00AC7259" w:rsidRDefault="002060E2" w:rsidP="004C7417">
      <w:pPr>
        <w:pStyle w:val="E3SubSubBullets"/>
        <w:jc w:val="both"/>
      </w:pPr>
      <w:r w:rsidRPr="00AC7259">
        <w:t xml:space="preserve">Similarly the direct energy savings for electrical components are based on manufacturer’s data and known information. </w:t>
      </w:r>
    </w:p>
    <w:p w14:paraId="12E3C1BC" w14:textId="77777777" w:rsidR="002060E2" w:rsidRPr="00AC7259" w:rsidRDefault="002060E2" w:rsidP="004C7417">
      <w:pPr>
        <w:pStyle w:val="E3SubSubBullets"/>
        <w:jc w:val="both"/>
      </w:pPr>
      <w:r w:rsidRPr="00AC7259">
        <w:t>Lighting is based on replacing standard T8 1200 mm fluorescent lamps with electromagnetic ballast progressing to time controlled LEDs with electronic power supply.</w:t>
      </w:r>
    </w:p>
    <w:p w14:paraId="468C06F6" w14:textId="77777777" w:rsidR="002060E2" w:rsidRPr="00AC7259" w:rsidRDefault="002060E2" w:rsidP="004C7417">
      <w:pPr>
        <w:pStyle w:val="E3SubSubBullets"/>
        <w:jc w:val="both"/>
      </w:pPr>
      <w:r w:rsidRPr="00AC7259">
        <w:t>Fan motor improvements are based on 10 Watt output shaded pole motor(s) progressing to an equivalent EC motor(s).</w:t>
      </w:r>
    </w:p>
    <w:p w14:paraId="04F3F804" w14:textId="77777777" w:rsidR="002060E2" w:rsidRPr="00AC7259" w:rsidRDefault="002060E2" w:rsidP="004C7417">
      <w:pPr>
        <w:pStyle w:val="E3SubSubBullets"/>
        <w:jc w:val="both"/>
      </w:pPr>
      <w:r w:rsidRPr="00AC7259">
        <w:t>Thermostat improvement is based on a mechanical thermostat progressing to a simple electronic controller.</w:t>
      </w:r>
    </w:p>
    <w:p w14:paraId="1E7E7378" w14:textId="77777777" w:rsidR="002060E2" w:rsidRPr="00AC7259" w:rsidRDefault="002060E2" w:rsidP="004C7417">
      <w:pPr>
        <w:pStyle w:val="E3SubSubBullets"/>
        <w:jc w:val="both"/>
      </w:pPr>
      <w:r w:rsidRPr="00AC7259">
        <w:t>High efficiency glass doors improvement</w:t>
      </w:r>
      <w:r>
        <w:t>s are</w:t>
      </w:r>
      <w:r w:rsidRPr="00AC7259">
        <w:t xml:space="preserve"> based, for medium temperature, on double glazed glass door unit</w:t>
      </w:r>
      <w:r>
        <w:t>s</w:t>
      </w:r>
      <w:r w:rsidRPr="00AC7259">
        <w:t xml:space="preserve"> progressing to a reflective film, inert gas filled door unit and for low temperature based, on reflective film, and low energy, inert gas filled door triple pane unit.</w:t>
      </w:r>
    </w:p>
    <w:p w14:paraId="7420770A" w14:textId="77777777" w:rsidR="002060E2" w:rsidRPr="00AC7259" w:rsidRDefault="002060E2" w:rsidP="004C7417">
      <w:pPr>
        <w:pStyle w:val="E3SubSubBullets"/>
        <w:jc w:val="both"/>
      </w:pPr>
      <w:r w:rsidRPr="00AC7259">
        <w:t>Improvements from the addition of night blinds are based on manually operated blinds being applied to an open display cabinet.</w:t>
      </w:r>
    </w:p>
    <w:p w14:paraId="1C83C088" w14:textId="77777777" w:rsidR="002060E2" w:rsidRPr="00AC7259" w:rsidRDefault="002060E2" w:rsidP="004C7417">
      <w:pPr>
        <w:pStyle w:val="E3SubSubBullets"/>
        <w:jc w:val="both"/>
      </w:pPr>
      <w:r w:rsidRPr="00AC7259">
        <w:t>Glass door improvements for open display cabinets are based on replacing an air curtain with glass doors (i.e. standard or HE).</w:t>
      </w:r>
    </w:p>
    <w:p w14:paraId="057DEBAA" w14:textId="77777777" w:rsidR="000E3C98" w:rsidRDefault="000E3C98" w:rsidP="004C7417">
      <w:pPr>
        <w:pStyle w:val="E3Heading2"/>
        <w:spacing w:line="360" w:lineRule="auto"/>
        <w:jc w:val="both"/>
        <w:rPr>
          <w:rFonts w:ascii="Georgia" w:hAnsi="Georgia"/>
          <w:color w:val="auto"/>
          <w:sz w:val="24"/>
        </w:rPr>
      </w:pPr>
      <w:bookmarkStart w:id="432" w:name="_Toc449708810"/>
      <w:bookmarkStart w:id="433" w:name="_Toc494897996"/>
      <w:bookmarkStart w:id="434" w:name="_Toc494955788"/>
      <w:bookmarkStart w:id="435" w:name="_Toc494959596"/>
      <w:bookmarkStart w:id="436" w:name="_Toc494972722"/>
      <w:bookmarkStart w:id="437" w:name="_Toc494973909"/>
      <w:bookmarkStart w:id="438" w:name="_Toc494974598"/>
    </w:p>
    <w:p w14:paraId="4AC68C75" w14:textId="77777777" w:rsidR="002060E2" w:rsidRPr="0041262C" w:rsidRDefault="002060E2" w:rsidP="004C7417">
      <w:pPr>
        <w:pStyle w:val="E3Heading2"/>
        <w:spacing w:line="360" w:lineRule="auto"/>
        <w:jc w:val="both"/>
        <w:rPr>
          <w:rFonts w:ascii="Georgia" w:hAnsi="Georgia"/>
          <w:color w:val="auto"/>
          <w:sz w:val="24"/>
        </w:rPr>
      </w:pPr>
      <w:bookmarkStart w:id="439" w:name="_Toc500151842"/>
      <w:r w:rsidRPr="0041262C">
        <w:rPr>
          <w:rFonts w:ascii="Georgia" w:hAnsi="Georgia"/>
          <w:color w:val="auto"/>
          <w:sz w:val="24"/>
        </w:rPr>
        <w:t>Cost Benefit Analysis</w:t>
      </w:r>
      <w:bookmarkEnd w:id="432"/>
      <w:bookmarkEnd w:id="433"/>
      <w:bookmarkEnd w:id="434"/>
      <w:bookmarkEnd w:id="435"/>
      <w:bookmarkEnd w:id="436"/>
      <w:bookmarkEnd w:id="437"/>
      <w:bookmarkEnd w:id="438"/>
      <w:bookmarkEnd w:id="439"/>
    </w:p>
    <w:p w14:paraId="3E074B15" w14:textId="77777777" w:rsidR="002060E2" w:rsidRPr="00AC7259" w:rsidRDefault="002060E2" w:rsidP="004C7417">
      <w:pPr>
        <w:pStyle w:val="E3BodyText"/>
        <w:jc w:val="both"/>
      </w:pPr>
      <w:r w:rsidRPr="00AC7259">
        <w:t xml:space="preserve">The </w:t>
      </w:r>
      <w:r>
        <w:t xml:space="preserve">cost benefit estimates have </w:t>
      </w:r>
      <w:r w:rsidRPr="00AC7259">
        <w:t xml:space="preserve">been prepared to cover the range of potential policy options consistent with international developments, stakeholder feedback and the current market and regulatory environment. </w:t>
      </w:r>
    </w:p>
    <w:p w14:paraId="38D831A8" w14:textId="77777777" w:rsidR="002060E2" w:rsidRPr="0041262C" w:rsidDel="00D56E46" w:rsidRDefault="002060E2" w:rsidP="004C7417">
      <w:pPr>
        <w:pStyle w:val="E3Heading4"/>
        <w:jc w:val="both"/>
      </w:pPr>
      <w:bookmarkStart w:id="440" w:name="_Toc447533595"/>
      <w:r w:rsidRPr="0041262C" w:rsidDel="00D56E46">
        <w:t>Method</w:t>
      </w:r>
      <w:r w:rsidRPr="0041262C">
        <w:t xml:space="preserve"> </w:t>
      </w:r>
      <w:r w:rsidRPr="0041262C" w:rsidDel="00D56E46">
        <w:t>and Key Assumptions</w:t>
      </w:r>
      <w:bookmarkEnd w:id="440"/>
    </w:p>
    <w:p w14:paraId="58F5C961" w14:textId="77777777" w:rsidR="002060E2" w:rsidRPr="00AC7259" w:rsidRDefault="002060E2" w:rsidP="004C7417">
      <w:pPr>
        <w:pStyle w:val="E3BodyText"/>
        <w:jc w:val="both"/>
      </w:pPr>
      <w:r w:rsidRPr="00AC7259" w:rsidDel="00D56E46">
        <w:t xml:space="preserve">The cost </w:t>
      </w:r>
      <w:r w:rsidRPr="00AC7259">
        <w:t xml:space="preserve">benefit </w:t>
      </w:r>
      <w:r w:rsidRPr="00AC7259" w:rsidDel="00D56E46">
        <w:t>analysis was undertaken by first modelling t</w:t>
      </w:r>
      <w:r w:rsidRPr="00AC7259">
        <w:t>he current and future stock of Refrigerated d</w:t>
      </w:r>
      <w:r w:rsidRPr="00AC7259" w:rsidDel="00D56E46">
        <w:t>isplay cabinets/</w:t>
      </w:r>
      <w:r w:rsidRPr="00AC7259">
        <w:t>s</w:t>
      </w:r>
      <w:r w:rsidRPr="00AC7259" w:rsidDel="00D56E46">
        <w:t xml:space="preserve">torage cabinets.  This stock model also contained information on the numbers, capacity, efficiency and energy consumption of the </w:t>
      </w:r>
      <w:r w:rsidRPr="00AC7259">
        <w:t xml:space="preserve">cabinets, </w:t>
      </w:r>
      <w:r w:rsidRPr="00AC7259" w:rsidDel="00D56E46">
        <w:t>as well as div</w:t>
      </w:r>
      <w:r w:rsidRPr="00AC7259">
        <w:t>iding the stock by cabinet type</w:t>
      </w:r>
      <w:r w:rsidRPr="00AC7259" w:rsidDel="00D56E46">
        <w:t xml:space="preserve">.  Estimates of future sales </w:t>
      </w:r>
      <w:r w:rsidRPr="00AC7259">
        <w:t xml:space="preserve">and the operating life were assumed to </w:t>
      </w:r>
      <w:r w:rsidRPr="00AC7259" w:rsidDel="00D56E46">
        <w:t>drive the stock model</w:t>
      </w:r>
      <w:r w:rsidRPr="00AC7259">
        <w:t>.</w:t>
      </w:r>
    </w:p>
    <w:p w14:paraId="683B75C9" w14:textId="77777777" w:rsidR="002060E2" w:rsidRPr="00AC7259" w:rsidRDefault="002060E2" w:rsidP="004C7417">
      <w:pPr>
        <w:pStyle w:val="E3BodyText"/>
        <w:jc w:val="both"/>
      </w:pPr>
      <w:r w:rsidRPr="00AC7259" w:rsidDel="00D56E46">
        <w:t xml:space="preserve">The stock model </w:t>
      </w:r>
      <w:r w:rsidRPr="00AC7259">
        <w:t xml:space="preserve">was </w:t>
      </w:r>
      <w:r w:rsidRPr="00AC7259" w:rsidDel="00D56E46">
        <w:t>used to develop energy usage estimates based on the num</w:t>
      </w:r>
      <w:r w:rsidRPr="00AC7259">
        <w:t>ber and characteristics of the d</w:t>
      </w:r>
      <w:r w:rsidRPr="00AC7259" w:rsidDel="00D56E46">
        <w:t xml:space="preserve">isplay cabinet stock.  Energy consumption estimates for </w:t>
      </w:r>
      <w:r w:rsidRPr="00AC7259">
        <w:t>B</w:t>
      </w:r>
      <w:r w:rsidRPr="00AC7259" w:rsidDel="00D56E46">
        <w:t xml:space="preserve">usiness as </w:t>
      </w:r>
      <w:r w:rsidRPr="00AC7259">
        <w:lastRenderedPageBreak/>
        <w:t>U</w:t>
      </w:r>
      <w:r w:rsidRPr="00AC7259" w:rsidDel="00D56E46">
        <w:t xml:space="preserve">sual (BAU) </w:t>
      </w:r>
      <w:r w:rsidRPr="00AC7259">
        <w:t xml:space="preserve">were </w:t>
      </w:r>
      <w:r w:rsidRPr="00AC7259" w:rsidDel="00D56E46">
        <w:t xml:space="preserve">established, and then the energy consumption under </w:t>
      </w:r>
      <w:r w:rsidRPr="00AC7259">
        <w:t xml:space="preserve">the </w:t>
      </w:r>
      <w:r w:rsidRPr="00AC7259" w:rsidDel="00D56E46">
        <w:t xml:space="preserve">different policy options </w:t>
      </w:r>
      <w:r w:rsidRPr="00AC7259">
        <w:t xml:space="preserve">was </w:t>
      </w:r>
      <w:r w:rsidRPr="00AC7259" w:rsidDel="00D56E46">
        <w:t xml:space="preserve">calculated and compared to the BAU consumption.  </w:t>
      </w:r>
    </w:p>
    <w:p w14:paraId="4C22A145" w14:textId="77777777" w:rsidR="002060E2" w:rsidRPr="00AC7259" w:rsidDel="00D56E46" w:rsidRDefault="002060E2" w:rsidP="004C7417">
      <w:pPr>
        <w:pStyle w:val="E3BodyText"/>
        <w:jc w:val="both"/>
      </w:pPr>
      <w:r w:rsidRPr="00AC7259" w:rsidDel="00D56E46">
        <w:t>Benefits, such as reduced energy consumption an</w:t>
      </w:r>
      <w:r w:rsidRPr="00AC7259">
        <w:t>d carbon emission reductions, were</w:t>
      </w:r>
      <w:r w:rsidRPr="00AC7259" w:rsidDel="00D56E46">
        <w:t xml:space="preserve"> calculated and assigned monetary values, so the total aggregate cost savings </w:t>
      </w:r>
      <w:r w:rsidRPr="00AC7259">
        <w:t xml:space="preserve">could </w:t>
      </w:r>
      <w:r w:rsidRPr="00AC7259" w:rsidDel="00D56E46">
        <w:t xml:space="preserve">be calculated.   </w:t>
      </w:r>
      <w:r w:rsidRPr="00AC7259">
        <w:t xml:space="preserve">Both </w:t>
      </w:r>
      <w:r w:rsidRPr="00AC7259" w:rsidDel="00D56E46">
        <w:t>government and private costs</w:t>
      </w:r>
      <w:r w:rsidRPr="00AC7259">
        <w:t xml:space="preserve"> were </w:t>
      </w:r>
      <w:r w:rsidRPr="00AC7259" w:rsidDel="00D56E46">
        <w:t xml:space="preserve">calculated and aggregated.  All </w:t>
      </w:r>
      <w:r w:rsidRPr="00AC7259">
        <w:t>Net Present Value (</w:t>
      </w:r>
      <w:r w:rsidRPr="00AC7259" w:rsidDel="00D56E46">
        <w:t>NPV</w:t>
      </w:r>
      <w:r w:rsidRPr="00AC7259">
        <w:t>)</w:t>
      </w:r>
      <w:r w:rsidRPr="00AC7259" w:rsidDel="00D56E46">
        <w:t xml:space="preserve"> costs and benefits</w:t>
      </w:r>
      <w:r>
        <w:t>,</w:t>
      </w:r>
      <w:r w:rsidRPr="00AC7259" w:rsidDel="00D56E46">
        <w:t xml:space="preserve"> </w:t>
      </w:r>
      <w:r>
        <w:t xml:space="preserve">which </w:t>
      </w:r>
      <w:r w:rsidRPr="00AC7259" w:rsidDel="00D56E46">
        <w:t>are presented in the summary tables</w:t>
      </w:r>
      <w:r>
        <w:t>,</w:t>
      </w:r>
      <w:r w:rsidRPr="00AC7259" w:rsidDel="00D56E46">
        <w:t xml:space="preserve"> are based on Australia using </w:t>
      </w:r>
      <w:r>
        <w:t xml:space="preserve">a </w:t>
      </w:r>
      <w:r w:rsidRPr="00AC7259" w:rsidDel="00D56E46">
        <w:t xml:space="preserve">7% discount rate and New Zealand a </w:t>
      </w:r>
      <w:r>
        <w:t>6</w:t>
      </w:r>
      <w:r w:rsidRPr="00AC7259" w:rsidDel="00D56E46">
        <w:t xml:space="preserve">% discount rate. </w:t>
      </w:r>
      <w:r w:rsidRPr="00AC7259">
        <w:t xml:space="preserve"> </w:t>
      </w:r>
    </w:p>
    <w:p w14:paraId="6791BA91" w14:textId="77777777" w:rsidR="002060E2" w:rsidRPr="00AC7259" w:rsidRDefault="002060E2" w:rsidP="004C7417">
      <w:pPr>
        <w:pStyle w:val="E3BodyText"/>
        <w:jc w:val="both"/>
      </w:pPr>
      <w:r w:rsidRPr="00AC7259">
        <w:t>Developing the policy options for modelling purposes involved:</w:t>
      </w:r>
    </w:p>
    <w:p w14:paraId="5CAF3918" w14:textId="77777777" w:rsidR="002060E2" w:rsidRPr="00AC7259" w:rsidRDefault="002060E2" w:rsidP="004C7417">
      <w:pPr>
        <w:pStyle w:val="E3SubSubBullets"/>
        <w:jc w:val="both"/>
      </w:pPr>
      <w:r w:rsidRPr="00AC7259">
        <w:t>Efficiency impacts were derived from the lowest MEPS level to remove 10% and 30% of current registrations. The resultant sales weighted efficiency of the remaining products sold in NZ over the period 2011 and 2012 was used as the basis of calculating the policy intervention impacts.</w:t>
      </w:r>
    </w:p>
    <w:p w14:paraId="492E478D" w14:textId="77777777" w:rsidR="002060E2" w:rsidRPr="00AC7259" w:rsidRDefault="002060E2" w:rsidP="004C7417">
      <w:pPr>
        <w:pStyle w:val="E3SubSubBullets"/>
        <w:jc w:val="both"/>
      </w:pPr>
      <w:r w:rsidRPr="00AC7259">
        <w:t xml:space="preserve">Cost impact was derived from the price versus efficiency data developed for all the units. A price efficiency ratio of 0.5 was found (i.e., incremental prices are increased by 5% for each 10% improvement in efficiency). This is very comparable to </w:t>
      </w:r>
      <w:r>
        <w:t>the earlier air conditioner RIS</w:t>
      </w:r>
      <w:r w:rsidRPr="00AC7259">
        <w:t xml:space="preserve">.  A reduction in the incremental costs of efficiency measures of 5% pa was applied to account for the learning effect (the ability of the manufacturers to improve the supply processes and reduce costs of the efficiency measures).  </w:t>
      </w:r>
    </w:p>
    <w:p w14:paraId="0F7BD367" w14:textId="77777777" w:rsidR="002060E2" w:rsidRPr="00AC7259" w:rsidRDefault="002060E2" w:rsidP="004C7417">
      <w:pPr>
        <w:pStyle w:val="E3SubSubBullets"/>
        <w:jc w:val="both"/>
      </w:pPr>
      <w:r w:rsidRPr="00AC7259">
        <w:t xml:space="preserve">Benefits are based on savings from forecast tariffs </w:t>
      </w:r>
      <w:r>
        <w:t>for Australia (</w:t>
      </w:r>
      <w:r w:rsidRPr="00AC7259">
        <w:t>as per RIS guidelines)</w:t>
      </w:r>
      <w:r>
        <w:t>.</w:t>
      </w:r>
    </w:p>
    <w:p w14:paraId="1C69CE78" w14:textId="77777777" w:rsidR="002060E2" w:rsidRPr="00AC7259" w:rsidRDefault="002060E2" w:rsidP="004C7417">
      <w:pPr>
        <w:pStyle w:val="E3SubSubBullets"/>
        <w:jc w:val="both"/>
      </w:pPr>
      <w:r>
        <w:t>Online energy rating information</w:t>
      </w:r>
      <w:r w:rsidRPr="00AC7259">
        <w:t>:</w:t>
      </w:r>
    </w:p>
    <w:p w14:paraId="22227FFA" w14:textId="77777777" w:rsidR="002060E2" w:rsidRPr="00AC7259" w:rsidRDefault="002060E2" w:rsidP="004C7417">
      <w:pPr>
        <w:pStyle w:val="E3SubSubBullets"/>
        <w:numPr>
          <w:ilvl w:val="1"/>
          <w:numId w:val="67"/>
        </w:numPr>
        <w:autoSpaceDE/>
        <w:autoSpaceDN/>
        <w:adjustRightInd/>
        <w:spacing w:before="120" w:after="113" w:line="278" w:lineRule="auto"/>
        <w:contextualSpacing w:val="0"/>
        <w:jc w:val="both"/>
      </w:pPr>
      <w:r w:rsidRPr="00AC7259">
        <w:t>Sales weighted efficiency was assumed to increase above BAU by 0.5% pa for 5 years post label introduction, then by 0.2% above BAU for following years (similar to post impact evaluations from refrigerator studies).</w:t>
      </w:r>
      <w:r w:rsidRPr="00AC7259">
        <w:rPr>
          <w:rStyle w:val="FootnoteReference"/>
        </w:rPr>
        <w:footnoteReference w:id="56"/>
      </w:r>
      <w:r w:rsidRPr="00AC7259">
        <w:t xml:space="preserve">  </w:t>
      </w:r>
    </w:p>
    <w:p w14:paraId="76E73170" w14:textId="77777777" w:rsidR="002060E2" w:rsidRPr="00AC7259" w:rsidRDefault="002060E2" w:rsidP="004C7417">
      <w:pPr>
        <w:pStyle w:val="E3SubSubBullets"/>
        <w:numPr>
          <w:ilvl w:val="1"/>
          <w:numId w:val="67"/>
        </w:numPr>
        <w:autoSpaceDE/>
        <w:autoSpaceDN/>
        <w:adjustRightInd/>
        <w:spacing w:before="120" w:after="113" w:line="278" w:lineRule="auto"/>
        <w:contextualSpacing w:val="0"/>
        <w:jc w:val="both"/>
      </w:pPr>
      <w:r w:rsidRPr="00AC7259">
        <w:t>Costs impact for labelling is as derived for MEPS (price efficiency ratio of 0.5), however the learning effect was assumed to be higher due to competition and purchaser demand for higher efficiency products.  The learning/ competition effect was assumed to reduce the incremental efficiency costs by 33% p.a. for labelling induced efficiency improvements. The cost of labelling products is estimated to be $2.50 per product sold.</w:t>
      </w:r>
    </w:p>
    <w:p w14:paraId="1E60972A" w14:textId="77777777" w:rsidR="002060E2" w:rsidRPr="00DD102F" w:rsidRDefault="002060E2" w:rsidP="004C7417">
      <w:pPr>
        <w:pStyle w:val="E3SubSubBullets"/>
        <w:jc w:val="both"/>
      </w:pPr>
      <w:r w:rsidRPr="00DD102F">
        <w:t xml:space="preserve">The business costs from the regulatory burden (RB) calculations were taken from the spreadsheet developed by the Department of Industry for these products.  The business costs were found by the following formula: CBA Business Costs = RB Incremental Business Costs – RB Purchase Costs. </w:t>
      </w:r>
    </w:p>
    <w:p w14:paraId="7A93FB4C" w14:textId="77777777" w:rsidR="002060E2" w:rsidRPr="00DD102F" w:rsidRDefault="002060E2" w:rsidP="004C7417">
      <w:pPr>
        <w:pStyle w:val="E3SubSubBullets"/>
        <w:jc w:val="both"/>
      </w:pPr>
      <w:r w:rsidRPr="00DD102F">
        <w:lastRenderedPageBreak/>
        <w:t xml:space="preserve">These annualised costs from the RB calculation were input for each year for the life of the option being examined (until 2035).  The Regulatory Burden calculations assumed only ten years.  The CBA examines the costs over the entire period. </w:t>
      </w:r>
    </w:p>
    <w:p w14:paraId="1A1C9909" w14:textId="77777777" w:rsidR="002060E2" w:rsidRPr="00DD102F" w:rsidRDefault="002060E2" w:rsidP="004C7417">
      <w:pPr>
        <w:pStyle w:val="E3SubSubBullets"/>
        <w:jc w:val="both"/>
      </w:pPr>
      <w:r w:rsidRPr="00DD102F">
        <w:t xml:space="preserve">The model was then run to determine the BAU energy consumption and greenhouse emissions of the BAU baseline scenario and then modified to model each of the policy scenario options.  </w:t>
      </w:r>
    </w:p>
    <w:p w14:paraId="56279CA6" w14:textId="77777777" w:rsidR="000E3C98" w:rsidRPr="0028109D" w:rsidRDefault="002060E2" w:rsidP="004C7417">
      <w:pPr>
        <w:pStyle w:val="E3BodyText"/>
        <w:jc w:val="both"/>
      </w:pPr>
      <w:r w:rsidRPr="00AC7259">
        <w:t>In addition to the financial analysis, the costs and benefits of the policy proposals have also be</w:t>
      </w:r>
      <w:r>
        <w:t>en considered from the perspective of</w:t>
      </w:r>
      <w:r w:rsidRPr="00AC7259">
        <w:t xml:space="preserve"> society</w:t>
      </w:r>
      <w:r>
        <w:t xml:space="preserve"> and the consumer</w:t>
      </w:r>
      <w:r w:rsidRPr="00AC7259">
        <w:t>. The following costs and benefits have b</w:t>
      </w:r>
      <w:bookmarkStart w:id="441" w:name="_Toc447533596"/>
      <w:r w:rsidR="0028109D">
        <w:t>een factored into the analysis:</w:t>
      </w:r>
    </w:p>
    <w:p w14:paraId="2569FF8B" w14:textId="73047603" w:rsidR="0028109D" w:rsidRDefault="0028109D" w:rsidP="00F879AF">
      <w:pPr>
        <w:pStyle w:val="E3Heading4"/>
      </w:pPr>
    </w:p>
    <w:p w14:paraId="6E7D3130" w14:textId="77777777" w:rsidR="002060E2" w:rsidRPr="000F4EA8" w:rsidRDefault="002060E2" w:rsidP="004C7417">
      <w:pPr>
        <w:pStyle w:val="E3Heading4"/>
        <w:jc w:val="both"/>
      </w:pPr>
      <w:r w:rsidRPr="000F4EA8">
        <w:t>Costs</w:t>
      </w:r>
      <w:bookmarkEnd w:id="441"/>
    </w:p>
    <w:p w14:paraId="53D4F965" w14:textId="77777777" w:rsidR="002060E2" w:rsidRPr="00AC7259" w:rsidRDefault="002060E2" w:rsidP="004C7417">
      <w:pPr>
        <w:pStyle w:val="E3SubSubBullets"/>
        <w:jc w:val="both"/>
      </w:pPr>
      <w:r w:rsidRPr="00AC7259">
        <w:t>To the consumer, due to the  upfront price of products reflecting costs passed on by suppliers;</w:t>
      </w:r>
    </w:p>
    <w:p w14:paraId="2C707461" w14:textId="77777777" w:rsidR="002060E2" w:rsidRPr="00AC7259" w:rsidRDefault="002060E2" w:rsidP="004C7417">
      <w:pPr>
        <w:pStyle w:val="E3SubSubBullets"/>
        <w:jc w:val="both"/>
      </w:pPr>
      <w:r w:rsidRPr="00AC7259">
        <w:t>To government, as a result of implementing and administering the requirements,</w:t>
      </w:r>
    </w:p>
    <w:p w14:paraId="712D7B29" w14:textId="0ADFC343" w:rsidR="002060E2" w:rsidRPr="00AC7259" w:rsidRDefault="002060E2" w:rsidP="004C7417">
      <w:pPr>
        <w:pStyle w:val="E3SubSubBullets"/>
        <w:jc w:val="both"/>
      </w:pPr>
      <w:r w:rsidRPr="00AC7259">
        <w:t xml:space="preserve">To the product supply businesses, as a result of complying with the new or modified regulatory requirements of the proposals (for </w:t>
      </w:r>
      <w:r>
        <w:t xml:space="preserve">example </w:t>
      </w:r>
      <w:r w:rsidR="004C7417">
        <w:t xml:space="preserve">testing, </w:t>
      </w:r>
      <w:r w:rsidRPr="00AC7259">
        <w:t>administration and training).</w:t>
      </w:r>
    </w:p>
    <w:p w14:paraId="78DAD07F" w14:textId="74CAAE48" w:rsidR="002060E2" w:rsidRPr="000F4EA8" w:rsidRDefault="004C7417" w:rsidP="004C7417">
      <w:pPr>
        <w:pStyle w:val="E3Heading4"/>
        <w:jc w:val="both"/>
      </w:pPr>
      <w:bookmarkStart w:id="442" w:name="_Toc447533597"/>
      <w:r>
        <w:br/>
      </w:r>
      <w:r w:rsidR="002060E2" w:rsidRPr="000F4EA8">
        <w:t>Benefits</w:t>
      </w:r>
      <w:bookmarkEnd w:id="442"/>
    </w:p>
    <w:p w14:paraId="7D7D9B08" w14:textId="77777777" w:rsidR="002060E2" w:rsidRPr="00AC7259" w:rsidRDefault="002060E2" w:rsidP="004C7417">
      <w:pPr>
        <w:pStyle w:val="E3SubSubBullets"/>
        <w:jc w:val="both"/>
      </w:pPr>
      <w:r w:rsidRPr="00AC7259">
        <w:t>To the consumer, due to improving the information available for comparing the energy efficiency of products and from improved energy efficiency (and flow-on consequences such as lower long-term running costs);</w:t>
      </w:r>
    </w:p>
    <w:p w14:paraId="56B18EB2" w14:textId="77777777" w:rsidR="002060E2" w:rsidRPr="00AC7259" w:rsidRDefault="002060E2" w:rsidP="004C7417">
      <w:pPr>
        <w:pStyle w:val="E3SubSubBullets"/>
        <w:jc w:val="both"/>
      </w:pPr>
      <w:r w:rsidRPr="00AC7259">
        <w:t>To government and suppliers from simplification of the regulatory frameworks;</w:t>
      </w:r>
    </w:p>
    <w:p w14:paraId="74BC2830" w14:textId="77777777" w:rsidR="002060E2" w:rsidRDefault="002060E2" w:rsidP="004C7417">
      <w:pPr>
        <w:pStyle w:val="E3SubSubBullets"/>
        <w:jc w:val="both"/>
      </w:pPr>
      <w:r w:rsidRPr="00AC7259">
        <w:t>To society from energy savings and reduced greenhouse gas emissions.</w:t>
      </w:r>
    </w:p>
    <w:p w14:paraId="715EBE5C" w14:textId="77777777" w:rsidR="002060E2" w:rsidRDefault="002060E2" w:rsidP="004C7417">
      <w:pPr>
        <w:pStyle w:val="E3BodyText"/>
        <w:jc w:val="both"/>
      </w:pPr>
      <w:r w:rsidRPr="00DA482C">
        <w:t xml:space="preserve">It is necessary to approach the cost-benefit analysis from either a consumer or societal perspective. The social approach is the appropriate methodology for the analysis, but the consumer approach can be used where it approximates the results that would be obtained from the societal perspective. An analysis from a consumer perspective involves the use of retail product prices and marginal retail energy prices. Since the objective is to assess whether product buyers (consumers) as a group would be better off, transfer payments such as taxes are included. The analysis includes retail mark-ups and taxes that are passed onto the consumer and including these in the costs will simplify the analysis process, while still remaining appropriate. </w:t>
      </w:r>
    </w:p>
    <w:p w14:paraId="5AB9B240" w14:textId="77777777" w:rsidR="002060E2" w:rsidRPr="00DA482C" w:rsidRDefault="002060E2" w:rsidP="004C7417">
      <w:pPr>
        <w:pStyle w:val="E3BodyText"/>
        <w:jc w:val="both"/>
      </w:pPr>
      <w:r w:rsidRPr="00DA482C">
        <w:t xml:space="preserve">The New Zealand analysis has been undertaken to also approximate the societal perspective, using the long run marginal cost of electricity (required by their cost benefit methodology) and wholesale product prices (including quantifying the benefits of reduced emissions).  </w:t>
      </w:r>
      <w:r>
        <w:t>A higher discount rate has also been used (6% rather than 5% in the Consultation RIS). The CBA figures for New Zealand are therefore lower.</w:t>
      </w:r>
    </w:p>
    <w:p w14:paraId="20F83192" w14:textId="77777777" w:rsidR="002060E2" w:rsidRPr="00DA482C" w:rsidRDefault="002060E2" w:rsidP="004C7417">
      <w:pPr>
        <w:pStyle w:val="E3BodyText"/>
        <w:jc w:val="both"/>
      </w:pPr>
      <w:r w:rsidRPr="00DA482C">
        <w:t>All Net Present Value (NPV</w:t>
      </w:r>
      <w:r>
        <w:t>) figures are real 2016/17 dollars</w:t>
      </w:r>
      <w:r w:rsidRPr="00DA482C">
        <w:t>.</w:t>
      </w:r>
    </w:p>
    <w:p w14:paraId="6C926C3A" w14:textId="77777777" w:rsidR="002060E2" w:rsidRPr="00CD2BF0" w:rsidRDefault="002060E2" w:rsidP="004C7417">
      <w:pPr>
        <w:pStyle w:val="E3Heading2"/>
        <w:jc w:val="both"/>
        <w:rPr>
          <w:rFonts w:ascii="Georgia" w:hAnsi="Georgia"/>
          <w:sz w:val="24"/>
        </w:rPr>
      </w:pPr>
      <w:bookmarkStart w:id="443" w:name="_Toc449708811"/>
      <w:bookmarkStart w:id="444" w:name="_Toc494897997"/>
      <w:bookmarkStart w:id="445" w:name="_Toc494955789"/>
      <w:bookmarkStart w:id="446" w:name="_Toc494959597"/>
      <w:bookmarkStart w:id="447" w:name="_Toc494972723"/>
      <w:bookmarkStart w:id="448" w:name="_Toc494973910"/>
      <w:bookmarkStart w:id="449" w:name="_Toc494974599"/>
      <w:bookmarkStart w:id="450" w:name="_Toc500151843"/>
      <w:r w:rsidRPr="00CD2BF0">
        <w:rPr>
          <w:rFonts w:ascii="Georgia" w:hAnsi="Georgia"/>
          <w:sz w:val="24"/>
        </w:rPr>
        <w:lastRenderedPageBreak/>
        <w:t>Heat rejection considerations</w:t>
      </w:r>
      <w:bookmarkEnd w:id="443"/>
      <w:bookmarkEnd w:id="444"/>
      <w:bookmarkEnd w:id="445"/>
      <w:bookmarkEnd w:id="446"/>
      <w:bookmarkEnd w:id="447"/>
      <w:bookmarkEnd w:id="448"/>
      <w:bookmarkEnd w:id="449"/>
      <w:bookmarkEnd w:id="450"/>
    </w:p>
    <w:p w14:paraId="484EE422" w14:textId="77777777" w:rsidR="002060E2" w:rsidRPr="00AC7259" w:rsidRDefault="002060E2" w:rsidP="004C7417">
      <w:pPr>
        <w:pStyle w:val="E3BodyText"/>
        <w:jc w:val="both"/>
      </w:pPr>
      <w:r w:rsidRPr="00AC7259">
        <w:t>In some instances different equipment configurations such as external (i.e. remote condensing unit) or internal (i.e. integral cabinet) heat rejection may impact on refrigeration loads, equipment operating times and energy consumption values.</w:t>
      </w:r>
    </w:p>
    <w:p w14:paraId="1592B7F5" w14:textId="77777777" w:rsidR="002060E2" w:rsidRPr="00AC7259" w:rsidRDefault="002060E2" w:rsidP="004C7417">
      <w:pPr>
        <w:pStyle w:val="E3BodyText"/>
        <w:jc w:val="both"/>
      </w:pPr>
      <w:r w:rsidRPr="00AC7259">
        <w:t>If an integral display cabinet that rejects heat into the conditioned space were compared to a display case of equal duty and function with a remote condensing unit that rejects heat externally; an allowance for the heat rejection treatment would need to be included in the total energy calculation. This allowance may take into account the additional air conditioner operating time or energy required to remove the heat added by the integral display cabinet on hot days less the energy savings or free heating on cold days (AIRAH 2012).</w:t>
      </w:r>
    </w:p>
    <w:p w14:paraId="38A7F00C" w14:textId="77777777" w:rsidR="002060E2" w:rsidRPr="00AC7259" w:rsidRDefault="002060E2" w:rsidP="004C7417">
      <w:pPr>
        <w:pStyle w:val="E3BodyText"/>
        <w:jc w:val="both"/>
      </w:pPr>
      <w:r w:rsidRPr="00AC7259">
        <w:t>Therefore in this context heat rejection is not relevant for remote display cabinets, and in the case of storage cabinets, many of them operate in non-conditioned spaces such as kitchens where there are extraction fans and many other sources of heat</w:t>
      </w:r>
      <w:r>
        <w:t>, such as cookers.</w:t>
      </w:r>
      <w:r w:rsidRPr="00AC7259">
        <w:t xml:space="preserve"> In the case of integral display cabinets the energy penalty would be higher in hotter climates where there is more operating hours above air conditioning design conditions (i.e. 24</w:t>
      </w:r>
      <w:r w:rsidRPr="00AC7259">
        <w:rPr>
          <w:vertAlign w:val="superscript"/>
        </w:rPr>
        <w:t>o</w:t>
      </w:r>
      <w:r w:rsidRPr="00AC7259">
        <w:t xml:space="preserve">C) than below. The energy efficiency model used in this study comprises national models for Australia and New Zealand where the colder climates would cancel out the hotter climates, and removal of the heat is often relatively efficient so this assessment assumes the heat rejection portion to be insignificant. </w:t>
      </w:r>
    </w:p>
    <w:p w14:paraId="1DB0BF1F" w14:textId="77777777" w:rsidR="002060E2" w:rsidRPr="00AC7259" w:rsidRDefault="002060E2" w:rsidP="004C7417">
      <w:pPr>
        <w:pStyle w:val="E3BodyText"/>
        <w:jc w:val="both"/>
      </w:pPr>
      <w:r w:rsidRPr="00AC7259">
        <w:t>There is another heat rejection consideration that is associated with the cold air spilling into supermarkets or conditioned spaces from open display cases, however this is far more complicated and outside the scope of this assessment. The heat rejection effects were not included in the Ecodesign energy consumption assessments of display cabinets and storage cabinets throughout their product life cycles. Rather, there was some mention of the benefit of managing the interaction of refrigeration and HVAC systems relative to the specific climatic conditions or application in order to harness heat recovery and/or utilise free energy from either system (EC 2011).</w:t>
      </w:r>
    </w:p>
    <w:p w14:paraId="20A0DC09" w14:textId="77777777" w:rsidR="002060E2" w:rsidRPr="00CD2BF0" w:rsidRDefault="002060E2" w:rsidP="004C7417">
      <w:pPr>
        <w:pStyle w:val="E3Heading2"/>
        <w:spacing w:before="240"/>
        <w:jc w:val="both"/>
        <w:rPr>
          <w:rFonts w:ascii="Georgia" w:hAnsi="Georgia"/>
          <w:sz w:val="24"/>
        </w:rPr>
      </w:pPr>
      <w:bookmarkStart w:id="451" w:name="_Toc449708812"/>
      <w:bookmarkStart w:id="452" w:name="_Toc494897998"/>
      <w:bookmarkStart w:id="453" w:name="_Toc494955790"/>
      <w:bookmarkStart w:id="454" w:name="_Toc494959598"/>
      <w:bookmarkStart w:id="455" w:name="_Toc494972724"/>
      <w:bookmarkStart w:id="456" w:name="_Toc494973911"/>
      <w:bookmarkStart w:id="457" w:name="_Toc494974600"/>
      <w:bookmarkStart w:id="458" w:name="_Toc500151844"/>
      <w:r w:rsidRPr="00CD2BF0">
        <w:rPr>
          <w:rFonts w:ascii="Georgia" w:hAnsi="Georgia"/>
          <w:sz w:val="24"/>
        </w:rPr>
        <w:t>Potential Impacts on peak demand electricity</w:t>
      </w:r>
      <w:bookmarkEnd w:id="451"/>
      <w:bookmarkEnd w:id="452"/>
      <w:bookmarkEnd w:id="453"/>
      <w:bookmarkEnd w:id="454"/>
      <w:bookmarkEnd w:id="455"/>
      <w:bookmarkEnd w:id="456"/>
      <w:bookmarkEnd w:id="457"/>
      <w:bookmarkEnd w:id="458"/>
    </w:p>
    <w:p w14:paraId="5625FB97" w14:textId="77777777" w:rsidR="002060E2" w:rsidRPr="00AC7259" w:rsidRDefault="002060E2" w:rsidP="004C7417">
      <w:pPr>
        <w:pStyle w:val="E3BodyText"/>
        <w:jc w:val="both"/>
      </w:pPr>
      <w:r w:rsidRPr="00AC7259">
        <w:t xml:space="preserve">The potential peak demand impacts of all the policy cases were also modelled.  The average power reduction was calculated in the model by assuming that the improved efficiency as a result of the policy case translated to a reduction in the average power demand.  As display cabinets/storage cabinets are operating 100% of the time, the average power is determined by dividing the daily energy consumption by 24 hours.  Also due </w:t>
      </w:r>
      <w:r>
        <w:t xml:space="preserve">to </w:t>
      </w:r>
      <w:r w:rsidRPr="00AC7259">
        <w:t>the continuous nature of the operation, the power demand of the equipment is assumed to be coincident with system summer peaks, but the contribution to winter peaks will be less as the power demand of the equipment will be much lower when external temperatures are lower.</w:t>
      </w:r>
    </w:p>
    <w:p w14:paraId="3BA17E0E" w14:textId="77777777" w:rsidR="004C7417" w:rsidRDefault="004C7417" w:rsidP="004C7417">
      <w:pPr>
        <w:pStyle w:val="E3Heading2"/>
        <w:rPr>
          <w:rFonts w:ascii="Georgia" w:hAnsi="Georgia"/>
          <w:sz w:val="24"/>
        </w:rPr>
      </w:pPr>
      <w:bookmarkStart w:id="459" w:name="_Toc494897999"/>
      <w:bookmarkStart w:id="460" w:name="_Toc494955791"/>
      <w:bookmarkStart w:id="461" w:name="_Toc494959599"/>
      <w:bookmarkStart w:id="462" w:name="_Toc494972725"/>
      <w:bookmarkStart w:id="463" w:name="_Toc494973912"/>
      <w:bookmarkStart w:id="464" w:name="_Toc494974601"/>
    </w:p>
    <w:p w14:paraId="13918C6B" w14:textId="77777777" w:rsidR="004C7417" w:rsidRDefault="004C7417" w:rsidP="004C7417">
      <w:pPr>
        <w:pStyle w:val="E3Heading2"/>
        <w:rPr>
          <w:rFonts w:ascii="Georgia" w:hAnsi="Georgia"/>
          <w:sz w:val="24"/>
        </w:rPr>
      </w:pPr>
    </w:p>
    <w:p w14:paraId="6D046028" w14:textId="77777777" w:rsidR="004C7417" w:rsidRDefault="004C7417" w:rsidP="004C7417">
      <w:pPr>
        <w:pStyle w:val="E3Heading2"/>
        <w:rPr>
          <w:rFonts w:ascii="Georgia" w:hAnsi="Georgia"/>
          <w:sz w:val="24"/>
        </w:rPr>
      </w:pPr>
    </w:p>
    <w:p w14:paraId="0A31C426" w14:textId="16E43C66" w:rsidR="002060E2" w:rsidRPr="004C7417" w:rsidRDefault="002060E2" w:rsidP="004C7417">
      <w:pPr>
        <w:pStyle w:val="E3Heading2"/>
        <w:rPr>
          <w:rFonts w:ascii="Georgia" w:hAnsi="Georgia"/>
          <w:sz w:val="24"/>
        </w:rPr>
      </w:pPr>
      <w:bookmarkStart w:id="465" w:name="_Toc500151845"/>
      <w:r w:rsidRPr="004C7417">
        <w:rPr>
          <w:rFonts w:ascii="Georgia" w:hAnsi="Georgia"/>
          <w:sz w:val="24"/>
        </w:rPr>
        <w:lastRenderedPageBreak/>
        <w:t>Electricity tariffs used in this cost-benefit analysis</w:t>
      </w:r>
      <w:bookmarkStart w:id="466" w:name="_Ref453661689"/>
      <w:bookmarkEnd w:id="459"/>
      <w:bookmarkEnd w:id="460"/>
      <w:bookmarkEnd w:id="461"/>
      <w:bookmarkEnd w:id="462"/>
      <w:bookmarkEnd w:id="463"/>
      <w:bookmarkEnd w:id="464"/>
      <w:bookmarkEnd w:id="465"/>
    </w:p>
    <w:p w14:paraId="76057E6E" w14:textId="77777777" w:rsidR="00D51B4B" w:rsidRPr="00E50722" w:rsidRDefault="002060E2" w:rsidP="004C7417">
      <w:pPr>
        <w:pStyle w:val="E3BodyText"/>
        <w:jc w:val="both"/>
        <w:rPr>
          <w:b/>
        </w:rPr>
      </w:pPr>
      <w:r w:rsidRPr="00AC7259">
        <w:t>The electricity tariffs are outlined below (</w:t>
      </w:r>
      <w:r w:rsidRPr="00A91C07">
        <w:rPr>
          <w:b/>
        </w:rPr>
        <w:fldChar w:fldCharType="begin"/>
      </w:r>
      <w:r w:rsidRPr="00A91C07">
        <w:rPr>
          <w:b/>
        </w:rPr>
        <w:instrText xml:space="preserve"> REF _Ref455386391 \h  \* MERGEFORMAT </w:instrText>
      </w:r>
      <w:r w:rsidRPr="00A91C07">
        <w:rPr>
          <w:b/>
        </w:rPr>
      </w:r>
      <w:r w:rsidRPr="00A91C07">
        <w:rPr>
          <w:b/>
        </w:rPr>
        <w:fldChar w:fldCharType="separate"/>
      </w:r>
    </w:p>
    <w:p w14:paraId="532D42F1" w14:textId="2EE15099" w:rsidR="00522A0D" w:rsidRPr="00E50722" w:rsidRDefault="00D51B4B" w:rsidP="004C7417">
      <w:pPr>
        <w:pStyle w:val="E3BodyText"/>
        <w:jc w:val="both"/>
        <w:rPr>
          <w:b/>
        </w:rPr>
      </w:pPr>
      <w:r w:rsidRPr="00D51B4B">
        <w:rPr>
          <w:b/>
          <w:noProof/>
        </w:rPr>
        <w:t xml:space="preserve">Table </w:t>
      </w:r>
      <w:r>
        <w:rPr>
          <w:noProof/>
        </w:rPr>
        <w:t>D 7</w:t>
      </w:r>
      <w:r w:rsidR="002060E2" w:rsidRPr="00A91C07">
        <w:rPr>
          <w:b/>
        </w:rPr>
        <w:fldChar w:fldCharType="end"/>
      </w:r>
      <w:r w:rsidR="002060E2" w:rsidRPr="00AC7259">
        <w:t>).</w:t>
      </w:r>
      <w:bookmarkStart w:id="467" w:name="_Ref455386391"/>
      <w:bookmarkStart w:id="468" w:name="_Toc456164781"/>
    </w:p>
    <w:p w14:paraId="495AD469" w14:textId="05C81095" w:rsidR="002060E2" w:rsidRDefault="002060E2" w:rsidP="002060E2">
      <w:pPr>
        <w:pStyle w:val="E3TableTitles"/>
      </w:pPr>
      <w:bookmarkStart w:id="469" w:name="_Toc500159679"/>
      <w:r>
        <w:t xml:space="preserve">Table D </w:t>
      </w:r>
      <w:r>
        <w:fldChar w:fldCharType="begin"/>
      </w:r>
      <w:r>
        <w:instrText xml:space="preserve"> SEQ Table_D \* ARABIC </w:instrText>
      </w:r>
      <w:r>
        <w:fldChar w:fldCharType="separate"/>
      </w:r>
      <w:r w:rsidR="00D51B4B">
        <w:rPr>
          <w:noProof/>
        </w:rPr>
        <w:t>7</w:t>
      </w:r>
      <w:r>
        <w:rPr>
          <w:noProof/>
        </w:rPr>
        <w:fldChar w:fldCharType="end"/>
      </w:r>
      <w:bookmarkEnd w:id="466"/>
      <w:bookmarkEnd w:id="467"/>
      <w:r>
        <w:t>: Business electricity prices (real 20116/17 c</w:t>
      </w:r>
      <w:r w:rsidR="00E50722">
        <w:t>ents/kWh) for Australia and New </w:t>
      </w:r>
      <w:r>
        <w:t>Zealand</w:t>
      </w:r>
      <w:bookmarkEnd w:id="468"/>
      <w:bookmarkEnd w:id="469"/>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me as above until year 2030"/>
      </w:tblPr>
      <w:tblGrid>
        <w:gridCol w:w="1162"/>
        <w:gridCol w:w="672"/>
        <w:gridCol w:w="672"/>
        <w:gridCol w:w="727"/>
        <w:gridCol w:w="853"/>
        <w:gridCol w:w="854"/>
        <w:gridCol w:w="854"/>
        <w:gridCol w:w="722"/>
        <w:gridCol w:w="802"/>
        <w:gridCol w:w="803"/>
        <w:gridCol w:w="802"/>
        <w:gridCol w:w="932"/>
      </w:tblGrid>
      <w:tr w:rsidR="002060E2" w:rsidRPr="004C2A7B" w14:paraId="7407BD02" w14:textId="77777777" w:rsidTr="002060E2">
        <w:trPr>
          <w:trHeight w:val="315"/>
          <w:tblHeader/>
        </w:trPr>
        <w:tc>
          <w:tcPr>
            <w:tcW w:w="1162" w:type="dxa"/>
            <w:tcBorders>
              <w:left w:val="nil"/>
            </w:tcBorders>
          </w:tcPr>
          <w:p w14:paraId="3C939603" w14:textId="77777777" w:rsidR="002060E2" w:rsidRPr="00CD2BF0" w:rsidRDefault="002060E2" w:rsidP="002060E2">
            <w:pPr>
              <w:pStyle w:val="E3TableHeading"/>
              <w:rPr>
                <w:szCs w:val="15"/>
                <w:lang w:val="en-NZ"/>
              </w:rPr>
            </w:pPr>
            <w:r w:rsidRPr="00CD2BF0">
              <w:rPr>
                <w:szCs w:val="15"/>
              </w:rPr>
              <w:t>Region/year</w:t>
            </w:r>
          </w:p>
        </w:tc>
        <w:tc>
          <w:tcPr>
            <w:tcW w:w="672" w:type="dxa"/>
          </w:tcPr>
          <w:p w14:paraId="04EED114" w14:textId="77777777" w:rsidR="002060E2" w:rsidRPr="00CD2BF0" w:rsidRDefault="002060E2" w:rsidP="002060E2">
            <w:pPr>
              <w:pStyle w:val="E3TableHeading"/>
              <w:rPr>
                <w:szCs w:val="15"/>
              </w:rPr>
            </w:pPr>
            <w:r w:rsidRPr="00CD2BF0">
              <w:rPr>
                <w:szCs w:val="15"/>
              </w:rPr>
              <w:t>2020</w:t>
            </w:r>
          </w:p>
        </w:tc>
        <w:tc>
          <w:tcPr>
            <w:tcW w:w="672" w:type="dxa"/>
            <w:noWrap/>
            <w:hideMark/>
          </w:tcPr>
          <w:p w14:paraId="58D79387" w14:textId="77777777" w:rsidR="002060E2" w:rsidRPr="00CD2BF0" w:rsidRDefault="002060E2" w:rsidP="002060E2">
            <w:pPr>
              <w:pStyle w:val="E3TableHeading"/>
              <w:rPr>
                <w:szCs w:val="15"/>
                <w:lang w:val="en-NZ"/>
              </w:rPr>
            </w:pPr>
            <w:r w:rsidRPr="00CD2BF0">
              <w:rPr>
                <w:szCs w:val="15"/>
              </w:rPr>
              <w:t>2021</w:t>
            </w:r>
          </w:p>
        </w:tc>
        <w:tc>
          <w:tcPr>
            <w:tcW w:w="727" w:type="dxa"/>
            <w:noWrap/>
            <w:hideMark/>
          </w:tcPr>
          <w:p w14:paraId="614382C6" w14:textId="77777777" w:rsidR="002060E2" w:rsidRPr="00CD2BF0" w:rsidRDefault="002060E2" w:rsidP="002060E2">
            <w:pPr>
              <w:pStyle w:val="E3TableHeading"/>
              <w:rPr>
                <w:szCs w:val="15"/>
                <w:lang w:val="en-NZ"/>
              </w:rPr>
            </w:pPr>
            <w:r w:rsidRPr="00CD2BF0">
              <w:rPr>
                <w:szCs w:val="15"/>
              </w:rPr>
              <w:t>2022</w:t>
            </w:r>
          </w:p>
        </w:tc>
        <w:tc>
          <w:tcPr>
            <w:tcW w:w="853" w:type="dxa"/>
            <w:noWrap/>
            <w:hideMark/>
          </w:tcPr>
          <w:p w14:paraId="75FCD2DF" w14:textId="77777777" w:rsidR="002060E2" w:rsidRPr="00CD2BF0" w:rsidRDefault="002060E2" w:rsidP="002060E2">
            <w:pPr>
              <w:pStyle w:val="E3TableHeading"/>
              <w:rPr>
                <w:szCs w:val="15"/>
                <w:lang w:val="en-NZ"/>
              </w:rPr>
            </w:pPr>
            <w:r w:rsidRPr="00CD2BF0">
              <w:rPr>
                <w:szCs w:val="15"/>
              </w:rPr>
              <w:t>2023</w:t>
            </w:r>
          </w:p>
        </w:tc>
        <w:tc>
          <w:tcPr>
            <w:tcW w:w="854" w:type="dxa"/>
            <w:noWrap/>
            <w:hideMark/>
          </w:tcPr>
          <w:p w14:paraId="7F32B942" w14:textId="77777777" w:rsidR="002060E2" w:rsidRPr="00CD2BF0" w:rsidRDefault="002060E2" w:rsidP="002060E2">
            <w:pPr>
              <w:pStyle w:val="E3TableHeading"/>
              <w:rPr>
                <w:szCs w:val="15"/>
                <w:lang w:val="en-NZ"/>
              </w:rPr>
            </w:pPr>
            <w:r w:rsidRPr="00CD2BF0">
              <w:rPr>
                <w:szCs w:val="15"/>
              </w:rPr>
              <w:t>2024</w:t>
            </w:r>
          </w:p>
        </w:tc>
        <w:tc>
          <w:tcPr>
            <w:tcW w:w="854" w:type="dxa"/>
            <w:noWrap/>
            <w:hideMark/>
          </w:tcPr>
          <w:p w14:paraId="57FA09BE" w14:textId="77777777" w:rsidR="002060E2" w:rsidRPr="00CD2BF0" w:rsidRDefault="002060E2" w:rsidP="002060E2">
            <w:pPr>
              <w:pStyle w:val="E3TableHeading"/>
              <w:rPr>
                <w:szCs w:val="15"/>
                <w:lang w:val="en-NZ"/>
              </w:rPr>
            </w:pPr>
            <w:r w:rsidRPr="00CD2BF0">
              <w:rPr>
                <w:szCs w:val="15"/>
              </w:rPr>
              <w:t>2025</w:t>
            </w:r>
          </w:p>
        </w:tc>
        <w:tc>
          <w:tcPr>
            <w:tcW w:w="722" w:type="dxa"/>
            <w:noWrap/>
            <w:hideMark/>
          </w:tcPr>
          <w:p w14:paraId="2E54A61A" w14:textId="77777777" w:rsidR="002060E2" w:rsidRPr="00CD2BF0" w:rsidRDefault="002060E2" w:rsidP="002060E2">
            <w:pPr>
              <w:pStyle w:val="E3TableHeading"/>
              <w:rPr>
                <w:szCs w:val="15"/>
                <w:lang w:val="en-NZ"/>
              </w:rPr>
            </w:pPr>
            <w:r w:rsidRPr="00CD2BF0">
              <w:rPr>
                <w:szCs w:val="15"/>
              </w:rPr>
              <w:t>2026</w:t>
            </w:r>
          </w:p>
        </w:tc>
        <w:tc>
          <w:tcPr>
            <w:tcW w:w="802" w:type="dxa"/>
            <w:noWrap/>
            <w:hideMark/>
          </w:tcPr>
          <w:p w14:paraId="0074F264" w14:textId="77777777" w:rsidR="002060E2" w:rsidRPr="00CD2BF0" w:rsidRDefault="002060E2" w:rsidP="002060E2">
            <w:pPr>
              <w:pStyle w:val="E3TableHeading"/>
              <w:rPr>
                <w:szCs w:val="15"/>
                <w:lang w:val="en-NZ"/>
              </w:rPr>
            </w:pPr>
            <w:r w:rsidRPr="00CD2BF0">
              <w:rPr>
                <w:szCs w:val="15"/>
              </w:rPr>
              <w:t>2027</w:t>
            </w:r>
          </w:p>
        </w:tc>
        <w:tc>
          <w:tcPr>
            <w:tcW w:w="803" w:type="dxa"/>
            <w:noWrap/>
            <w:hideMark/>
          </w:tcPr>
          <w:p w14:paraId="2183899F" w14:textId="77777777" w:rsidR="002060E2" w:rsidRPr="00CD2BF0" w:rsidRDefault="002060E2" w:rsidP="002060E2">
            <w:pPr>
              <w:pStyle w:val="E3TableHeading"/>
              <w:rPr>
                <w:szCs w:val="15"/>
                <w:lang w:val="en-NZ"/>
              </w:rPr>
            </w:pPr>
            <w:r w:rsidRPr="00CD2BF0">
              <w:rPr>
                <w:szCs w:val="15"/>
              </w:rPr>
              <w:t>2028</w:t>
            </w:r>
          </w:p>
        </w:tc>
        <w:tc>
          <w:tcPr>
            <w:tcW w:w="802" w:type="dxa"/>
            <w:noWrap/>
            <w:hideMark/>
          </w:tcPr>
          <w:p w14:paraId="4E436171" w14:textId="77777777" w:rsidR="002060E2" w:rsidRPr="00CD2BF0" w:rsidRDefault="002060E2" w:rsidP="002060E2">
            <w:pPr>
              <w:pStyle w:val="E3TableHeading"/>
              <w:rPr>
                <w:szCs w:val="15"/>
                <w:lang w:val="en-NZ"/>
              </w:rPr>
            </w:pPr>
            <w:r w:rsidRPr="00CD2BF0">
              <w:rPr>
                <w:szCs w:val="15"/>
              </w:rPr>
              <w:t>2029</w:t>
            </w:r>
          </w:p>
        </w:tc>
        <w:tc>
          <w:tcPr>
            <w:tcW w:w="932" w:type="dxa"/>
            <w:noWrap/>
            <w:hideMark/>
          </w:tcPr>
          <w:p w14:paraId="09FE18BD" w14:textId="77777777" w:rsidR="002060E2" w:rsidRPr="00CD2BF0" w:rsidRDefault="002060E2" w:rsidP="002060E2">
            <w:pPr>
              <w:pStyle w:val="E3TableHeading"/>
              <w:rPr>
                <w:szCs w:val="15"/>
                <w:lang w:val="en-NZ"/>
              </w:rPr>
            </w:pPr>
            <w:r w:rsidRPr="00CD2BF0">
              <w:rPr>
                <w:szCs w:val="15"/>
              </w:rPr>
              <w:t>2030</w:t>
            </w:r>
          </w:p>
        </w:tc>
      </w:tr>
      <w:tr w:rsidR="002060E2" w:rsidRPr="004C2A7B" w14:paraId="16D6CCC8" w14:textId="77777777" w:rsidTr="002060E2">
        <w:trPr>
          <w:trHeight w:val="315"/>
        </w:trPr>
        <w:tc>
          <w:tcPr>
            <w:tcW w:w="1162" w:type="dxa"/>
            <w:tcBorders>
              <w:left w:val="nil"/>
              <w:right w:val="single" w:sz="12" w:space="0" w:color="auto"/>
            </w:tcBorders>
          </w:tcPr>
          <w:p w14:paraId="67EAF853"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NSW</w:t>
            </w:r>
          </w:p>
        </w:tc>
        <w:tc>
          <w:tcPr>
            <w:tcW w:w="672" w:type="dxa"/>
            <w:tcBorders>
              <w:left w:val="single" w:sz="12" w:space="0" w:color="auto"/>
              <w:right w:val="single" w:sz="12" w:space="0" w:color="auto"/>
            </w:tcBorders>
          </w:tcPr>
          <w:p w14:paraId="3C457912" w14:textId="77777777" w:rsidR="002060E2" w:rsidRPr="00CD2BF0" w:rsidRDefault="002060E2" w:rsidP="002060E2">
            <w:pPr>
              <w:pStyle w:val="E3tabletext1"/>
              <w:rPr>
                <w:rFonts w:ascii="Helvetica" w:hAnsi="Helvetica" w:cs="Helvetica"/>
                <w:sz w:val="15"/>
                <w:szCs w:val="15"/>
              </w:rPr>
            </w:pPr>
            <w:r w:rsidRPr="00CD2BF0">
              <w:rPr>
                <w:rFonts w:ascii="Helvetica" w:hAnsi="Helvetica" w:cs="Helvetica"/>
                <w:sz w:val="15"/>
                <w:szCs w:val="15"/>
              </w:rPr>
              <w:t>19.61</w:t>
            </w:r>
          </w:p>
        </w:tc>
        <w:tc>
          <w:tcPr>
            <w:tcW w:w="672" w:type="dxa"/>
            <w:tcBorders>
              <w:left w:val="single" w:sz="12" w:space="0" w:color="auto"/>
            </w:tcBorders>
            <w:noWrap/>
          </w:tcPr>
          <w:p w14:paraId="5042771D"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20.47</w:t>
            </w:r>
          </w:p>
        </w:tc>
        <w:tc>
          <w:tcPr>
            <w:tcW w:w="727" w:type="dxa"/>
            <w:noWrap/>
          </w:tcPr>
          <w:p w14:paraId="20E069A1"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21.28</w:t>
            </w:r>
          </w:p>
        </w:tc>
        <w:tc>
          <w:tcPr>
            <w:tcW w:w="853" w:type="dxa"/>
            <w:noWrap/>
          </w:tcPr>
          <w:p w14:paraId="5C411403"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22.12</w:t>
            </w:r>
          </w:p>
        </w:tc>
        <w:tc>
          <w:tcPr>
            <w:tcW w:w="854" w:type="dxa"/>
            <w:noWrap/>
          </w:tcPr>
          <w:p w14:paraId="47A99EB7"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22.91</w:t>
            </w:r>
          </w:p>
        </w:tc>
        <w:tc>
          <w:tcPr>
            <w:tcW w:w="854" w:type="dxa"/>
            <w:noWrap/>
          </w:tcPr>
          <w:p w14:paraId="513AB456"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23.77</w:t>
            </w:r>
          </w:p>
        </w:tc>
        <w:tc>
          <w:tcPr>
            <w:tcW w:w="722" w:type="dxa"/>
            <w:noWrap/>
          </w:tcPr>
          <w:p w14:paraId="5425299F"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24.44</w:t>
            </w:r>
          </w:p>
        </w:tc>
        <w:tc>
          <w:tcPr>
            <w:tcW w:w="802" w:type="dxa"/>
            <w:noWrap/>
          </w:tcPr>
          <w:p w14:paraId="30BAA58F"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25.21</w:t>
            </w:r>
          </w:p>
        </w:tc>
        <w:tc>
          <w:tcPr>
            <w:tcW w:w="803" w:type="dxa"/>
            <w:noWrap/>
          </w:tcPr>
          <w:p w14:paraId="036E2EE7"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25.79</w:t>
            </w:r>
          </w:p>
        </w:tc>
        <w:tc>
          <w:tcPr>
            <w:tcW w:w="802" w:type="dxa"/>
            <w:noWrap/>
          </w:tcPr>
          <w:p w14:paraId="350A0020"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25.96</w:t>
            </w:r>
          </w:p>
        </w:tc>
        <w:tc>
          <w:tcPr>
            <w:tcW w:w="932" w:type="dxa"/>
            <w:noWrap/>
          </w:tcPr>
          <w:p w14:paraId="5BB3ABE8"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26.31</w:t>
            </w:r>
          </w:p>
        </w:tc>
      </w:tr>
      <w:tr w:rsidR="002060E2" w:rsidRPr="004C2A7B" w14:paraId="26B8FA92" w14:textId="77777777" w:rsidTr="002060E2">
        <w:trPr>
          <w:trHeight w:val="315"/>
        </w:trPr>
        <w:tc>
          <w:tcPr>
            <w:tcW w:w="1162" w:type="dxa"/>
            <w:tcBorders>
              <w:left w:val="nil"/>
              <w:right w:val="single" w:sz="12" w:space="0" w:color="auto"/>
            </w:tcBorders>
          </w:tcPr>
          <w:p w14:paraId="497AE4E7"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ACT</w:t>
            </w:r>
          </w:p>
        </w:tc>
        <w:tc>
          <w:tcPr>
            <w:tcW w:w="672" w:type="dxa"/>
            <w:tcBorders>
              <w:left w:val="single" w:sz="12" w:space="0" w:color="auto"/>
              <w:right w:val="single" w:sz="12" w:space="0" w:color="auto"/>
            </w:tcBorders>
          </w:tcPr>
          <w:p w14:paraId="0AAC605E" w14:textId="77777777" w:rsidR="002060E2" w:rsidRPr="00CD2BF0" w:rsidRDefault="002060E2" w:rsidP="002060E2">
            <w:pPr>
              <w:pStyle w:val="E3tabletext1"/>
              <w:rPr>
                <w:rFonts w:ascii="Helvetica" w:hAnsi="Helvetica" w:cs="Helvetica"/>
                <w:sz w:val="15"/>
                <w:szCs w:val="15"/>
              </w:rPr>
            </w:pPr>
            <w:r w:rsidRPr="00CD2BF0">
              <w:rPr>
                <w:rFonts w:ascii="Helvetica" w:hAnsi="Helvetica" w:cs="Helvetica"/>
                <w:sz w:val="15"/>
                <w:szCs w:val="15"/>
              </w:rPr>
              <w:t>25.03</w:t>
            </w:r>
          </w:p>
        </w:tc>
        <w:tc>
          <w:tcPr>
            <w:tcW w:w="672" w:type="dxa"/>
            <w:tcBorders>
              <w:left w:val="single" w:sz="12" w:space="0" w:color="auto"/>
            </w:tcBorders>
            <w:noWrap/>
          </w:tcPr>
          <w:p w14:paraId="11F99F96"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26.13</w:t>
            </w:r>
          </w:p>
        </w:tc>
        <w:tc>
          <w:tcPr>
            <w:tcW w:w="727" w:type="dxa"/>
            <w:noWrap/>
          </w:tcPr>
          <w:p w14:paraId="306C0221"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27.16</w:t>
            </w:r>
          </w:p>
        </w:tc>
        <w:tc>
          <w:tcPr>
            <w:tcW w:w="853" w:type="dxa"/>
            <w:noWrap/>
          </w:tcPr>
          <w:p w14:paraId="3A9A6E27"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28.23</w:t>
            </w:r>
          </w:p>
        </w:tc>
        <w:tc>
          <w:tcPr>
            <w:tcW w:w="854" w:type="dxa"/>
            <w:noWrap/>
          </w:tcPr>
          <w:p w14:paraId="5180908E"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29.24</w:t>
            </w:r>
          </w:p>
        </w:tc>
        <w:tc>
          <w:tcPr>
            <w:tcW w:w="854" w:type="dxa"/>
            <w:noWrap/>
          </w:tcPr>
          <w:p w14:paraId="4C366EE1"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30.35</w:t>
            </w:r>
          </w:p>
        </w:tc>
        <w:tc>
          <w:tcPr>
            <w:tcW w:w="722" w:type="dxa"/>
            <w:noWrap/>
          </w:tcPr>
          <w:p w14:paraId="5F4878AA"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31.20</w:t>
            </w:r>
          </w:p>
        </w:tc>
        <w:tc>
          <w:tcPr>
            <w:tcW w:w="802" w:type="dxa"/>
            <w:noWrap/>
          </w:tcPr>
          <w:p w14:paraId="7A4A042C"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32.18</w:t>
            </w:r>
          </w:p>
        </w:tc>
        <w:tc>
          <w:tcPr>
            <w:tcW w:w="803" w:type="dxa"/>
            <w:noWrap/>
          </w:tcPr>
          <w:p w14:paraId="048EF3D7"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32.92</w:t>
            </w:r>
          </w:p>
        </w:tc>
        <w:tc>
          <w:tcPr>
            <w:tcW w:w="802" w:type="dxa"/>
            <w:noWrap/>
          </w:tcPr>
          <w:p w14:paraId="7B2D2949"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33.14</w:t>
            </w:r>
          </w:p>
        </w:tc>
        <w:tc>
          <w:tcPr>
            <w:tcW w:w="932" w:type="dxa"/>
            <w:noWrap/>
          </w:tcPr>
          <w:p w14:paraId="0E95DFD7"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33.59</w:t>
            </w:r>
          </w:p>
        </w:tc>
      </w:tr>
      <w:tr w:rsidR="002060E2" w:rsidRPr="004C2A7B" w14:paraId="306E496D" w14:textId="77777777" w:rsidTr="002060E2">
        <w:trPr>
          <w:trHeight w:val="315"/>
        </w:trPr>
        <w:tc>
          <w:tcPr>
            <w:tcW w:w="1162" w:type="dxa"/>
            <w:tcBorders>
              <w:left w:val="nil"/>
              <w:right w:val="single" w:sz="12" w:space="0" w:color="auto"/>
            </w:tcBorders>
          </w:tcPr>
          <w:p w14:paraId="2171871C"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NT</w:t>
            </w:r>
          </w:p>
        </w:tc>
        <w:tc>
          <w:tcPr>
            <w:tcW w:w="672" w:type="dxa"/>
            <w:tcBorders>
              <w:left w:val="single" w:sz="12" w:space="0" w:color="auto"/>
              <w:right w:val="single" w:sz="12" w:space="0" w:color="auto"/>
            </w:tcBorders>
          </w:tcPr>
          <w:p w14:paraId="1B590F5F" w14:textId="77777777" w:rsidR="002060E2" w:rsidRPr="00CD2BF0" w:rsidRDefault="002060E2" w:rsidP="002060E2">
            <w:pPr>
              <w:pStyle w:val="E3tabletext1"/>
              <w:rPr>
                <w:rFonts w:ascii="Helvetica" w:hAnsi="Helvetica" w:cs="Helvetica"/>
                <w:sz w:val="15"/>
                <w:szCs w:val="15"/>
              </w:rPr>
            </w:pPr>
            <w:r w:rsidRPr="00CD2BF0">
              <w:rPr>
                <w:rFonts w:ascii="Helvetica" w:hAnsi="Helvetica" w:cs="Helvetica"/>
                <w:sz w:val="15"/>
                <w:szCs w:val="15"/>
              </w:rPr>
              <w:t>32.32</w:t>
            </w:r>
          </w:p>
        </w:tc>
        <w:tc>
          <w:tcPr>
            <w:tcW w:w="672" w:type="dxa"/>
            <w:tcBorders>
              <w:left w:val="single" w:sz="12" w:space="0" w:color="auto"/>
            </w:tcBorders>
            <w:noWrap/>
          </w:tcPr>
          <w:p w14:paraId="42AF6CF4"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33.13</w:t>
            </w:r>
          </w:p>
        </w:tc>
        <w:tc>
          <w:tcPr>
            <w:tcW w:w="727" w:type="dxa"/>
            <w:noWrap/>
          </w:tcPr>
          <w:p w14:paraId="5EF3A461"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33.95</w:t>
            </w:r>
          </w:p>
        </w:tc>
        <w:tc>
          <w:tcPr>
            <w:tcW w:w="853" w:type="dxa"/>
            <w:noWrap/>
          </w:tcPr>
          <w:p w14:paraId="43F611FA"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34.80</w:t>
            </w:r>
          </w:p>
        </w:tc>
        <w:tc>
          <w:tcPr>
            <w:tcW w:w="854" w:type="dxa"/>
            <w:noWrap/>
          </w:tcPr>
          <w:p w14:paraId="521C7D82"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35.67</w:t>
            </w:r>
          </w:p>
        </w:tc>
        <w:tc>
          <w:tcPr>
            <w:tcW w:w="854" w:type="dxa"/>
            <w:noWrap/>
          </w:tcPr>
          <w:p w14:paraId="2A07CE54"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36.56</w:t>
            </w:r>
          </w:p>
        </w:tc>
        <w:tc>
          <w:tcPr>
            <w:tcW w:w="722" w:type="dxa"/>
            <w:noWrap/>
          </w:tcPr>
          <w:p w14:paraId="088327CA"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37.48</w:t>
            </w:r>
          </w:p>
        </w:tc>
        <w:tc>
          <w:tcPr>
            <w:tcW w:w="802" w:type="dxa"/>
            <w:noWrap/>
          </w:tcPr>
          <w:p w14:paraId="2A9A177F"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38.42</w:t>
            </w:r>
          </w:p>
        </w:tc>
        <w:tc>
          <w:tcPr>
            <w:tcW w:w="803" w:type="dxa"/>
            <w:noWrap/>
          </w:tcPr>
          <w:p w14:paraId="748435EE"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39.38</w:t>
            </w:r>
          </w:p>
        </w:tc>
        <w:tc>
          <w:tcPr>
            <w:tcW w:w="802" w:type="dxa"/>
            <w:noWrap/>
          </w:tcPr>
          <w:p w14:paraId="0F15E0A7"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40.36</w:t>
            </w:r>
          </w:p>
        </w:tc>
        <w:tc>
          <w:tcPr>
            <w:tcW w:w="932" w:type="dxa"/>
            <w:noWrap/>
          </w:tcPr>
          <w:p w14:paraId="55581D71"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41.37</w:t>
            </w:r>
          </w:p>
        </w:tc>
      </w:tr>
      <w:tr w:rsidR="002060E2" w:rsidRPr="004C2A7B" w14:paraId="29BC7BC2" w14:textId="77777777" w:rsidTr="002060E2">
        <w:trPr>
          <w:trHeight w:val="315"/>
        </w:trPr>
        <w:tc>
          <w:tcPr>
            <w:tcW w:w="1162" w:type="dxa"/>
            <w:tcBorders>
              <w:left w:val="nil"/>
              <w:right w:val="single" w:sz="12" w:space="0" w:color="auto"/>
            </w:tcBorders>
          </w:tcPr>
          <w:p w14:paraId="1203981E"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QLD</w:t>
            </w:r>
          </w:p>
        </w:tc>
        <w:tc>
          <w:tcPr>
            <w:tcW w:w="672" w:type="dxa"/>
            <w:tcBorders>
              <w:left w:val="single" w:sz="12" w:space="0" w:color="auto"/>
              <w:right w:val="single" w:sz="12" w:space="0" w:color="auto"/>
            </w:tcBorders>
          </w:tcPr>
          <w:p w14:paraId="2EEF6F3F" w14:textId="77777777" w:rsidR="002060E2" w:rsidRPr="00CD2BF0" w:rsidRDefault="002060E2" w:rsidP="002060E2">
            <w:pPr>
              <w:pStyle w:val="E3tabletext1"/>
              <w:rPr>
                <w:rFonts w:ascii="Helvetica" w:hAnsi="Helvetica" w:cs="Helvetica"/>
                <w:sz w:val="15"/>
                <w:szCs w:val="15"/>
              </w:rPr>
            </w:pPr>
            <w:r w:rsidRPr="00CD2BF0">
              <w:rPr>
                <w:rFonts w:ascii="Helvetica" w:hAnsi="Helvetica" w:cs="Helvetica"/>
                <w:sz w:val="15"/>
                <w:szCs w:val="15"/>
              </w:rPr>
              <w:t>17.61</w:t>
            </w:r>
          </w:p>
        </w:tc>
        <w:tc>
          <w:tcPr>
            <w:tcW w:w="672" w:type="dxa"/>
            <w:tcBorders>
              <w:left w:val="single" w:sz="12" w:space="0" w:color="auto"/>
            </w:tcBorders>
            <w:noWrap/>
          </w:tcPr>
          <w:p w14:paraId="328B8E24"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18.47</w:t>
            </w:r>
          </w:p>
        </w:tc>
        <w:tc>
          <w:tcPr>
            <w:tcW w:w="727" w:type="dxa"/>
            <w:noWrap/>
          </w:tcPr>
          <w:p w14:paraId="2ED8D525"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19.15</w:t>
            </w:r>
          </w:p>
        </w:tc>
        <w:tc>
          <w:tcPr>
            <w:tcW w:w="853" w:type="dxa"/>
            <w:noWrap/>
          </w:tcPr>
          <w:p w14:paraId="4F75ACA8"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19.70</w:t>
            </w:r>
          </w:p>
        </w:tc>
        <w:tc>
          <w:tcPr>
            <w:tcW w:w="854" w:type="dxa"/>
            <w:noWrap/>
          </w:tcPr>
          <w:p w14:paraId="706D760E"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19.97</w:t>
            </w:r>
          </w:p>
        </w:tc>
        <w:tc>
          <w:tcPr>
            <w:tcW w:w="854" w:type="dxa"/>
            <w:noWrap/>
          </w:tcPr>
          <w:p w14:paraId="3256ECCD"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20.28</w:t>
            </w:r>
          </w:p>
        </w:tc>
        <w:tc>
          <w:tcPr>
            <w:tcW w:w="722" w:type="dxa"/>
            <w:noWrap/>
          </w:tcPr>
          <w:p w14:paraId="4BC735BC"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20.73</w:t>
            </w:r>
          </w:p>
        </w:tc>
        <w:tc>
          <w:tcPr>
            <w:tcW w:w="802" w:type="dxa"/>
            <w:noWrap/>
          </w:tcPr>
          <w:p w14:paraId="34654F27"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21.27</w:t>
            </w:r>
          </w:p>
        </w:tc>
        <w:tc>
          <w:tcPr>
            <w:tcW w:w="803" w:type="dxa"/>
            <w:noWrap/>
          </w:tcPr>
          <w:p w14:paraId="2D9A6D8D"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21.68</w:t>
            </w:r>
          </w:p>
        </w:tc>
        <w:tc>
          <w:tcPr>
            <w:tcW w:w="802" w:type="dxa"/>
            <w:noWrap/>
          </w:tcPr>
          <w:p w14:paraId="186980A8"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21.88</w:t>
            </w:r>
          </w:p>
        </w:tc>
        <w:tc>
          <w:tcPr>
            <w:tcW w:w="932" w:type="dxa"/>
            <w:noWrap/>
          </w:tcPr>
          <w:p w14:paraId="22797CFB"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22.05</w:t>
            </w:r>
          </w:p>
        </w:tc>
      </w:tr>
      <w:tr w:rsidR="002060E2" w:rsidRPr="004C2A7B" w14:paraId="006951D7" w14:textId="77777777" w:rsidTr="002060E2">
        <w:trPr>
          <w:trHeight w:val="315"/>
        </w:trPr>
        <w:tc>
          <w:tcPr>
            <w:tcW w:w="1162" w:type="dxa"/>
            <w:tcBorders>
              <w:left w:val="nil"/>
              <w:right w:val="single" w:sz="12" w:space="0" w:color="auto"/>
            </w:tcBorders>
          </w:tcPr>
          <w:p w14:paraId="3EE47B66"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SA</w:t>
            </w:r>
          </w:p>
        </w:tc>
        <w:tc>
          <w:tcPr>
            <w:tcW w:w="672" w:type="dxa"/>
            <w:tcBorders>
              <w:left w:val="single" w:sz="12" w:space="0" w:color="auto"/>
              <w:right w:val="single" w:sz="12" w:space="0" w:color="auto"/>
            </w:tcBorders>
          </w:tcPr>
          <w:p w14:paraId="5E5EBB30" w14:textId="77777777" w:rsidR="002060E2" w:rsidRPr="00CD2BF0" w:rsidRDefault="002060E2" w:rsidP="002060E2">
            <w:pPr>
              <w:pStyle w:val="E3tabletext1"/>
              <w:rPr>
                <w:rFonts w:ascii="Helvetica" w:hAnsi="Helvetica" w:cs="Helvetica"/>
                <w:sz w:val="15"/>
                <w:szCs w:val="15"/>
              </w:rPr>
            </w:pPr>
            <w:r w:rsidRPr="00CD2BF0">
              <w:rPr>
                <w:rFonts w:ascii="Helvetica" w:hAnsi="Helvetica" w:cs="Helvetica"/>
                <w:sz w:val="15"/>
                <w:szCs w:val="15"/>
              </w:rPr>
              <w:t>18.29</w:t>
            </w:r>
          </w:p>
        </w:tc>
        <w:tc>
          <w:tcPr>
            <w:tcW w:w="672" w:type="dxa"/>
            <w:tcBorders>
              <w:left w:val="single" w:sz="12" w:space="0" w:color="auto"/>
            </w:tcBorders>
            <w:noWrap/>
          </w:tcPr>
          <w:p w14:paraId="7340170C"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17.80</w:t>
            </w:r>
          </w:p>
        </w:tc>
        <w:tc>
          <w:tcPr>
            <w:tcW w:w="727" w:type="dxa"/>
            <w:noWrap/>
          </w:tcPr>
          <w:p w14:paraId="7CC115CD"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18.51</w:t>
            </w:r>
          </w:p>
        </w:tc>
        <w:tc>
          <w:tcPr>
            <w:tcW w:w="853" w:type="dxa"/>
            <w:noWrap/>
          </w:tcPr>
          <w:p w14:paraId="166E4FCA"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19.29</w:t>
            </w:r>
          </w:p>
        </w:tc>
        <w:tc>
          <w:tcPr>
            <w:tcW w:w="854" w:type="dxa"/>
            <w:noWrap/>
          </w:tcPr>
          <w:p w14:paraId="20F7A4AB"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20.09</w:t>
            </w:r>
          </w:p>
        </w:tc>
        <w:tc>
          <w:tcPr>
            <w:tcW w:w="854" w:type="dxa"/>
            <w:noWrap/>
          </w:tcPr>
          <w:p w14:paraId="5774F502"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21.07</w:t>
            </w:r>
          </w:p>
        </w:tc>
        <w:tc>
          <w:tcPr>
            <w:tcW w:w="722" w:type="dxa"/>
            <w:noWrap/>
          </w:tcPr>
          <w:p w14:paraId="3CE8331B"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22.05</w:t>
            </w:r>
          </w:p>
        </w:tc>
        <w:tc>
          <w:tcPr>
            <w:tcW w:w="802" w:type="dxa"/>
            <w:noWrap/>
          </w:tcPr>
          <w:p w14:paraId="32FD636F"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22.53</w:t>
            </w:r>
          </w:p>
        </w:tc>
        <w:tc>
          <w:tcPr>
            <w:tcW w:w="803" w:type="dxa"/>
            <w:noWrap/>
          </w:tcPr>
          <w:p w14:paraId="3DDC5DE2"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22.66</w:t>
            </w:r>
          </w:p>
        </w:tc>
        <w:tc>
          <w:tcPr>
            <w:tcW w:w="802" w:type="dxa"/>
            <w:noWrap/>
          </w:tcPr>
          <w:p w14:paraId="4A0A88A8"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22.86</w:t>
            </w:r>
          </w:p>
        </w:tc>
        <w:tc>
          <w:tcPr>
            <w:tcW w:w="932" w:type="dxa"/>
            <w:noWrap/>
          </w:tcPr>
          <w:p w14:paraId="112981E8"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23.43</w:t>
            </w:r>
          </w:p>
        </w:tc>
      </w:tr>
      <w:tr w:rsidR="002060E2" w:rsidRPr="004C2A7B" w14:paraId="16596FC3" w14:textId="77777777" w:rsidTr="002060E2">
        <w:trPr>
          <w:trHeight w:val="315"/>
        </w:trPr>
        <w:tc>
          <w:tcPr>
            <w:tcW w:w="1162" w:type="dxa"/>
            <w:tcBorders>
              <w:left w:val="nil"/>
              <w:right w:val="single" w:sz="12" w:space="0" w:color="auto"/>
            </w:tcBorders>
          </w:tcPr>
          <w:p w14:paraId="63754D31"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TAS</w:t>
            </w:r>
          </w:p>
        </w:tc>
        <w:tc>
          <w:tcPr>
            <w:tcW w:w="672" w:type="dxa"/>
            <w:tcBorders>
              <w:left w:val="single" w:sz="12" w:space="0" w:color="auto"/>
              <w:right w:val="single" w:sz="12" w:space="0" w:color="auto"/>
            </w:tcBorders>
          </w:tcPr>
          <w:p w14:paraId="261F3176" w14:textId="77777777" w:rsidR="002060E2" w:rsidRPr="00CD2BF0" w:rsidRDefault="002060E2" w:rsidP="002060E2">
            <w:pPr>
              <w:pStyle w:val="E3tabletext1"/>
              <w:rPr>
                <w:rFonts w:ascii="Helvetica" w:hAnsi="Helvetica" w:cs="Helvetica"/>
                <w:sz w:val="15"/>
                <w:szCs w:val="15"/>
              </w:rPr>
            </w:pPr>
            <w:r w:rsidRPr="00CD2BF0">
              <w:rPr>
                <w:rFonts w:ascii="Helvetica" w:hAnsi="Helvetica" w:cs="Helvetica"/>
                <w:sz w:val="15"/>
                <w:szCs w:val="15"/>
              </w:rPr>
              <w:t>13.49</w:t>
            </w:r>
          </w:p>
        </w:tc>
        <w:tc>
          <w:tcPr>
            <w:tcW w:w="672" w:type="dxa"/>
            <w:tcBorders>
              <w:left w:val="single" w:sz="12" w:space="0" w:color="auto"/>
            </w:tcBorders>
            <w:noWrap/>
          </w:tcPr>
          <w:p w14:paraId="15B949DF"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14.05</w:t>
            </w:r>
          </w:p>
        </w:tc>
        <w:tc>
          <w:tcPr>
            <w:tcW w:w="727" w:type="dxa"/>
            <w:noWrap/>
          </w:tcPr>
          <w:p w14:paraId="0053A6DD"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14.81</w:t>
            </w:r>
          </w:p>
        </w:tc>
        <w:tc>
          <w:tcPr>
            <w:tcW w:w="853" w:type="dxa"/>
            <w:noWrap/>
          </w:tcPr>
          <w:p w14:paraId="24351E44"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15.72</w:t>
            </w:r>
          </w:p>
        </w:tc>
        <w:tc>
          <w:tcPr>
            <w:tcW w:w="854" w:type="dxa"/>
            <w:noWrap/>
          </w:tcPr>
          <w:p w14:paraId="24D6D01A"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16.72</w:t>
            </w:r>
          </w:p>
        </w:tc>
        <w:tc>
          <w:tcPr>
            <w:tcW w:w="854" w:type="dxa"/>
            <w:noWrap/>
          </w:tcPr>
          <w:p w14:paraId="5FFA3C8D"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18.11</w:t>
            </w:r>
          </w:p>
        </w:tc>
        <w:tc>
          <w:tcPr>
            <w:tcW w:w="722" w:type="dxa"/>
            <w:noWrap/>
          </w:tcPr>
          <w:p w14:paraId="1DF1D586"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19.34</w:t>
            </w:r>
          </w:p>
        </w:tc>
        <w:tc>
          <w:tcPr>
            <w:tcW w:w="802" w:type="dxa"/>
            <w:noWrap/>
          </w:tcPr>
          <w:p w14:paraId="61994986"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19.60</w:t>
            </w:r>
          </w:p>
        </w:tc>
        <w:tc>
          <w:tcPr>
            <w:tcW w:w="803" w:type="dxa"/>
            <w:noWrap/>
          </w:tcPr>
          <w:p w14:paraId="50A67D55"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19.33</w:t>
            </w:r>
          </w:p>
        </w:tc>
        <w:tc>
          <w:tcPr>
            <w:tcW w:w="802" w:type="dxa"/>
            <w:noWrap/>
          </w:tcPr>
          <w:p w14:paraId="1E23160D"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19.21</w:t>
            </w:r>
          </w:p>
        </w:tc>
        <w:tc>
          <w:tcPr>
            <w:tcW w:w="932" w:type="dxa"/>
            <w:noWrap/>
          </w:tcPr>
          <w:p w14:paraId="4311A0FA"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19.52</w:t>
            </w:r>
          </w:p>
        </w:tc>
      </w:tr>
      <w:tr w:rsidR="002060E2" w:rsidRPr="004C2A7B" w14:paraId="07C548D5" w14:textId="77777777" w:rsidTr="002060E2">
        <w:trPr>
          <w:trHeight w:val="315"/>
        </w:trPr>
        <w:tc>
          <w:tcPr>
            <w:tcW w:w="1162" w:type="dxa"/>
            <w:tcBorders>
              <w:left w:val="nil"/>
              <w:right w:val="single" w:sz="12" w:space="0" w:color="auto"/>
            </w:tcBorders>
          </w:tcPr>
          <w:p w14:paraId="0021569F"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VIC</w:t>
            </w:r>
          </w:p>
        </w:tc>
        <w:tc>
          <w:tcPr>
            <w:tcW w:w="672" w:type="dxa"/>
            <w:tcBorders>
              <w:left w:val="single" w:sz="12" w:space="0" w:color="auto"/>
              <w:right w:val="single" w:sz="12" w:space="0" w:color="auto"/>
            </w:tcBorders>
          </w:tcPr>
          <w:p w14:paraId="1A04CFE1" w14:textId="77777777" w:rsidR="002060E2" w:rsidRPr="00CD2BF0" w:rsidRDefault="002060E2" w:rsidP="002060E2">
            <w:pPr>
              <w:pStyle w:val="E3tabletext1"/>
              <w:rPr>
                <w:rFonts w:ascii="Helvetica" w:hAnsi="Helvetica" w:cs="Helvetica"/>
                <w:sz w:val="15"/>
                <w:szCs w:val="15"/>
              </w:rPr>
            </w:pPr>
            <w:r w:rsidRPr="00CD2BF0">
              <w:rPr>
                <w:rFonts w:ascii="Helvetica" w:hAnsi="Helvetica" w:cs="Helvetica"/>
                <w:sz w:val="15"/>
                <w:szCs w:val="15"/>
              </w:rPr>
              <w:t>18.94</w:t>
            </w:r>
          </w:p>
        </w:tc>
        <w:tc>
          <w:tcPr>
            <w:tcW w:w="672" w:type="dxa"/>
            <w:tcBorders>
              <w:left w:val="single" w:sz="12" w:space="0" w:color="auto"/>
            </w:tcBorders>
            <w:noWrap/>
          </w:tcPr>
          <w:p w14:paraId="45A7B478"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19.63</w:t>
            </w:r>
          </w:p>
        </w:tc>
        <w:tc>
          <w:tcPr>
            <w:tcW w:w="727" w:type="dxa"/>
            <w:noWrap/>
          </w:tcPr>
          <w:p w14:paraId="4DC33D9C"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20.26</w:t>
            </w:r>
          </w:p>
        </w:tc>
        <w:tc>
          <w:tcPr>
            <w:tcW w:w="853" w:type="dxa"/>
            <w:noWrap/>
          </w:tcPr>
          <w:p w14:paraId="561F69CE"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21.11</w:t>
            </w:r>
          </w:p>
        </w:tc>
        <w:tc>
          <w:tcPr>
            <w:tcW w:w="854" w:type="dxa"/>
            <w:noWrap/>
          </w:tcPr>
          <w:p w14:paraId="0E2ADF67"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22.01</w:t>
            </w:r>
          </w:p>
        </w:tc>
        <w:tc>
          <w:tcPr>
            <w:tcW w:w="854" w:type="dxa"/>
            <w:noWrap/>
          </w:tcPr>
          <w:p w14:paraId="1DC9248C"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23.21</w:t>
            </w:r>
          </w:p>
        </w:tc>
        <w:tc>
          <w:tcPr>
            <w:tcW w:w="722" w:type="dxa"/>
            <w:noWrap/>
          </w:tcPr>
          <w:p w14:paraId="488BD631"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24.22</w:t>
            </w:r>
          </w:p>
        </w:tc>
        <w:tc>
          <w:tcPr>
            <w:tcW w:w="802" w:type="dxa"/>
            <w:noWrap/>
          </w:tcPr>
          <w:p w14:paraId="37A4ECA5"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24.55</w:t>
            </w:r>
          </w:p>
        </w:tc>
        <w:tc>
          <w:tcPr>
            <w:tcW w:w="803" w:type="dxa"/>
            <w:noWrap/>
          </w:tcPr>
          <w:p w14:paraId="4D173D6C"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24.67</w:t>
            </w:r>
          </w:p>
        </w:tc>
        <w:tc>
          <w:tcPr>
            <w:tcW w:w="802" w:type="dxa"/>
            <w:noWrap/>
          </w:tcPr>
          <w:p w14:paraId="0F9C3D04"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25.07</w:t>
            </w:r>
          </w:p>
        </w:tc>
        <w:tc>
          <w:tcPr>
            <w:tcW w:w="932" w:type="dxa"/>
            <w:noWrap/>
          </w:tcPr>
          <w:p w14:paraId="77DD81B1"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25.80</w:t>
            </w:r>
          </w:p>
        </w:tc>
      </w:tr>
      <w:tr w:rsidR="002060E2" w:rsidRPr="004C2A7B" w14:paraId="6C515DC8" w14:textId="77777777" w:rsidTr="002060E2">
        <w:trPr>
          <w:trHeight w:val="315"/>
        </w:trPr>
        <w:tc>
          <w:tcPr>
            <w:tcW w:w="1162" w:type="dxa"/>
            <w:tcBorders>
              <w:left w:val="nil"/>
              <w:right w:val="single" w:sz="12" w:space="0" w:color="auto"/>
            </w:tcBorders>
          </w:tcPr>
          <w:p w14:paraId="3687CBA7"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WA</w:t>
            </w:r>
          </w:p>
        </w:tc>
        <w:tc>
          <w:tcPr>
            <w:tcW w:w="672" w:type="dxa"/>
            <w:tcBorders>
              <w:left w:val="single" w:sz="12" w:space="0" w:color="auto"/>
              <w:right w:val="single" w:sz="12" w:space="0" w:color="auto"/>
            </w:tcBorders>
          </w:tcPr>
          <w:p w14:paraId="129C88F5" w14:textId="77777777" w:rsidR="002060E2" w:rsidRPr="00CD2BF0" w:rsidRDefault="002060E2" w:rsidP="002060E2">
            <w:pPr>
              <w:pStyle w:val="E3tabletext1"/>
              <w:rPr>
                <w:rFonts w:ascii="Helvetica" w:hAnsi="Helvetica" w:cs="Helvetica"/>
                <w:sz w:val="15"/>
                <w:szCs w:val="15"/>
              </w:rPr>
            </w:pPr>
            <w:r w:rsidRPr="00CD2BF0">
              <w:rPr>
                <w:rFonts w:ascii="Helvetica" w:hAnsi="Helvetica" w:cs="Helvetica"/>
                <w:sz w:val="15"/>
                <w:szCs w:val="15"/>
              </w:rPr>
              <w:t>29.74</w:t>
            </w:r>
          </w:p>
        </w:tc>
        <w:tc>
          <w:tcPr>
            <w:tcW w:w="672" w:type="dxa"/>
            <w:tcBorders>
              <w:left w:val="single" w:sz="12" w:space="0" w:color="auto"/>
            </w:tcBorders>
            <w:noWrap/>
          </w:tcPr>
          <w:p w14:paraId="1A3ED6D4"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30.48</w:t>
            </w:r>
          </w:p>
        </w:tc>
        <w:tc>
          <w:tcPr>
            <w:tcW w:w="727" w:type="dxa"/>
            <w:noWrap/>
          </w:tcPr>
          <w:p w14:paraId="77C442DA"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31.25</w:t>
            </w:r>
          </w:p>
        </w:tc>
        <w:tc>
          <w:tcPr>
            <w:tcW w:w="853" w:type="dxa"/>
            <w:noWrap/>
          </w:tcPr>
          <w:p w14:paraId="3F459C1B"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32.03</w:t>
            </w:r>
          </w:p>
        </w:tc>
        <w:tc>
          <w:tcPr>
            <w:tcW w:w="854" w:type="dxa"/>
            <w:noWrap/>
          </w:tcPr>
          <w:p w14:paraId="6C829BD6"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32.83</w:t>
            </w:r>
          </w:p>
        </w:tc>
        <w:tc>
          <w:tcPr>
            <w:tcW w:w="854" w:type="dxa"/>
            <w:noWrap/>
          </w:tcPr>
          <w:p w14:paraId="69A14D63"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33.65</w:t>
            </w:r>
          </w:p>
        </w:tc>
        <w:tc>
          <w:tcPr>
            <w:tcW w:w="722" w:type="dxa"/>
            <w:noWrap/>
          </w:tcPr>
          <w:p w14:paraId="6C22B77D"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34.49</w:t>
            </w:r>
          </w:p>
        </w:tc>
        <w:tc>
          <w:tcPr>
            <w:tcW w:w="802" w:type="dxa"/>
            <w:noWrap/>
          </w:tcPr>
          <w:p w14:paraId="0AE61F2A"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35.35</w:t>
            </w:r>
          </w:p>
        </w:tc>
        <w:tc>
          <w:tcPr>
            <w:tcW w:w="803" w:type="dxa"/>
            <w:noWrap/>
          </w:tcPr>
          <w:p w14:paraId="39463F56"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36.24</w:t>
            </w:r>
          </w:p>
        </w:tc>
        <w:tc>
          <w:tcPr>
            <w:tcW w:w="802" w:type="dxa"/>
            <w:noWrap/>
          </w:tcPr>
          <w:p w14:paraId="56F89F1B"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37.14</w:t>
            </w:r>
          </w:p>
        </w:tc>
        <w:tc>
          <w:tcPr>
            <w:tcW w:w="932" w:type="dxa"/>
            <w:noWrap/>
          </w:tcPr>
          <w:p w14:paraId="1AFCB8FC"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38.07</w:t>
            </w:r>
          </w:p>
        </w:tc>
      </w:tr>
      <w:tr w:rsidR="002060E2" w:rsidRPr="004C2A7B" w14:paraId="2D78D1AE" w14:textId="77777777" w:rsidTr="002060E2">
        <w:trPr>
          <w:trHeight w:val="315"/>
        </w:trPr>
        <w:tc>
          <w:tcPr>
            <w:tcW w:w="1162" w:type="dxa"/>
            <w:tcBorders>
              <w:left w:val="nil"/>
              <w:right w:val="single" w:sz="12" w:space="0" w:color="auto"/>
            </w:tcBorders>
          </w:tcPr>
          <w:p w14:paraId="0887B161"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NZ (NZ cents)</w:t>
            </w:r>
          </w:p>
        </w:tc>
        <w:tc>
          <w:tcPr>
            <w:tcW w:w="672" w:type="dxa"/>
            <w:tcBorders>
              <w:left w:val="single" w:sz="12" w:space="0" w:color="auto"/>
              <w:right w:val="single" w:sz="12" w:space="0" w:color="auto"/>
            </w:tcBorders>
          </w:tcPr>
          <w:p w14:paraId="58AC831F" w14:textId="77777777" w:rsidR="002060E2" w:rsidRPr="00CD2BF0" w:rsidRDefault="002060E2" w:rsidP="002060E2">
            <w:pPr>
              <w:pStyle w:val="E3tabletext1"/>
              <w:rPr>
                <w:rFonts w:ascii="Helvetica" w:hAnsi="Helvetica" w:cs="Helvetica"/>
                <w:color w:val="000000"/>
                <w:sz w:val="15"/>
                <w:szCs w:val="15"/>
                <w:lang w:val="en-US"/>
              </w:rPr>
            </w:pPr>
            <w:r w:rsidRPr="00CD2BF0">
              <w:rPr>
                <w:rFonts w:ascii="Helvetica" w:hAnsi="Helvetica" w:cs="Helvetica"/>
                <w:sz w:val="15"/>
                <w:szCs w:val="15"/>
              </w:rPr>
              <w:t>16.62</w:t>
            </w:r>
          </w:p>
        </w:tc>
        <w:tc>
          <w:tcPr>
            <w:tcW w:w="672" w:type="dxa"/>
            <w:tcBorders>
              <w:left w:val="single" w:sz="12" w:space="0" w:color="auto"/>
            </w:tcBorders>
            <w:noWrap/>
          </w:tcPr>
          <w:p w14:paraId="6D2F0E88"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727" w:type="dxa"/>
            <w:noWrap/>
          </w:tcPr>
          <w:p w14:paraId="414D622E"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853" w:type="dxa"/>
            <w:noWrap/>
          </w:tcPr>
          <w:p w14:paraId="50BC5268"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854" w:type="dxa"/>
            <w:noWrap/>
          </w:tcPr>
          <w:p w14:paraId="63B2357F"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854" w:type="dxa"/>
            <w:noWrap/>
          </w:tcPr>
          <w:p w14:paraId="46BB418C"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722" w:type="dxa"/>
            <w:noWrap/>
          </w:tcPr>
          <w:p w14:paraId="18CE6DBB"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802" w:type="dxa"/>
            <w:noWrap/>
          </w:tcPr>
          <w:p w14:paraId="4254588E"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803" w:type="dxa"/>
            <w:noWrap/>
          </w:tcPr>
          <w:p w14:paraId="38D60D36"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802" w:type="dxa"/>
            <w:noWrap/>
          </w:tcPr>
          <w:p w14:paraId="06C5B15A"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932" w:type="dxa"/>
            <w:noWrap/>
          </w:tcPr>
          <w:p w14:paraId="69319047" w14:textId="77777777" w:rsidR="002060E2" w:rsidRPr="00CD2BF0" w:rsidRDefault="002060E2" w:rsidP="002060E2">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r>
      <w:tr w:rsidR="002060E2" w14:paraId="0501E52B" w14:textId="77777777" w:rsidTr="002060E2">
        <w:trPr>
          <w:trHeight w:val="300"/>
        </w:trPr>
        <w:tc>
          <w:tcPr>
            <w:tcW w:w="1162" w:type="dxa"/>
            <w:tcBorders>
              <w:left w:val="nil"/>
              <w:right w:val="single" w:sz="12" w:space="0" w:color="auto"/>
            </w:tcBorders>
          </w:tcPr>
          <w:p w14:paraId="0F10CA8B" w14:textId="77777777" w:rsidR="002060E2" w:rsidRPr="00CD2BF0" w:rsidRDefault="002060E2" w:rsidP="002060E2">
            <w:pPr>
              <w:pStyle w:val="E3tabletext1"/>
              <w:rPr>
                <w:rFonts w:ascii="Helvetica" w:hAnsi="Helvetica" w:cs="Helvetica"/>
                <w:sz w:val="15"/>
                <w:szCs w:val="15"/>
              </w:rPr>
            </w:pPr>
            <w:r w:rsidRPr="00CD2BF0">
              <w:rPr>
                <w:rFonts w:ascii="Helvetica" w:hAnsi="Helvetica" w:cs="Helvetica"/>
                <w:sz w:val="15"/>
                <w:szCs w:val="15"/>
              </w:rPr>
              <w:t>NZ Long run marginal cost</w:t>
            </w:r>
          </w:p>
        </w:tc>
        <w:tc>
          <w:tcPr>
            <w:tcW w:w="672" w:type="dxa"/>
            <w:tcBorders>
              <w:left w:val="single" w:sz="12" w:space="0" w:color="auto"/>
              <w:right w:val="single" w:sz="12" w:space="0" w:color="auto"/>
            </w:tcBorders>
          </w:tcPr>
          <w:p w14:paraId="1236F12B" w14:textId="77777777" w:rsidR="002060E2" w:rsidRPr="00CD2BF0" w:rsidRDefault="002060E2" w:rsidP="002060E2">
            <w:pPr>
              <w:pStyle w:val="E3tabletext1"/>
              <w:rPr>
                <w:rFonts w:ascii="Helvetica" w:hAnsi="Helvetica" w:cs="Helvetica"/>
                <w:sz w:val="15"/>
                <w:szCs w:val="15"/>
              </w:rPr>
            </w:pPr>
            <w:r w:rsidRPr="00CD2BF0">
              <w:rPr>
                <w:rFonts w:ascii="Helvetica" w:hAnsi="Helvetica" w:cs="Helvetica"/>
                <w:sz w:val="15"/>
                <w:szCs w:val="15"/>
              </w:rPr>
              <w:t>8.79</w:t>
            </w:r>
          </w:p>
        </w:tc>
        <w:tc>
          <w:tcPr>
            <w:tcW w:w="672" w:type="dxa"/>
            <w:tcBorders>
              <w:left w:val="single" w:sz="12" w:space="0" w:color="auto"/>
            </w:tcBorders>
            <w:noWrap/>
          </w:tcPr>
          <w:p w14:paraId="60CEBAB6" w14:textId="77777777" w:rsidR="002060E2" w:rsidRPr="00CD2BF0" w:rsidRDefault="002060E2" w:rsidP="002060E2">
            <w:pPr>
              <w:pStyle w:val="E3tabletext1"/>
              <w:rPr>
                <w:rFonts w:ascii="Helvetica" w:hAnsi="Helvetica" w:cs="Helvetica"/>
                <w:sz w:val="15"/>
                <w:szCs w:val="15"/>
              </w:rPr>
            </w:pPr>
            <w:r w:rsidRPr="00CD2BF0">
              <w:rPr>
                <w:rFonts w:ascii="Helvetica" w:hAnsi="Helvetica" w:cs="Helvetica"/>
                <w:sz w:val="15"/>
                <w:szCs w:val="15"/>
              </w:rPr>
              <w:t>8.79</w:t>
            </w:r>
          </w:p>
        </w:tc>
        <w:tc>
          <w:tcPr>
            <w:tcW w:w="727" w:type="dxa"/>
            <w:noWrap/>
          </w:tcPr>
          <w:p w14:paraId="75DDCBE1" w14:textId="77777777" w:rsidR="002060E2" w:rsidRPr="00CD2BF0" w:rsidRDefault="002060E2" w:rsidP="002060E2">
            <w:pPr>
              <w:pStyle w:val="E3tabletext1"/>
              <w:rPr>
                <w:rFonts w:ascii="Helvetica" w:hAnsi="Helvetica" w:cs="Helvetica"/>
                <w:sz w:val="15"/>
                <w:szCs w:val="15"/>
              </w:rPr>
            </w:pPr>
            <w:r w:rsidRPr="00CD2BF0">
              <w:rPr>
                <w:rFonts w:ascii="Helvetica" w:hAnsi="Helvetica" w:cs="Helvetica"/>
                <w:sz w:val="15"/>
                <w:szCs w:val="15"/>
              </w:rPr>
              <w:t>8.79</w:t>
            </w:r>
          </w:p>
        </w:tc>
        <w:tc>
          <w:tcPr>
            <w:tcW w:w="853" w:type="dxa"/>
            <w:noWrap/>
          </w:tcPr>
          <w:p w14:paraId="58E368EE" w14:textId="77777777" w:rsidR="002060E2" w:rsidRPr="00CD2BF0" w:rsidRDefault="002060E2" w:rsidP="002060E2">
            <w:pPr>
              <w:pStyle w:val="E3tabletext1"/>
              <w:rPr>
                <w:rFonts w:ascii="Helvetica" w:hAnsi="Helvetica" w:cs="Helvetica"/>
                <w:sz w:val="15"/>
                <w:szCs w:val="15"/>
              </w:rPr>
            </w:pPr>
            <w:r w:rsidRPr="00CD2BF0">
              <w:rPr>
                <w:rFonts w:ascii="Helvetica" w:hAnsi="Helvetica" w:cs="Helvetica"/>
                <w:sz w:val="15"/>
                <w:szCs w:val="15"/>
              </w:rPr>
              <w:t>8.79</w:t>
            </w:r>
          </w:p>
        </w:tc>
        <w:tc>
          <w:tcPr>
            <w:tcW w:w="854" w:type="dxa"/>
            <w:noWrap/>
          </w:tcPr>
          <w:p w14:paraId="273D4569" w14:textId="77777777" w:rsidR="002060E2" w:rsidRPr="00CD2BF0" w:rsidRDefault="002060E2" w:rsidP="002060E2">
            <w:pPr>
              <w:pStyle w:val="E3tabletext1"/>
              <w:rPr>
                <w:rFonts w:ascii="Helvetica" w:hAnsi="Helvetica" w:cs="Helvetica"/>
                <w:sz w:val="15"/>
                <w:szCs w:val="15"/>
              </w:rPr>
            </w:pPr>
            <w:r w:rsidRPr="00CD2BF0">
              <w:rPr>
                <w:rFonts w:ascii="Helvetica" w:hAnsi="Helvetica" w:cs="Helvetica"/>
                <w:sz w:val="15"/>
                <w:szCs w:val="15"/>
              </w:rPr>
              <w:t>8.79</w:t>
            </w:r>
          </w:p>
        </w:tc>
        <w:tc>
          <w:tcPr>
            <w:tcW w:w="854" w:type="dxa"/>
            <w:noWrap/>
          </w:tcPr>
          <w:p w14:paraId="749C838A" w14:textId="77777777" w:rsidR="002060E2" w:rsidRPr="00CD2BF0" w:rsidRDefault="002060E2" w:rsidP="002060E2">
            <w:pPr>
              <w:pStyle w:val="E3tabletext1"/>
              <w:rPr>
                <w:rFonts w:ascii="Helvetica" w:hAnsi="Helvetica" w:cs="Helvetica"/>
                <w:sz w:val="15"/>
                <w:szCs w:val="15"/>
              </w:rPr>
            </w:pPr>
            <w:r w:rsidRPr="00CD2BF0">
              <w:rPr>
                <w:rFonts w:ascii="Helvetica" w:hAnsi="Helvetica" w:cs="Helvetica"/>
                <w:sz w:val="15"/>
                <w:szCs w:val="15"/>
              </w:rPr>
              <w:t>8.79</w:t>
            </w:r>
          </w:p>
        </w:tc>
        <w:tc>
          <w:tcPr>
            <w:tcW w:w="722" w:type="dxa"/>
            <w:noWrap/>
          </w:tcPr>
          <w:p w14:paraId="336F4064" w14:textId="77777777" w:rsidR="002060E2" w:rsidRPr="00CD2BF0" w:rsidRDefault="002060E2" w:rsidP="002060E2">
            <w:pPr>
              <w:pStyle w:val="E3tabletext1"/>
              <w:rPr>
                <w:rFonts w:ascii="Helvetica" w:hAnsi="Helvetica" w:cs="Helvetica"/>
                <w:sz w:val="15"/>
                <w:szCs w:val="15"/>
              </w:rPr>
            </w:pPr>
            <w:r w:rsidRPr="00CD2BF0">
              <w:rPr>
                <w:rFonts w:ascii="Helvetica" w:hAnsi="Helvetica" w:cs="Helvetica"/>
                <w:sz w:val="15"/>
                <w:szCs w:val="15"/>
              </w:rPr>
              <w:t>8.79</w:t>
            </w:r>
          </w:p>
        </w:tc>
        <w:tc>
          <w:tcPr>
            <w:tcW w:w="802" w:type="dxa"/>
            <w:noWrap/>
          </w:tcPr>
          <w:p w14:paraId="4E060E86" w14:textId="77777777" w:rsidR="002060E2" w:rsidRPr="00CD2BF0" w:rsidRDefault="002060E2" w:rsidP="002060E2">
            <w:pPr>
              <w:pStyle w:val="E3tabletext1"/>
              <w:rPr>
                <w:rFonts w:ascii="Helvetica" w:hAnsi="Helvetica" w:cs="Helvetica"/>
                <w:sz w:val="15"/>
                <w:szCs w:val="15"/>
              </w:rPr>
            </w:pPr>
            <w:r w:rsidRPr="00CD2BF0">
              <w:rPr>
                <w:rFonts w:ascii="Helvetica" w:hAnsi="Helvetica" w:cs="Helvetica"/>
                <w:sz w:val="15"/>
                <w:szCs w:val="15"/>
              </w:rPr>
              <w:t>8.79</w:t>
            </w:r>
          </w:p>
        </w:tc>
        <w:tc>
          <w:tcPr>
            <w:tcW w:w="803" w:type="dxa"/>
            <w:noWrap/>
          </w:tcPr>
          <w:p w14:paraId="59680E7C" w14:textId="77777777" w:rsidR="002060E2" w:rsidRPr="00CD2BF0" w:rsidRDefault="002060E2" w:rsidP="002060E2">
            <w:pPr>
              <w:pStyle w:val="E3tabletext1"/>
              <w:rPr>
                <w:rFonts w:ascii="Helvetica" w:hAnsi="Helvetica" w:cs="Helvetica"/>
                <w:sz w:val="15"/>
                <w:szCs w:val="15"/>
              </w:rPr>
            </w:pPr>
            <w:r w:rsidRPr="00CD2BF0">
              <w:rPr>
                <w:rFonts w:ascii="Helvetica" w:hAnsi="Helvetica" w:cs="Helvetica"/>
                <w:sz w:val="15"/>
                <w:szCs w:val="15"/>
              </w:rPr>
              <w:t>8.79</w:t>
            </w:r>
          </w:p>
        </w:tc>
        <w:tc>
          <w:tcPr>
            <w:tcW w:w="802" w:type="dxa"/>
            <w:noWrap/>
          </w:tcPr>
          <w:p w14:paraId="080082CB" w14:textId="77777777" w:rsidR="002060E2" w:rsidRPr="00CD2BF0" w:rsidRDefault="002060E2" w:rsidP="002060E2">
            <w:pPr>
              <w:pStyle w:val="E3tabletext1"/>
              <w:rPr>
                <w:rFonts w:ascii="Helvetica" w:hAnsi="Helvetica" w:cs="Helvetica"/>
                <w:sz w:val="15"/>
                <w:szCs w:val="15"/>
              </w:rPr>
            </w:pPr>
            <w:r w:rsidRPr="00CD2BF0">
              <w:rPr>
                <w:rFonts w:ascii="Helvetica" w:hAnsi="Helvetica" w:cs="Helvetica"/>
                <w:sz w:val="15"/>
                <w:szCs w:val="15"/>
              </w:rPr>
              <w:t>8.79</w:t>
            </w:r>
          </w:p>
        </w:tc>
        <w:tc>
          <w:tcPr>
            <w:tcW w:w="932" w:type="dxa"/>
            <w:noWrap/>
          </w:tcPr>
          <w:p w14:paraId="16A64DC3" w14:textId="77777777" w:rsidR="002060E2" w:rsidRPr="00CD2BF0" w:rsidRDefault="002060E2" w:rsidP="002060E2">
            <w:pPr>
              <w:pStyle w:val="E3tabletext1"/>
              <w:rPr>
                <w:rFonts w:ascii="Helvetica" w:hAnsi="Helvetica" w:cs="Helvetica"/>
                <w:sz w:val="15"/>
                <w:szCs w:val="15"/>
              </w:rPr>
            </w:pPr>
            <w:r w:rsidRPr="00CD2BF0">
              <w:rPr>
                <w:rFonts w:ascii="Helvetica" w:hAnsi="Helvetica" w:cs="Helvetica"/>
                <w:sz w:val="15"/>
                <w:szCs w:val="15"/>
              </w:rPr>
              <w:t>8.79</w:t>
            </w:r>
          </w:p>
        </w:tc>
      </w:tr>
      <w:tr w:rsidR="002060E2" w14:paraId="75F9F1C7" w14:textId="77777777" w:rsidTr="002060E2">
        <w:trPr>
          <w:trHeight w:val="300"/>
        </w:trPr>
        <w:tc>
          <w:tcPr>
            <w:tcW w:w="1162" w:type="dxa"/>
            <w:tcBorders>
              <w:left w:val="nil"/>
              <w:right w:val="single" w:sz="12" w:space="0" w:color="auto"/>
            </w:tcBorders>
          </w:tcPr>
          <w:p w14:paraId="34C1665B" w14:textId="77777777" w:rsidR="002060E2" w:rsidRPr="00CD2BF0" w:rsidRDefault="002060E2" w:rsidP="002060E2">
            <w:pPr>
              <w:pStyle w:val="E3tabletext1"/>
              <w:rPr>
                <w:rFonts w:ascii="Helvetica" w:hAnsi="Helvetica" w:cs="Helvetica"/>
                <w:sz w:val="15"/>
                <w:szCs w:val="15"/>
                <w:lang w:val="en-US"/>
              </w:rPr>
            </w:pPr>
            <w:r w:rsidRPr="00CD2BF0">
              <w:rPr>
                <w:rFonts w:ascii="Helvetica" w:hAnsi="Helvetica" w:cs="Helvetica"/>
                <w:sz w:val="15"/>
                <w:szCs w:val="15"/>
              </w:rPr>
              <w:t>Region/year</w:t>
            </w:r>
          </w:p>
        </w:tc>
        <w:tc>
          <w:tcPr>
            <w:tcW w:w="672" w:type="dxa"/>
            <w:tcBorders>
              <w:left w:val="single" w:sz="12" w:space="0" w:color="auto"/>
              <w:right w:val="single" w:sz="12" w:space="0" w:color="auto"/>
            </w:tcBorders>
          </w:tcPr>
          <w:p w14:paraId="7A8092B0" w14:textId="77777777" w:rsidR="002060E2" w:rsidRPr="00CD2BF0" w:rsidRDefault="002060E2" w:rsidP="002060E2">
            <w:pPr>
              <w:pStyle w:val="E3tabletext1"/>
              <w:rPr>
                <w:rFonts w:ascii="Helvetica" w:hAnsi="Helvetica" w:cs="Helvetica"/>
                <w:sz w:val="15"/>
                <w:szCs w:val="15"/>
              </w:rPr>
            </w:pPr>
            <w:r w:rsidRPr="00CD2BF0">
              <w:rPr>
                <w:rFonts w:ascii="Helvetica" w:hAnsi="Helvetica" w:cs="Helvetica"/>
                <w:sz w:val="15"/>
                <w:szCs w:val="15"/>
              </w:rPr>
              <w:t>2020</w:t>
            </w:r>
          </w:p>
        </w:tc>
        <w:tc>
          <w:tcPr>
            <w:tcW w:w="672" w:type="dxa"/>
            <w:tcBorders>
              <w:left w:val="single" w:sz="12" w:space="0" w:color="auto"/>
            </w:tcBorders>
            <w:noWrap/>
            <w:hideMark/>
          </w:tcPr>
          <w:p w14:paraId="31885DC7" w14:textId="77777777" w:rsidR="002060E2" w:rsidRPr="00CD2BF0" w:rsidRDefault="002060E2" w:rsidP="002060E2">
            <w:pPr>
              <w:pStyle w:val="E3tabletext1"/>
              <w:rPr>
                <w:rFonts w:ascii="Helvetica" w:hAnsi="Helvetica" w:cs="Helvetica"/>
                <w:sz w:val="15"/>
                <w:szCs w:val="15"/>
                <w:lang w:val="en-US"/>
              </w:rPr>
            </w:pPr>
            <w:r w:rsidRPr="00CD2BF0">
              <w:rPr>
                <w:rFonts w:ascii="Helvetica" w:hAnsi="Helvetica" w:cs="Helvetica"/>
                <w:sz w:val="15"/>
                <w:szCs w:val="15"/>
              </w:rPr>
              <w:t>2021</w:t>
            </w:r>
          </w:p>
        </w:tc>
        <w:tc>
          <w:tcPr>
            <w:tcW w:w="727" w:type="dxa"/>
            <w:noWrap/>
            <w:hideMark/>
          </w:tcPr>
          <w:p w14:paraId="57826E3D" w14:textId="77777777" w:rsidR="002060E2" w:rsidRPr="00CD2BF0" w:rsidRDefault="002060E2" w:rsidP="002060E2">
            <w:pPr>
              <w:pStyle w:val="E3tabletext1"/>
              <w:rPr>
                <w:rFonts w:ascii="Helvetica" w:hAnsi="Helvetica" w:cs="Helvetica"/>
                <w:sz w:val="15"/>
                <w:szCs w:val="15"/>
                <w:lang w:val="en-US"/>
              </w:rPr>
            </w:pPr>
            <w:r w:rsidRPr="00CD2BF0">
              <w:rPr>
                <w:rFonts w:ascii="Helvetica" w:hAnsi="Helvetica" w:cs="Helvetica"/>
                <w:sz w:val="15"/>
                <w:szCs w:val="15"/>
              </w:rPr>
              <w:t>2022</w:t>
            </w:r>
          </w:p>
        </w:tc>
        <w:tc>
          <w:tcPr>
            <w:tcW w:w="853" w:type="dxa"/>
            <w:noWrap/>
            <w:hideMark/>
          </w:tcPr>
          <w:p w14:paraId="41CBF6EC" w14:textId="77777777" w:rsidR="002060E2" w:rsidRPr="00CD2BF0" w:rsidRDefault="002060E2" w:rsidP="002060E2">
            <w:pPr>
              <w:pStyle w:val="E3tabletext1"/>
              <w:rPr>
                <w:rFonts w:ascii="Helvetica" w:hAnsi="Helvetica" w:cs="Helvetica"/>
                <w:sz w:val="15"/>
                <w:szCs w:val="15"/>
                <w:lang w:val="en-US"/>
              </w:rPr>
            </w:pPr>
            <w:r w:rsidRPr="00CD2BF0">
              <w:rPr>
                <w:rFonts w:ascii="Helvetica" w:hAnsi="Helvetica" w:cs="Helvetica"/>
                <w:sz w:val="15"/>
                <w:szCs w:val="15"/>
              </w:rPr>
              <w:t>2023</w:t>
            </w:r>
          </w:p>
        </w:tc>
        <w:tc>
          <w:tcPr>
            <w:tcW w:w="854" w:type="dxa"/>
            <w:noWrap/>
            <w:hideMark/>
          </w:tcPr>
          <w:p w14:paraId="48CC90A1" w14:textId="77777777" w:rsidR="002060E2" w:rsidRPr="00CD2BF0" w:rsidRDefault="002060E2" w:rsidP="002060E2">
            <w:pPr>
              <w:pStyle w:val="E3tabletext1"/>
              <w:rPr>
                <w:rFonts w:ascii="Helvetica" w:hAnsi="Helvetica" w:cs="Helvetica"/>
                <w:sz w:val="15"/>
                <w:szCs w:val="15"/>
                <w:lang w:val="en-US"/>
              </w:rPr>
            </w:pPr>
            <w:r w:rsidRPr="00CD2BF0">
              <w:rPr>
                <w:rFonts w:ascii="Helvetica" w:hAnsi="Helvetica" w:cs="Helvetica"/>
                <w:sz w:val="15"/>
                <w:szCs w:val="15"/>
              </w:rPr>
              <w:t>2024</w:t>
            </w:r>
          </w:p>
        </w:tc>
        <w:tc>
          <w:tcPr>
            <w:tcW w:w="854" w:type="dxa"/>
            <w:noWrap/>
            <w:hideMark/>
          </w:tcPr>
          <w:p w14:paraId="6AD5429B" w14:textId="77777777" w:rsidR="002060E2" w:rsidRPr="00CD2BF0" w:rsidRDefault="002060E2" w:rsidP="002060E2">
            <w:pPr>
              <w:pStyle w:val="E3tabletext1"/>
              <w:rPr>
                <w:rFonts w:ascii="Helvetica" w:hAnsi="Helvetica" w:cs="Helvetica"/>
                <w:sz w:val="15"/>
                <w:szCs w:val="15"/>
                <w:lang w:val="en-US"/>
              </w:rPr>
            </w:pPr>
            <w:r w:rsidRPr="00CD2BF0">
              <w:rPr>
                <w:rFonts w:ascii="Helvetica" w:hAnsi="Helvetica" w:cs="Helvetica"/>
                <w:sz w:val="15"/>
                <w:szCs w:val="15"/>
              </w:rPr>
              <w:t>2025</w:t>
            </w:r>
          </w:p>
        </w:tc>
        <w:tc>
          <w:tcPr>
            <w:tcW w:w="722" w:type="dxa"/>
            <w:noWrap/>
            <w:hideMark/>
          </w:tcPr>
          <w:p w14:paraId="12693783" w14:textId="77777777" w:rsidR="002060E2" w:rsidRPr="00CD2BF0" w:rsidRDefault="002060E2" w:rsidP="002060E2">
            <w:pPr>
              <w:pStyle w:val="E3tabletext1"/>
              <w:rPr>
                <w:rFonts w:ascii="Helvetica" w:hAnsi="Helvetica" w:cs="Helvetica"/>
                <w:sz w:val="15"/>
                <w:szCs w:val="15"/>
                <w:lang w:val="en-US"/>
              </w:rPr>
            </w:pPr>
            <w:r w:rsidRPr="00CD2BF0">
              <w:rPr>
                <w:rFonts w:ascii="Helvetica" w:hAnsi="Helvetica" w:cs="Helvetica"/>
                <w:sz w:val="15"/>
                <w:szCs w:val="15"/>
              </w:rPr>
              <w:t>2026</w:t>
            </w:r>
          </w:p>
        </w:tc>
        <w:tc>
          <w:tcPr>
            <w:tcW w:w="802" w:type="dxa"/>
            <w:noWrap/>
            <w:hideMark/>
          </w:tcPr>
          <w:p w14:paraId="69835229" w14:textId="77777777" w:rsidR="002060E2" w:rsidRPr="00CD2BF0" w:rsidRDefault="002060E2" w:rsidP="002060E2">
            <w:pPr>
              <w:pStyle w:val="E3tabletext1"/>
              <w:rPr>
                <w:rFonts w:ascii="Helvetica" w:hAnsi="Helvetica" w:cs="Helvetica"/>
                <w:sz w:val="15"/>
                <w:szCs w:val="15"/>
                <w:lang w:val="en-US"/>
              </w:rPr>
            </w:pPr>
            <w:r w:rsidRPr="00CD2BF0">
              <w:rPr>
                <w:rFonts w:ascii="Helvetica" w:hAnsi="Helvetica" w:cs="Helvetica"/>
                <w:sz w:val="15"/>
                <w:szCs w:val="15"/>
              </w:rPr>
              <w:t>2027</w:t>
            </w:r>
          </w:p>
        </w:tc>
        <w:tc>
          <w:tcPr>
            <w:tcW w:w="803" w:type="dxa"/>
            <w:noWrap/>
            <w:hideMark/>
          </w:tcPr>
          <w:p w14:paraId="6DF3EA39" w14:textId="77777777" w:rsidR="002060E2" w:rsidRPr="00CD2BF0" w:rsidRDefault="002060E2" w:rsidP="002060E2">
            <w:pPr>
              <w:pStyle w:val="E3tabletext1"/>
              <w:rPr>
                <w:rFonts w:ascii="Helvetica" w:hAnsi="Helvetica" w:cs="Helvetica"/>
                <w:sz w:val="15"/>
                <w:szCs w:val="15"/>
                <w:lang w:val="en-US"/>
              </w:rPr>
            </w:pPr>
            <w:r w:rsidRPr="00CD2BF0">
              <w:rPr>
                <w:rFonts w:ascii="Helvetica" w:hAnsi="Helvetica" w:cs="Helvetica"/>
                <w:sz w:val="15"/>
                <w:szCs w:val="15"/>
              </w:rPr>
              <w:t>2028</w:t>
            </w:r>
          </w:p>
        </w:tc>
        <w:tc>
          <w:tcPr>
            <w:tcW w:w="802" w:type="dxa"/>
            <w:noWrap/>
            <w:hideMark/>
          </w:tcPr>
          <w:p w14:paraId="416D8C29" w14:textId="77777777" w:rsidR="002060E2" w:rsidRPr="00CD2BF0" w:rsidRDefault="002060E2" w:rsidP="002060E2">
            <w:pPr>
              <w:pStyle w:val="E3tabletext1"/>
              <w:rPr>
                <w:rFonts w:ascii="Helvetica" w:hAnsi="Helvetica" w:cs="Helvetica"/>
                <w:sz w:val="15"/>
                <w:szCs w:val="15"/>
                <w:lang w:val="en-US"/>
              </w:rPr>
            </w:pPr>
            <w:r w:rsidRPr="00CD2BF0">
              <w:rPr>
                <w:rFonts w:ascii="Helvetica" w:hAnsi="Helvetica" w:cs="Helvetica"/>
                <w:sz w:val="15"/>
                <w:szCs w:val="15"/>
              </w:rPr>
              <w:t>2029</w:t>
            </w:r>
          </w:p>
        </w:tc>
        <w:tc>
          <w:tcPr>
            <w:tcW w:w="932" w:type="dxa"/>
            <w:noWrap/>
            <w:hideMark/>
          </w:tcPr>
          <w:p w14:paraId="22A6D9B0" w14:textId="77777777" w:rsidR="002060E2" w:rsidRPr="00CD2BF0" w:rsidRDefault="002060E2" w:rsidP="002060E2">
            <w:pPr>
              <w:pStyle w:val="E3tabletext1"/>
              <w:rPr>
                <w:rFonts w:ascii="Helvetica" w:hAnsi="Helvetica" w:cs="Helvetica"/>
                <w:sz w:val="15"/>
                <w:szCs w:val="15"/>
                <w:lang w:val="en-US"/>
              </w:rPr>
            </w:pPr>
            <w:r w:rsidRPr="00CD2BF0">
              <w:rPr>
                <w:rFonts w:ascii="Helvetica" w:hAnsi="Helvetica" w:cs="Helvetica"/>
                <w:sz w:val="15"/>
                <w:szCs w:val="15"/>
              </w:rPr>
              <w:t>2030</w:t>
            </w:r>
          </w:p>
        </w:tc>
      </w:tr>
    </w:tbl>
    <w:p w14:paraId="10BD4C04" w14:textId="77777777" w:rsidR="002060E2" w:rsidRPr="00BD1402" w:rsidRDefault="002060E2" w:rsidP="002060E2">
      <w:pPr>
        <w:rPr>
          <w:sz w:val="8"/>
        </w:rPr>
      </w:pPr>
    </w:p>
    <w:p w14:paraId="4919FE82" w14:textId="77777777" w:rsidR="002060E2" w:rsidRPr="00AC7259" w:rsidRDefault="002060E2" w:rsidP="002060E2">
      <w:pPr>
        <w:pStyle w:val="E3BodyText"/>
      </w:pPr>
      <w:r w:rsidRPr="00AC7259">
        <w:t>The electricity pric</w:t>
      </w:r>
      <w:r>
        <w:t>es and forecasts are based on</w:t>
      </w:r>
      <w:r w:rsidRPr="00AC7259">
        <w:t>.</w:t>
      </w:r>
    </w:p>
    <w:p w14:paraId="05459EE4" w14:textId="77777777" w:rsidR="002060E2" w:rsidRPr="00AC7259" w:rsidRDefault="002060E2" w:rsidP="00DD102F">
      <w:pPr>
        <w:pStyle w:val="E3SubSubBullets"/>
      </w:pPr>
      <w:r>
        <w:t>I</w:t>
      </w:r>
      <w:r w:rsidRPr="00AC7259">
        <w:t>n Australia</w:t>
      </w:r>
      <w:r>
        <w:t>,</w:t>
      </w:r>
      <w:r w:rsidRPr="00AC7259">
        <w:t xml:space="preserve"> </w:t>
      </w:r>
      <w:r w:rsidRPr="008A797E">
        <w:t xml:space="preserve">Electricity price index for Australia, from the Australian Energy Market Operator (AEMO). These were updated to 2016/17 real dollars, based on AEMO projections.  </w:t>
      </w:r>
    </w:p>
    <w:p w14:paraId="5AED4640" w14:textId="77777777" w:rsidR="002060E2" w:rsidRPr="00AC7259" w:rsidRDefault="002060E2" w:rsidP="00DD102F">
      <w:pPr>
        <w:pStyle w:val="E3SubSubBullets"/>
      </w:pPr>
      <w:r>
        <w:t>I</w:t>
      </w:r>
      <w:r w:rsidRPr="00AC7259">
        <w:t xml:space="preserve">n New Zealand they are based on </w:t>
      </w:r>
      <w:r>
        <w:t xml:space="preserve">the long run marginal cost of electricity provided by EECA.  The business retail price is not used for the cost benefit modelling but provided for cases where the benefits to the business are calculated. </w:t>
      </w:r>
    </w:p>
    <w:p w14:paraId="5BACF2A5" w14:textId="07F8FA7C" w:rsidR="002060E2" w:rsidRDefault="002060E2" w:rsidP="002060E2">
      <w:pPr>
        <w:pStyle w:val="E3BodyText"/>
      </w:pPr>
      <w:r w:rsidRPr="00AC7259">
        <w:t xml:space="preserve">The electricity price index for businesses was not published in the AEMO 2014 report, but was provided by the Department of </w:t>
      </w:r>
      <w:r w:rsidR="002B403B">
        <w:t>the Environment and Energy</w:t>
      </w:r>
      <w:r w:rsidRPr="00AC7259">
        <w:t xml:space="preserve"> in confidence, and therefore cannot be published.</w:t>
      </w:r>
    </w:p>
    <w:p w14:paraId="14E58547" w14:textId="77777777" w:rsidR="002060E2" w:rsidRPr="003A61D9" w:rsidRDefault="002060E2" w:rsidP="002060E2">
      <w:pPr>
        <w:pStyle w:val="E3Heading2"/>
        <w:rPr>
          <w:rFonts w:ascii="Georgia" w:hAnsi="Georgia"/>
          <w:sz w:val="24"/>
        </w:rPr>
      </w:pPr>
      <w:bookmarkStart w:id="470" w:name="_Toc494898000"/>
      <w:bookmarkStart w:id="471" w:name="_Toc494955792"/>
      <w:bookmarkStart w:id="472" w:name="_Toc494959600"/>
      <w:bookmarkStart w:id="473" w:name="_Toc494972726"/>
      <w:bookmarkStart w:id="474" w:name="_Toc494973913"/>
      <w:bookmarkStart w:id="475" w:name="_Toc494974602"/>
      <w:bookmarkStart w:id="476" w:name="_Toc500151846"/>
      <w:r w:rsidRPr="003A61D9">
        <w:rPr>
          <w:rFonts w:ascii="Georgia" w:hAnsi="Georgia"/>
          <w:sz w:val="24"/>
        </w:rPr>
        <w:t>Greenhouse gas factors</w:t>
      </w:r>
      <w:bookmarkEnd w:id="470"/>
      <w:bookmarkEnd w:id="471"/>
      <w:bookmarkEnd w:id="472"/>
      <w:bookmarkEnd w:id="473"/>
      <w:bookmarkEnd w:id="474"/>
      <w:bookmarkEnd w:id="475"/>
      <w:bookmarkEnd w:id="476"/>
    </w:p>
    <w:p w14:paraId="4436A665" w14:textId="77777777" w:rsidR="002060E2" w:rsidRPr="00DA482C" w:rsidRDefault="002060E2" w:rsidP="002060E2">
      <w:pPr>
        <w:pStyle w:val="E3BodyText"/>
      </w:pPr>
      <w:r w:rsidRPr="00DA482C">
        <w:t>Updated projected emission factors for Australia and New Zealand have been included. In Australia they are based on the Scope 3 emission factors for the consumption of electricity by the consumer. The projected Scope 1 emission factors (of electricity sent out by State) were provided by the Department of the Environment and Energy (March 2017). The New Zealand estimates were provided by the Ministry of Business, Innovation and Employment.</w:t>
      </w:r>
    </w:p>
    <w:p w14:paraId="7F9A53F8" w14:textId="77777777" w:rsidR="002060E2" w:rsidRDefault="002060E2" w:rsidP="002060E2">
      <w:pPr>
        <w:pStyle w:val="E3BodyText"/>
      </w:pPr>
      <w:r w:rsidRPr="00DA482C">
        <w:lastRenderedPageBreak/>
        <w:t xml:space="preserve">For New Zealand, a carbon price of $25 per tonne of CO2-e has been used to estimate the benefits of lower levels of greenhouse gas emissions.  </w:t>
      </w:r>
      <w:bookmarkStart w:id="477" w:name="_GoBack"/>
      <w:bookmarkEnd w:id="477"/>
    </w:p>
    <w:p w14:paraId="20B982DE" w14:textId="53FB2264" w:rsidR="002060E2" w:rsidRDefault="003616D8" w:rsidP="002060E2">
      <w:pPr>
        <w:pStyle w:val="E3BodyText"/>
      </w:pPr>
      <w:r w:rsidRPr="003616D8">
        <w:rPr>
          <w:b/>
        </w:rPr>
        <w:fldChar w:fldCharType="begin"/>
      </w:r>
      <w:r w:rsidRPr="003616D8">
        <w:rPr>
          <w:b/>
        </w:rPr>
        <w:instrText xml:space="preserve"> REF _Ref500152916 \h  \* MERGEFORMAT </w:instrText>
      </w:r>
      <w:r w:rsidRPr="003616D8">
        <w:rPr>
          <w:b/>
        </w:rPr>
      </w:r>
      <w:r w:rsidRPr="003616D8">
        <w:rPr>
          <w:b/>
        </w:rPr>
        <w:fldChar w:fldCharType="separate"/>
      </w:r>
      <w:r w:rsidR="00D51B4B" w:rsidRPr="00D51B4B">
        <w:rPr>
          <w:b/>
        </w:rPr>
        <w:t xml:space="preserve">Table </w:t>
      </w:r>
      <w:r w:rsidR="00D51B4B" w:rsidRPr="00D51B4B">
        <w:rPr>
          <w:b/>
          <w:noProof/>
        </w:rPr>
        <w:t>8</w:t>
      </w:r>
      <w:r w:rsidRPr="003616D8">
        <w:rPr>
          <w:b/>
        </w:rPr>
        <w:fldChar w:fldCharType="end"/>
      </w:r>
      <w:r w:rsidR="002060E2" w:rsidRPr="00517EBA">
        <w:t xml:space="preserve"> shows the emis</w:t>
      </w:r>
      <w:r w:rsidR="002060E2">
        <w:t>sions factors used in the model</w:t>
      </w:r>
      <w:r w:rsidR="002060E2" w:rsidRPr="00517EBA">
        <w:t>.</w:t>
      </w:r>
      <w:bookmarkStart w:id="478" w:name="_Toc482021734"/>
    </w:p>
    <w:p w14:paraId="07DE36EC" w14:textId="55075ADF" w:rsidR="002060E2" w:rsidRDefault="002060E2" w:rsidP="002060E2">
      <w:pPr>
        <w:pStyle w:val="E3Figuretitles"/>
      </w:pPr>
      <w:bookmarkStart w:id="479" w:name="_Ref500152916"/>
      <w:bookmarkStart w:id="480" w:name="_Toc494142466"/>
      <w:r>
        <w:t xml:space="preserve">Table </w:t>
      </w:r>
      <w:r>
        <w:fldChar w:fldCharType="begin"/>
      </w:r>
      <w:r>
        <w:instrText xml:space="preserve"> SEQ Table \* ARABIC </w:instrText>
      </w:r>
      <w:r>
        <w:fldChar w:fldCharType="separate"/>
      </w:r>
      <w:r w:rsidR="00D51B4B">
        <w:rPr>
          <w:noProof/>
        </w:rPr>
        <w:t>8</w:t>
      </w:r>
      <w:r>
        <w:rPr>
          <w:noProof/>
        </w:rPr>
        <w:fldChar w:fldCharType="end"/>
      </w:r>
      <w:bookmarkEnd w:id="479"/>
      <w:r>
        <w:t xml:space="preserve"> E</w:t>
      </w:r>
      <w:r w:rsidRPr="00B852DB">
        <w:t>mission factors for electricity (kg CO2-e/kWh) - Australia and New Zealand</w:t>
      </w:r>
      <w:bookmarkEnd w:id="478"/>
      <w:bookmarkEnd w:id="480"/>
    </w:p>
    <w:tbl>
      <w:tblPr>
        <w:tblStyle w:val="TableGrid2"/>
        <w:tblW w:w="8750" w:type="dxa"/>
        <w:tblLayout w:type="fixed"/>
        <w:tblLook w:val="04A0" w:firstRow="1" w:lastRow="0" w:firstColumn="1" w:lastColumn="0" w:noHBand="0" w:noVBand="1"/>
        <w:tblDescription w:val="Table shows emission factors for electricity from 2015-2030 by state and New Zealand."/>
      </w:tblPr>
      <w:tblGrid>
        <w:gridCol w:w="846"/>
        <w:gridCol w:w="798"/>
        <w:gridCol w:w="961"/>
        <w:gridCol w:w="850"/>
        <w:gridCol w:w="961"/>
        <w:gridCol w:w="850"/>
        <w:gridCol w:w="822"/>
        <w:gridCol w:w="853"/>
        <w:gridCol w:w="851"/>
        <w:gridCol w:w="958"/>
      </w:tblGrid>
      <w:tr w:rsidR="002060E2" w:rsidRPr="004C0DBD" w14:paraId="6F95EEFC" w14:textId="77777777" w:rsidTr="00C22857">
        <w:trPr>
          <w:trHeight w:val="300"/>
        </w:trPr>
        <w:tc>
          <w:tcPr>
            <w:tcW w:w="846" w:type="dxa"/>
            <w:noWrap/>
          </w:tcPr>
          <w:p w14:paraId="72EDBF04" w14:textId="77777777" w:rsidR="002060E2" w:rsidRPr="003A61D9" w:rsidRDefault="002060E2" w:rsidP="002060E2">
            <w:pPr>
              <w:pStyle w:val="E3Tabletext"/>
              <w:rPr>
                <w:rFonts w:ascii="Helvetica" w:hAnsi="Helvetica" w:cs="Helvetica"/>
                <w:sz w:val="15"/>
                <w:szCs w:val="15"/>
              </w:rPr>
            </w:pPr>
            <w:r w:rsidRPr="003A61D9">
              <w:rPr>
                <w:rFonts w:ascii="Helvetica" w:eastAsia="Cambria" w:hAnsi="Helvetica" w:cs="Helvetica"/>
                <w:b/>
                <w:sz w:val="15"/>
                <w:szCs w:val="15"/>
              </w:rPr>
              <w:t>Year</w:t>
            </w:r>
          </w:p>
        </w:tc>
        <w:tc>
          <w:tcPr>
            <w:tcW w:w="798" w:type="dxa"/>
            <w:noWrap/>
          </w:tcPr>
          <w:p w14:paraId="25C60101" w14:textId="77777777" w:rsidR="002060E2" w:rsidRPr="003A61D9" w:rsidRDefault="002060E2" w:rsidP="002060E2">
            <w:pPr>
              <w:pStyle w:val="E3Tabletext"/>
              <w:rPr>
                <w:rFonts w:ascii="Helvetica" w:hAnsi="Helvetica" w:cs="Helvetica"/>
                <w:sz w:val="15"/>
                <w:szCs w:val="15"/>
              </w:rPr>
            </w:pPr>
            <w:r w:rsidRPr="003A61D9">
              <w:rPr>
                <w:rFonts w:ascii="Helvetica" w:eastAsia="Cambria" w:hAnsi="Helvetica" w:cs="Helvetica"/>
                <w:b/>
                <w:sz w:val="15"/>
                <w:szCs w:val="15"/>
              </w:rPr>
              <w:t>NSW</w:t>
            </w:r>
          </w:p>
        </w:tc>
        <w:tc>
          <w:tcPr>
            <w:tcW w:w="961" w:type="dxa"/>
            <w:noWrap/>
          </w:tcPr>
          <w:p w14:paraId="38214347" w14:textId="77777777" w:rsidR="002060E2" w:rsidRPr="003A61D9" w:rsidRDefault="002060E2" w:rsidP="002060E2">
            <w:pPr>
              <w:pStyle w:val="E3Tabletext"/>
              <w:rPr>
                <w:rFonts w:ascii="Helvetica" w:hAnsi="Helvetica" w:cs="Helvetica"/>
                <w:sz w:val="15"/>
                <w:szCs w:val="15"/>
              </w:rPr>
            </w:pPr>
            <w:r w:rsidRPr="003A61D9">
              <w:rPr>
                <w:rFonts w:ascii="Helvetica" w:eastAsia="Cambria" w:hAnsi="Helvetica" w:cs="Helvetica"/>
                <w:b/>
                <w:sz w:val="15"/>
                <w:szCs w:val="15"/>
              </w:rPr>
              <w:t>ACT</w:t>
            </w:r>
          </w:p>
        </w:tc>
        <w:tc>
          <w:tcPr>
            <w:tcW w:w="850" w:type="dxa"/>
            <w:noWrap/>
          </w:tcPr>
          <w:p w14:paraId="6F1ED24F" w14:textId="77777777" w:rsidR="002060E2" w:rsidRPr="003A61D9" w:rsidRDefault="002060E2" w:rsidP="002060E2">
            <w:pPr>
              <w:pStyle w:val="E3Tabletext"/>
              <w:rPr>
                <w:rFonts w:ascii="Helvetica" w:hAnsi="Helvetica" w:cs="Helvetica"/>
                <w:sz w:val="15"/>
                <w:szCs w:val="15"/>
              </w:rPr>
            </w:pPr>
            <w:r w:rsidRPr="003A61D9">
              <w:rPr>
                <w:rFonts w:ascii="Helvetica" w:eastAsia="Cambria" w:hAnsi="Helvetica" w:cs="Helvetica"/>
                <w:b/>
                <w:sz w:val="15"/>
                <w:szCs w:val="15"/>
              </w:rPr>
              <w:t>NT</w:t>
            </w:r>
          </w:p>
        </w:tc>
        <w:tc>
          <w:tcPr>
            <w:tcW w:w="961" w:type="dxa"/>
            <w:noWrap/>
          </w:tcPr>
          <w:p w14:paraId="0C770089" w14:textId="77777777" w:rsidR="002060E2" w:rsidRPr="003A61D9" w:rsidRDefault="002060E2" w:rsidP="002060E2">
            <w:pPr>
              <w:pStyle w:val="E3Tabletext"/>
              <w:rPr>
                <w:rFonts w:ascii="Helvetica" w:hAnsi="Helvetica" w:cs="Helvetica"/>
                <w:sz w:val="15"/>
                <w:szCs w:val="15"/>
              </w:rPr>
            </w:pPr>
            <w:r w:rsidRPr="003A61D9">
              <w:rPr>
                <w:rFonts w:ascii="Helvetica" w:eastAsia="Cambria" w:hAnsi="Helvetica" w:cs="Helvetica"/>
                <w:b/>
                <w:sz w:val="15"/>
                <w:szCs w:val="15"/>
              </w:rPr>
              <w:t>QLD</w:t>
            </w:r>
          </w:p>
        </w:tc>
        <w:tc>
          <w:tcPr>
            <w:tcW w:w="850" w:type="dxa"/>
            <w:noWrap/>
          </w:tcPr>
          <w:p w14:paraId="4C5C4788" w14:textId="77777777" w:rsidR="002060E2" w:rsidRPr="003A61D9" w:rsidRDefault="002060E2" w:rsidP="002060E2">
            <w:pPr>
              <w:pStyle w:val="E3Tabletext"/>
              <w:rPr>
                <w:rFonts w:ascii="Helvetica" w:hAnsi="Helvetica" w:cs="Helvetica"/>
                <w:sz w:val="15"/>
                <w:szCs w:val="15"/>
              </w:rPr>
            </w:pPr>
            <w:r w:rsidRPr="003A61D9">
              <w:rPr>
                <w:rFonts w:ascii="Helvetica" w:eastAsia="Cambria" w:hAnsi="Helvetica" w:cs="Helvetica"/>
                <w:b/>
                <w:sz w:val="15"/>
                <w:szCs w:val="15"/>
              </w:rPr>
              <w:t>SA</w:t>
            </w:r>
          </w:p>
        </w:tc>
        <w:tc>
          <w:tcPr>
            <w:tcW w:w="822" w:type="dxa"/>
            <w:noWrap/>
          </w:tcPr>
          <w:p w14:paraId="0B311C5A" w14:textId="77777777" w:rsidR="002060E2" w:rsidRPr="003A61D9" w:rsidRDefault="002060E2" w:rsidP="002060E2">
            <w:pPr>
              <w:pStyle w:val="E3Tabletext"/>
              <w:rPr>
                <w:rFonts w:ascii="Helvetica" w:hAnsi="Helvetica" w:cs="Helvetica"/>
                <w:sz w:val="15"/>
                <w:szCs w:val="15"/>
              </w:rPr>
            </w:pPr>
            <w:r w:rsidRPr="003A61D9">
              <w:rPr>
                <w:rFonts w:ascii="Helvetica" w:eastAsia="Cambria" w:hAnsi="Helvetica" w:cs="Helvetica"/>
                <w:b/>
                <w:sz w:val="15"/>
                <w:szCs w:val="15"/>
              </w:rPr>
              <w:t>TAS</w:t>
            </w:r>
          </w:p>
        </w:tc>
        <w:tc>
          <w:tcPr>
            <w:tcW w:w="853" w:type="dxa"/>
            <w:noWrap/>
          </w:tcPr>
          <w:p w14:paraId="76196A68" w14:textId="77777777" w:rsidR="002060E2" w:rsidRPr="003A61D9" w:rsidRDefault="002060E2" w:rsidP="002060E2">
            <w:pPr>
              <w:pStyle w:val="E3Tabletext"/>
              <w:rPr>
                <w:rFonts w:ascii="Helvetica" w:hAnsi="Helvetica" w:cs="Helvetica"/>
                <w:sz w:val="15"/>
                <w:szCs w:val="15"/>
              </w:rPr>
            </w:pPr>
            <w:r w:rsidRPr="003A61D9">
              <w:rPr>
                <w:rFonts w:ascii="Helvetica" w:eastAsia="Cambria" w:hAnsi="Helvetica" w:cs="Helvetica"/>
                <w:b/>
                <w:sz w:val="15"/>
                <w:szCs w:val="15"/>
              </w:rPr>
              <w:t>VIC</w:t>
            </w:r>
          </w:p>
        </w:tc>
        <w:tc>
          <w:tcPr>
            <w:tcW w:w="851" w:type="dxa"/>
            <w:noWrap/>
          </w:tcPr>
          <w:p w14:paraId="4813FD16" w14:textId="77777777" w:rsidR="002060E2" w:rsidRPr="003A61D9" w:rsidRDefault="002060E2" w:rsidP="002060E2">
            <w:pPr>
              <w:pStyle w:val="E3Tabletext"/>
              <w:rPr>
                <w:rFonts w:ascii="Helvetica" w:hAnsi="Helvetica" w:cs="Helvetica"/>
                <w:sz w:val="15"/>
                <w:szCs w:val="15"/>
              </w:rPr>
            </w:pPr>
            <w:r w:rsidRPr="003A61D9">
              <w:rPr>
                <w:rFonts w:ascii="Helvetica" w:eastAsia="Cambria" w:hAnsi="Helvetica" w:cs="Helvetica"/>
                <w:b/>
                <w:sz w:val="15"/>
                <w:szCs w:val="15"/>
              </w:rPr>
              <w:t>WA</w:t>
            </w:r>
          </w:p>
        </w:tc>
        <w:tc>
          <w:tcPr>
            <w:tcW w:w="958" w:type="dxa"/>
            <w:noWrap/>
          </w:tcPr>
          <w:p w14:paraId="41E0FEA6" w14:textId="77777777" w:rsidR="002060E2" w:rsidRPr="003A61D9" w:rsidRDefault="002060E2" w:rsidP="002060E2">
            <w:pPr>
              <w:pStyle w:val="E3Tabletext"/>
              <w:rPr>
                <w:rFonts w:ascii="Helvetica" w:hAnsi="Helvetica" w:cs="Helvetica"/>
                <w:sz w:val="15"/>
                <w:szCs w:val="15"/>
              </w:rPr>
            </w:pPr>
            <w:r w:rsidRPr="003A61D9">
              <w:rPr>
                <w:rFonts w:ascii="Helvetica" w:eastAsia="Cambria" w:hAnsi="Helvetica" w:cs="Helvetica"/>
                <w:b/>
                <w:sz w:val="15"/>
                <w:szCs w:val="15"/>
              </w:rPr>
              <w:t>NZ</w:t>
            </w:r>
          </w:p>
        </w:tc>
      </w:tr>
      <w:tr w:rsidR="002060E2" w:rsidRPr="004C0DBD" w14:paraId="39D28069" w14:textId="77777777" w:rsidTr="00C22857">
        <w:trPr>
          <w:trHeight w:val="300"/>
        </w:trPr>
        <w:tc>
          <w:tcPr>
            <w:tcW w:w="846" w:type="dxa"/>
            <w:noWrap/>
          </w:tcPr>
          <w:p w14:paraId="65FE1ABA"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2020</w:t>
            </w:r>
          </w:p>
        </w:tc>
        <w:tc>
          <w:tcPr>
            <w:tcW w:w="798" w:type="dxa"/>
            <w:noWrap/>
          </w:tcPr>
          <w:p w14:paraId="60544209"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0.841</w:t>
            </w:r>
          </w:p>
        </w:tc>
        <w:tc>
          <w:tcPr>
            <w:tcW w:w="961" w:type="dxa"/>
            <w:noWrap/>
          </w:tcPr>
          <w:p w14:paraId="1B7645C3"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0.841</w:t>
            </w:r>
          </w:p>
        </w:tc>
        <w:tc>
          <w:tcPr>
            <w:tcW w:w="850" w:type="dxa"/>
            <w:noWrap/>
          </w:tcPr>
          <w:p w14:paraId="235F124C"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0.929</w:t>
            </w:r>
          </w:p>
        </w:tc>
        <w:tc>
          <w:tcPr>
            <w:tcW w:w="961" w:type="dxa"/>
            <w:noWrap/>
          </w:tcPr>
          <w:p w14:paraId="114DB9E4"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0.901</w:t>
            </w:r>
          </w:p>
        </w:tc>
        <w:tc>
          <w:tcPr>
            <w:tcW w:w="850" w:type="dxa"/>
            <w:noWrap/>
          </w:tcPr>
          <w:p w14:paraId="6DE10FDB"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0.195</w:t>
            </w:r>
          </w:p>
        </w:tc>
        <w:tc>
          <w:tcPr>
            <w:tcW w:w="822" w:type="dxa"/>
            <w:noWrap/>
          </w:tcPr>
          <w:p w14:paraId="6E2A2EF4"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63584425"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0.896</w:t>
            </w:r>
          </w:p>
        </w:tc>
        <w:tc>
          <w:tcPr>
            <w:tcW w:w="851" w:type="dxa"/>
            <w:noWrap/>
          </w:tcPr>
          <w:p w14:paraId="4C3B22DF"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0.706</w:t>
            </w:r>
          </w:p>
        </w:tc>
        <w:tc>
          <w:tcPr>
            <w:tcW w:w="958" w:type="dxa"/>
            <w:noWrap/>
          </w:tcPr>
          <w:p w14:paraId="13B5A047" w14:textId="77777777" w:rsidR="002060E2" w:rsidRPr="003A61D9" w:rsidRDefault="002060E2" w:rsidP="002060E2">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2060E2" w:rsidRPr="004C0DBD" w14:paraId="3F1E93D7" w14:textId="77777777" w:rsidTr="00C22857">
        <w:trPr>
          <w:trHeight w:val="300"/>
        </w:trPr>
        <w:tc>
          <w:tcPr>
            <w:tcW w:w="846" w:type="dxa"/>
            <w:noWrap/>
          </w:tcPr>
          <w:p w14:paraId="5B9513F6"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2021</w:t>
            </w:r>
          </w:p>
        </w:tc>
        <w:tc>
          <w:tcPr>
            <w:tcW w:w="798" w:type="dxa"/>
            <w:noWrap/>
          </w:tcPr>
          <w:p w14:paraId="012B99B7"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0.84</w:t>
            </w:r>
          </w:p>
        </w:tc>
        <w:tc>
          <w:tcPr>
            <w:tcW w:w="961" w:type="dxa"/>
            <w:noWrap/>
          </w:tcPr>
          <w:p w14:paraId="00B4B0B1"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0.84</w:t>
            </w:r>
          </w:p>
        </w:tc>
        <w:tc>
          <w:tcPr>
            <w:tcW w:w="850" w:type="dxa"/>
            <w:noWrap/>
          </w:tcPr>
          <w:p w14:paraId="2EEB140D"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0.905</w:t>
            </w:r>
          </w:p>
        </w:tc>
        <w:tc>
          <w:tcPr>
            <w:tcW w:w="961" w:type="dxa"/>
            <w:noWrap/>
          </w:tcPr>
          <w:p w14:paraId="0B6CF9F9"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0.899</w:t>
            </w:r>
          </w:p>
        </w:tc>
        <w:tc>
          <w:tcPr>
            <w:tcW w:w="850" w:type="dxa"/>
            <w:noWrap/>
          </w:tcPr>
          <w:p w14:paraId="6EBE75F8"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0.196</w:t>
            </w:r>
          </w:p>
        </w:tc>
        <w:tc>
          <w:tcPr>
            <w:tcW w:w="822" w:type="dxa"/>
            <w:noWrap/>
          </w:tcPr>
          <w:p w14:paraId="1BC0AF9B"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4A1D9CF5"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0.886</w:t>
            </w:r>
          </w:p>
        </w:tc>
        <w:tc>
          <w:tcPr>
            <w:tcW w:w="851" w:type="dxa"/>
            <w:noWrap/>
          </w:tcPr>
          <w:p w14:paraId="6D1B4010"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0.698</w:t>
            </w:r>
          </w:p>
        </w:tc>
        <w:tc>
          <w:tcPr>
            <w:tcW w:w="958" w:type="dxa"/>
            <w:noWrap/>
          </w:tcPr>
          <w:p w14:paraId="49759694" w14:textId="77777777" w:rsidR="002060E2" w:rsidRPr="003A61D9" w:rsidRDefault="002060E2" w:rsidP="002060E2">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2060E2" w:rsidRPr="004C0DBD" w14:paraId="24CC27E2" w14:textId="77777777" w:rsidTr="00C22857">
        <w:trPr>
          <w:trHeight w:val="300"/>
        </w:trPr>
        <w:tc>
          <w:tcPr>
            <w:tcW w:w="846" w:type="dxa"/>
            <w:noWrap/>
          </w:tcPr>
          <w:p w14:paraId="131A8469"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2022</w:t>
            </w:r>
          </w:p>
        </w:tc>
        <w:tc>
          <w:tcPr>
            <w:tcW w:w="798" w:type="dxa"/>
            <w:noWrap/>
          </w:tcPr>
          <w:p w14:paraId="7B5679CC"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0.831</w:t>
            </w:r>
          </w:p>
        </w:tc>
        <w:tc>
          <w:tcPr>
            <w:tcW w:w="961" w:type="dxa"/>
            <w:noWrap/>
          </w:tcPr>
          <w:p w14:paraId="3F8B7627"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0.831</w:t>
            </w:r>
          </w:p>
        </w:tc>
        <w:tc>
          <w:tcPr>
            <w:tcW w:w="850" w:type="dxa"/>
            <w:noWrap/>
          </w:tcPr>
          <w:p w14:paraId="6440977F"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0.888</w:t>
            </w:r>
          </w:p>
        </w:tc>
        <w:tc>
          <w:tcPr>
            <w:tcW w:w="961" w:type="dxa"/>
            <w:noWrap/>
          </w:tcPr>
          <w:p w14:paraId="1D00E178"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0.892</w:t>
            </w:r>
          </w:p>
        </w:tc>
        <w:tc>
          <w:tcPr>
            <w:tcW w:w="850" w:type="dxa"/>
            <w:noWrap/>
          </w:tcPr>
          <w:p w14:paraId="45D67583"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0.192</w:t>
            </w:r>
          </w:p>
        </w:tc>
        <w:tc>
          <w:tcPr>
            <w:tcW w:w="822" w:type="dxa"/>
            <w:noWrap/>
          </w:tcPr>
          <w:p w14:paraId="4F66EFEA"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3B0ECF3B"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0.88</w:t>
            </w:r>
          </w:p>
        </w:tc>
        <w:tc>
          <w:tcPr>
            <w:tcW w:w="851" w:type="dxa"/>
            <w:noWrap/>
          </w:tcPr>
          <w:p w14:paraId="4230E180"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0.694</w:t>
            </w:r>
          </w:p>
        </w:tc>
        <w:tc>
          <w:tcPr>
            <w:tcW w:w="958" w:type="dxa"/>
            <w:noWrap/>
          </w:tcPr>
          <w:p w14:paraId="6847C7E2" w14:textId="77777777" w:rsidR="002060E2" w:rsidRPr="003A61D9" w:rsidRDefault="002060E2" w:rsidP="002060E2">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2060E2" w:rsidRPr="004C0DBD" w14:paraId="5E2B92C3" w14:textId="77777777" w:rsidTr="00C22857">
        <w:trPr>
          <w:trHeight w:val="300"/>
        </w:trPr>
        <w:tc>
          <w:tcPr>
            <w:tcW w:w="846" w:type="dxa"/>
            <w:noWrap/>
          </w:tcPr>
          <w:p w14:paraId="4722C977"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2023</w:t>
            </w:r>
          </w:p>
        </w:tc>
        <w:tc>
          <w:tcPr>
            <w:tcW w:w="798" w:type="dxa"/>
            <w:noWrap/>
          </w:tcPr>
          <w:p w14:paraId="1C97B532"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0.812</w:t>
            </w:r>
          </w:p>
        </w:tc>
        <w:tc>
          <w:tcPr>
            <w:tcW w:w="961" w:type="dxa"/>
            <w:noWrap/>
          </w:tcPr>
          <w:p w14:paraId="030F0646"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0.812</w:t>
            </w:r>
          </w:p>
        </w:tc>
        <w:tc>
          <w:tcPr>
            <w:tcW w:w="850" w:type="dxa"/>
            <w:noWrap/>
          </w:tcPr>
          <w:p w14:paraId="72706D5D"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0.883</w:t>
            </w:r>
          </w:p>
        </w:tc>
        <w:tc>
          <w:tcPr>
            <w:tcW w:w="961" w:type="dxa"/>
            <w:noWrap/>
          </w:tcPr>
          <w:p w14:paraId="5E2082FE"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0.89</w:t>
            </w:r>
          </w:p>
        </w:tc>
        <w:tc>
          <w:tcPr>
            <w:tcW w:w="850" w:type="dxa"/>
            <w:noWrap/>
          </w:tcPr>
          <w:p w14:paraId="204E44EF"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0.208</w:t>
            </w:r>
          </w:p>
        </w:tc>
        <w:tc>
          <w:tcPr>
            <w:tcW w:w="822" w:type="dxa"/>
            <w:noWrap/>
          </w:tcPr>
          <w:p w14:paraId="75B7458F"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12F47CC2"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0.877</w:t>
            </w:r>
          </w:p>
        </w:tc>
        <w:tc>
          <w:tcPr>
            <w:tcW w:w="851" w:type="dxa"/>
            <w:noWrap/>
          </w:tcPr>
          <w:p w14:paraId="4862D10E"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0.691</w:t>
            </w:r>
          </w:p>
        </w:tc>
        <w:tc>
          <w:tcPr>
            <w:tcW w:w="958" w:type="dxa"/>
            <w:noWrap/>
          </w:tcPr>
          <w:p w14:paraId="11FAD0DE" w14:textId="77777777" w:rsidR="002060E2" w:rsidRPr="003A61D9" w:rsidRDefault="002060E2" w:rsidP="002060E2">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2060E2" w:rsidRPr="004C0DBD" w14:paraId="07847B1B" w14:textId="77777777" w:rsidTr="00C22857">
        <w:trPr>
          <w:trHeight w:val="300"/>
        </w:trPr>
        <w:tc>
          <w:tcPr>
            <w:tcW w:w="846" w:type="dxa"/>
            <w:noWrap/>
          </w:tcPr>
          <w:p w14:paraId="48AA32EF"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2024</w:t>
            </w:r>
          </w:p>
        </w:tc>
        <w:tc>
          <w:tcPr>
            <w:tcW w:w="798" w:type="dxa"/>
            <w:noWrap/>
          </w:tcPr>
          <w:p w14:paraId="4470CA79"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0.796</w:t>
            </w:r>
          </w:p>
        </w:tc>
        <w:tc>
          <w:tcPr>
            <w:tcW w:w="961" w:type="dxa"/>
            <w:noWrap/>
          </w:tcPr>
          <w:p w14:paraId="36146105"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0.796</w:t>
            </w:r>
          </w:p>
        </w:tc>
        <w:tc>
          <w:tcPr>
            <w:tcW w:w="850" w:type="dxa"/>
            <w:noWrap/>
          </w:tcPr>
          <w:p w14:paraId="46DAC738"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0.878</w:t>
            </w:r>
          </w:p>
        </w:tc>
        <w:tc>
          <w:tcPr>
            <w:tcW w:w="961" w:type="dxa"/>
            <w:noWrap/>
          </w:tcPr>
          <w:p w14:paraId="52199758"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0.885</w:t>
            </w:r>
          </w:p>
        </w:tc>
        <w:tc>
          <w:tcPr>
            <w:tcW w:w="850" w:type="dxa"/>
            <w:noWrap/>
          </w:tcPr>
          <w:p w14:paraId="3ACFE94E"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0.206</w:t>
            </w:r>
          </w:p>
        </w:tc>
        <w:tc>
          <w:tcPr>
            <w:tcW w:w="822" w:type="dxa"/>
            <w:noWrap/>
          </w:tcPr>
          <w:p w14:paraId="5536231C"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18EDD7D8"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0.867</w:t>
            </w:r>
          </w:p>
        </w:tc>
        <w:tc>
          <w:tcPr>
            <w:tcW w:w="851" w:type="dxa"/>
            <w:noWrap/>
          </w:tcPr>
          <w:p w14:paraId="777E37CE"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0.689</w:t>
            </w:r>
          </w:p>
        </w:tc>
        <w:tc>
          <w:tcPr>
            <w:tcW w:w="958" w:type="dxa"/>
            <w:noWrap/>
          </w:tcPr>
          <w:p w14:paraId="402FDED5" w14:textId="77777777" w:rsidR="002060E2" w:rsidRPr="003A61D9" w:rsidRDefault="002060E2" w:rsidP="002060E2">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2060E2" w:rsidRPr="004C0DBD" w14:paraId="43AAAB17" w14:textId="77777777" w:rsidTr="00C22857">
        <w:trPr>
          <w:trHeight w:val="300"/>
        </w:trPr>
        <w:tc>
          <w:tcPr>
            <w:tcW w:w="846" w:type="dxa"/>
            <w:noWrap/>
          </w:tcPr>
          <w:p w14:paraId="0073799A"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2025</w:t>
            </w:r>
          </w:p>
        </w:tc>
        <w:tc>
          <w:tcPr>
            <w:tcW w:w="798" w:type="dxa"/>
            <w:noWrap/>
          </w:tcPr>
          <w:p w14:paraId="690CC4A9"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0.792</w:t>
            </w:r>
          </w:p>
        </w:tc>
        <w:tc>
          <w:tcPr>
            <w:tcW w:w="961" w:type="dxa"/>
            <w:noWrap/>
          </w:tcPr>
          <w:p w14:paraId="29E17EAF"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0.792</w:t>
            </w:r>
          </w:p>
        </w:tc>
        <w:tc>
          <w:tcPr>
            <w:tcW w:w="850" w:type="dxa"/>
            <w:noWrap/>
          </w:tcPr>
          <w:p w14:paraId="4AC5C51B"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0.874</w:t>
            </w:r>
          </w:p>
        </w:tc>
        <w:tc>
          <w:tcPr>
            <w:tcW w:w="961" w:type="dxa"/>
            <w:noWrap/>
          </w:tcPr>
          <w:p w14:paraId="20278C3B"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0.885</w:t>
            </w:r>
          </w:p>
        </w:tc>
        <w:tc>
          <w:tcPr>
            <w:tcW w:w="850" w:type="dxa"/>
            <w:noWrap/>
          </w:tcPr>
          <w:p w14:paraId="283B6ABC"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0.204</w:t>
            </w:r>
          </w:p>
        </w:tc>
        <w:tc>
          <w:tcPr>
            <w:tcW w:w="822" w:type="dxa"/>
            <w:noWrap/>
          </w:tcPr>
          <w:p w14:paraId="0A7A63B9"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1450773E"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0.859</w:t>
            </w:r>
          </w:p>
        </w:tc>
        <w:tc>
          <w:tcPr>
            <w:tcW w:w="851" w:type="dxa"/>
            <w:noWrap/>
          </w:tcPr>
          <w:p w14:paraId="6DFB407D"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0.688</w:t>
            </w:r>
          </w:p>
        </w:tc>
        <w:tc>
          <w:tcPr>
            <w:tcW w:w="958" w:type="dxa"/>
            <w:noWrap/>
          </w:tcPr>
          <w:p w14:paraId="5AE5F9BD" w14:textId="77777777" w:rsidR="002060E2" w:rsidRPr="003A61D9" w:rsidRDefault="002060E2" w:rsidP="002060E2">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2060E2" w:rsidRPr="004C0DBD" w14:paraId="00D15377" w14:textId="77777777" w:rsidTr="00C22857">
        <w:trPr>
          <w:trHeight w:val="300"/>
        </w:trPr>
        <w:tc>
          <w:tcPr>
            <w:tcW w:w="846" w:type="dxa"/>
            <w:noWrap/>
          </w:tcPr>
          <w:p w14:paraId="05726C9F"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2026</w:t>
            </w:r>
          </w:p>
        </w:tc>
        <w:tc>
          <w:tcPr>
            <w:tcW w:w="798" w:type="dxa"/>
            <w:noWrap/>
          </w:tcPr>
          <w:p w14:paraId="11BDCC62"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0.791</w:t>
            </w:r>
          </w:p>
        </w:tc>
        <w:tc>
          <w:tcPr>
            <w:tcW w:w="961" w:type="dxa"/>
            <w:noWrap/>
          </w:tcPr>
          <w:p w14:paraId="39567D0E"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0.791</w:t>
            </w:r>
          </w:p>
        </w:tc>
        <w:tc>
          <w:tcPr>
            <w:tcW w:w="850" w:type="dxa"/>
            <w:noWrap/>
          </w:tcPr>
          <w:p w14:paraId="4608576E"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0.87</w:t>
            </w:r>
          </w:p>
        </w:tc>
        <w:tc>
          <w:tcPr>
            <w:tcW w:w="961" w:type="dxa"/>
            <w:noWrap/>
          </w:tcPr>
          <w:p w14:paraId="490EEC87"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0.879</w:t>
            </w:r>
          </w:p>
        </w:tc>
        <w:tc>
          <w:tcPr>
            <w:tcW w:w="850" w:type="dxa"/>
            <w:noWrap/>
          </w:tcPr>
          <w:p w14:paraId="5C94E184"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0.203</w:t>
            </w:r>
          </w:p>
        </w:tc>
        <w:tc>
          <w:tcPr>
            <w:tcW w:w="822" w:type="dxa"/>
            <w:noWrap/>
          </w:tcPr>
          <w:p w14:paraId="569C6310"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48913C0C"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0.849</w:t>
            </w:r>
          </w:p>
        </w:tc>
        <w:tc>
          <w:tcPr>
            <w:tcW w:w="851" w:type="dxa"/>
            <w:noWrap/>
          </w:tcPr>
          <w:p w14:paraId="06B96D08"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0.686</w:t>
            </w:r>
          </w:p>
        </w:tc>
        <w:tc>
          <w:tcPr>
            <w:tcW w:w="958" w:type="dxa"/>
            <w:noWrap/>
          </w:tcPr>
          <w:p w14:paraId="12988920" w14:textId="77777777" w:rsidR="002060E2" w:rsidRPr="003A61D9" w:rsidRDefault="002060E2" w:rsidP="002060E2">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2060E2" w:rsidRPr="004C0DBD" w14:paraId="4C1E2371" w14:textId="77777777" w:rsidTr="00C22857">
        <w:trPr>
          <w:trHeight w:val="300"/>
        </w:trPr>
        <w:tc>
          <w:tcPr>
            <w:tcW w:w="846" w:type="dxa"/>
            <w:noWrap/>
          </w:tcPr>
          <w:p w14:paraId="797BB09A"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2027</w:t>
            </w:r>
          </w:p>
        </w:tc>
        <w:tc>
          <w:tcPr>
            <w:tcW w:w="798" w:type="dxa"/>
            <w:noWrap/>
          </w:tcPr>
          <w:p w14:paraId="193302E1"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0.785</w:t>
            </w:r>
          </w:p>
        </w:tc>
        <w:tc>
          <w:tcPr>
            <w:tcW w:w="961" w:type="dxa"/>
            <w:noWrap/>
          </w:tcPr>
          <w:p w14:paraId="55022537"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0.785</w:t>
            </w:r>
          </w:p>
        </w:tc>
        <w:tc>
          <w:tcPr>
            <w:tcW w:w="850" w:type="dxa"/>
            <w:noWrap/>
          </w:tcPr>
          <w:p w14:paraId="4E5A80A7"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0.867</w:t>
            </w:r>
          </w:p>
        </w:tc>
        <w:tc>
          <w:tcPr>
            <w:tcW w:w="961" w:type="dxa"/>
            <w:noWrap/>
          </w:tcPr>
          <w:p w14:paraId="01066010"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0.877</w:t>
            </w:r>
          </w:p>
        </w:tc>
        <w:tc>
          <w:tcPr>
            <w:tcW w:w="850" w:type="dxa"/>
            <w:noWrap/>
          </w:tcPr>
          <w:p w14:paraId="6C9FEDAC"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0.206</w:t>
            </w:r>
          </w:p>
        </w:tc>
        <w:tc>
          <w:tcPr>
            <w:tcW w:w="822" w:type="dxa"/>
            <w:noWrap/>
          </w:tcPr>
          <w:p w14:paraId="4E6DD19A"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660ED889"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0.84</w:t>
            </w:r>
          </w:p>
        </w:tc>
        <w:tc>
          <w:tcPr>
            <w:tcW w:w="851" w:type="dxa"/>
            <w:noWrap/>
          </w:tcPr>
          <w:p w14:paraId="6295E692"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0.684</w:t>
            </w:r>
          </w:p>
        </w:tc>
        <w:tc>
          <w:tcPr>
            <w:tcW w:w="958" w:type="dxa"/>
            <w:noWrap/>
          </w:tcPr>
          <w:p w14:paraId="2BBB50F9" w14:textId="77777777" w:rsidR="002060E2" w:rsidRPr="003A61D9" w:rsidRDefault="002060E2" w:rsidP="002060E2">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2060E2" w:rsidRPr="004C0DBD" w14:paraId="07660292" w14:textId="77777777" w:rsidTr="00C22857">
        <w:trPr>
          <w:trHeight w:val="300"/>
        </w:trPr>
        <w:tc>
          <w:tcPr>
            <w:tcW w:w="846" w:type="dxa"/>
            <w:noWrap/>
          </w:tcPr>
          <w:p w14:paraId="3B428EBA"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2028</w:t>
            </w:r>
          </w:p>
        </w:tc>
        <w:tc>
          <w:tcPr>
            <w:tcW w:w="798" w:type="dxa"/>
            <w:noWrap/>
          </w:tcPr>
          <w:p w14:paraId="036A45E6"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0.781</w:t>
            </w:r>
          </w:p>
        </w:tc>
        <w:tc>
          <w:tcPr>
            <w:tcW w:w="961" w:type="dxa"/>
            <w:noWrap/>
          </w:tcPr>
          <w:p w14:paraId="1F08313E"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0.781</w:t>
            </w:r>
          </w:p>
        </w:tc>
        <w:tc>
          <w:tcPr>
            <w:tcW w:w="850" w:type="dxa"/>
            <w:noWrap/>
          </w:tcPr>
          <w:p w14:paraId="1855E334"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0.862</w:t>
            </w:r>
          </w:p>
        </w:tc>
        <w:tc>
          <w:tcPr>
            <w:tcW w:w="961" w:type="dxa"/>
            <w:noWrap/>
          </w:tcPr>
          <w:p w14:paraId="31FA06E7"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0.869</w:t>
            </w:r>
          </w:p>
        </w:tc>
        <w:tc>
          <w:tcPr>
            <w:tcW w:w="850" w:type="dxa"/>
            <w:noWrap/>
          </w:tcPr>
          <w:p w14:paraId="5FE78A8E"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0.214</w:t>
            </w:r>
          </w:p>
        </w:tc>
        <w:tc>
          <w:tcPr>
            <w:tcW w:w="822" w:type="dxa"/>
            <w:noWrap/>
          </w:tcPr>
          <w:p w14:paraId="50BB6418"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3FFBC5E2"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0.832</w:t>
            </w:r>
          </w:p>
        </w:tc>
        <w:tc>
          <w:tcPr>
            <w:tcW w:w="851" w:type="dxa"/>
            <w:noWrap/>
          </w:tcPr>
          <w:p w14:paraId="38E34EC9"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0.682</w:t>
            </w:r>
          </w:p>
        </w:tc>
        <w:tc>
          <w:tcPr>
            <w:tcW w:w="958" w:type="dxa"/>
            <w:noWrap/>
          </w:tcPr>
          <w:p w14:paraId="03524D24" w14:textId="77777777" w:rsidR="002060E2" w:rsidRPr="003A61D9" w:rsidRDefault="002060E2" w:rsidP="002060E2">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2060E2" w:rsidRPr="004C0DBD" w14:paraId="6005DFF8" w14:textId="77777777" w:rsidTr="00C22857">
        <w:trPr>
          <w:trHeight w:val="300"/>
        </w:trPr>
        <w:tc>
          <w:tcPr>
            <w:tcW w:w="846" w:type="dxa"/>
            <w:noWrap/>
          </w:tcPr>
          <w:p w14:paraId="6F7D601F"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2029</w:t>
            </w:r>
          </w:p>
        </w:tc>
        <w:tc>
          <w:tcPr>
            <w:tcW w:w="798" w:type="dxa"/>
            <w:noWrap/>
          </w:tcPr>
          <w:p w14:paraId="37DD883A"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0.777</w:t>
            </w:r>
          </w:p>
        </w:tc>
        <w:tc>
          <w:tcPr>
            <w:tcW w:w="961" w:type="dxa"/>
            <w:noWrap/>
          </w:tcPr>
          <w:p w14:paraId="48BFF741"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0.777</w:t>
            </w:r>
          </w:p>
        </w:tc>
        <w:tc>
          <w:tcPr>
            <w:tcW w:w="850" w:type="dxa"/>
            <w:noWrap/>
          </w:tcPr>
          <w:p w14:paraId="077D5ED2"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0.858</w:t>
            </w:r>
          </w:p>
        </w:tc>
        <w:tc>
          <w:tcPr>
            <w:tcW w:w="961" w:type="dxa"/>
            <w:noWrap/>
          </w:tcPr>
          <w:p w14:paraId="6FAB4879"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0.867</w:t>
            </w:r>
          </w:p>
        </w:tc>
        <w:tc>
          <w:tcPr>
            <w:tcW w:w="850" w:type="dxa"/>
            <w:noWrap/>
          </w:tcPr>
          <w:p w14:paraId="19082DEA"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0.226</w:t>
            </w:r>
          </w:p>
        </w:tc>
        <w:tc>
          <w:tcPr>
            <w:tcW w:w="822" w:type="dxa"/>
            <w:noWrap/>
          </w:tcPr>
          <w:p w14:paraId="69D62978"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5801DB07"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0.829</w:t>
            </w:r>
          </w:p>
        </w:tc>
        <w:tc>
          <w:tcPr>
            <w:tcW w:w="851" w:type="dxa"/>
            <w:noWrap/>
          </w:tcPr>
          <w:p w14:paraId="5A3C6DBD"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0.677</w:t>
            </w:r>
          </w:p>
        </w:tc>
        <w:tc>
          <w:tcPr>
            <w:tcW w:w="958" w:type="dxa"/>
            <w:noWrap/>
          </w:tcPr>
          <w:p w14:paraId="5B4ACF77" w14:textId="77777777" w:rsidR="002060E2" w:rsidRPr="003A61D9" w:rsidRDefault="002060E2" w:rsidP="002060E2">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2060E2" w:rsidRPr="004C0DBD" w14:paraId="2642D112" w14:textId="77777777" w:rsidTr="00C22857">
        <w:trPr>
          <w:trHeight w:val="300"/>
        </w:trPr>
        <w:tc>
          <w:tcPr>
            <w:tcW w:w="846" w:type="dxa"/>
            <w:noWrap/>
          </w:tcPr>
          <w:p w14:paraId="5C6E21D5"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2030</w:t>
            </w:r>
          </w:p>
        </w:tc>
        <w:tc>
          <w:tcPr>
            <w:tcW w:w="798" w:type="dxa"/>
            <w:noWrap/>
          </w:tcPr>
          <w:p w14:paraId="0814C212"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0.776</w:t>
            </w:r>
          </w:p>
        </w:tc>
        <w:tc>
          <w:tcPr>
            <w:tcW w:w="961" w:type="dxa"/>
            <w:noWrap/>
          </w:tcPr>
          <w:p w14:paraId="1F65F047"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0.776</w:t>
            </w:r>
          </w:p>
        </w:tc>
        <w:tc>
          <w:tcPr>
            <w:tcW w:w="850" w:type="dxa"/>
            <w:noWrap/>
          </w:tcPr>
          <w:p w14:paraId="24BF8F10"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0.851</w:t>
            </w:r>
          </w:p>
        </w:tc>
        <w:tc>
          <w:tcPr>
            <w:tcW w:w="961" w:type="dxa"/>
            <w:noWrap/>
          </w:tcPr>
          <w:p w14:paraId="63E02649"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0.859</w:t>
            </w:r>
          </w:p>
        </w:tc>
        <w:tc>
          <w:tcPr>
            <w:tcW w:w="850" w:type="dxa"/>
            <w:noWrap/>
          </w:tcPr>
          <w:p w14:paraId="2929B7AE"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0.231</w:t>
            </w:r>
          </w:p>
        </w:tc>
        <w:tc>
          <w:tcPr>
            <w:tcW w:w="822" w:type="dxa"/>
            <w:noWrap/>
          </w:tcPr>
          <w:p w14:paraId="40785D09"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6495FF67"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0.827</w:t>
            </w:r>
          </w:p>
        </w:tc>
        <w:tc>
          <w:tcPr>
            <w:tcW w:w="851" w:type="dxa"/>
            <w:noWrap/>
          </w:tcPr>
          <w:p w14:paraId="69740A27" w14:textId="77777777" w:rsidR="002060E2" w:rsidRPr="003A61D9" w:rsidRDefault="002060E2" w:rsidP="002060E2">
            <w:pPr>
              <w:pStyle w:val="E3Tabletext"/>
              <w:rPr>
                <w:rFonts w:ascii="Helvetica" w:hAnsi="Helvetica" w:cs="Helvetica"/>
                <w:sz w:val="15"/>
                <w:szCs w:val="15"/>
              </w:rPr>
            </w:pPr>
            <w:r w:rsidRPr="003A61D9">
              <w:rPr>
                <w:rFonts w:ascii="Helvetica" w:hAnsi="Helvetica" w:cs="Helvetica"/>
                <w:sz w:val="15"/>
                <w:szCs w:val="15"/>
              </w:rPr>
              <w:t>0.672</w:t>
            </w:r>
          </w:p>
        </w:tc>
        <w:tc>
          <w:tcPr>
            <w:tcW w:w="958" w:type="dxa"/>
            <w:noWrap/>
          </w:tcPr>
          <w:p w14:paraId="23B65E0D" w14:textId="77777777" w:rsidR="002060E2" w:rsidRPr="003A61D9" w:rsidRDefault="002060E2" w:rsidP="002060E2">
            <w:pPr>
              <w:pStyle w:val="E3Tabletext"/>
              <w:rPr>
                <w:rFonts w:ascii="Helvetica" w:hAnsi="Helvetica" w:cs="Helvetica"/>
                <w:sz w:val="15"/>
                <w:szCs w:val="15"/>
                <w:highlight w:val="yellow"/>
              </w:rPr>
            </w:pPr>
            <w:r w:rsidRPr="003A61D9">
              <w:rPr>
                <w:rFonts w:ascii="Helvetica" w:hAnsi="Helvetica" w:cs="Helvetica"/>
                <w:sz w:val="15"/>
                <w:szCs w:val="15"/>
              </w:rPr>
              <w:t>0.1287</w:t>
            </w:r>
          </w:p>
        </w:tc>
      </w:tr>
    </w:tbl>
    <w:p w14:paraId="6C5B69CA" w14:textId="77777777" w:rsidR="002060E2" w:rsidRPr="00AC7259" w:rsidRDefault="002060E2" w:rsidP="002060E2">
      <w:pPr>
        <w:pStyle w:val="E3BodyText"/>
      </w:pPr>
    </w:p>
    <w:p w14:paraId="09F66AD0" w14:textId="77777777" w:rsidR="002060E2" w:rsidRPr="003A61D9" w:rsidRDefault="002060E2" w:rsidP="002060E2">
      <w:pPr>
        <w:pStyle w:val="E3Heading2"/>
        <w:spacing w:before="360"/>
        <w:rPr>
          <w:rFonts w:ascii="Georgia" w:hAnsi="Georgia"/>
          <w:sz w:val="24"/>
        </w:rPr>
      </w:pPr>
      <w:bookmarkStart w:id="481" w:name="_Toc494898001"/>
      <w:bookmarkStart w:id="482" w:name="_Toc494955793"/>
      <w:bookmarkStart w:id="483" w:name="_Toc494959601"/>
      <w:bookmarkStart w:id="484" w:name="_Toc494972727"/>
      <w:bookmarkStart w:id="485" w:name="_Toc494973914"/>
      <w:bookmarkStart w:id="486" w:name="_Toc494974603"/>
      <w:bookmarkStart w:id="487" w:name="_Toc500151847"/>
      <w:r w:rsidRPr="003A61D9">
        <w:rPr>
          <w:rFonts w:ascii="Georgia" w:hAnsi="Georgia"/>
          <w:sz w:val="24"/>
        </w:rPr>
        <w:t>Model parameters and key assumptions</w:t>
      </w:r>
      <w:bookmarkEnd w:id="481"/>
      <w:bookmarkEnd w:id="482"/>
      <w:bookmarkEnd w:id="483"/>
      <w:bookmarkEnd w:id="484"/>
      <w:bookmarkEnd w:id="485"/>
      <w:bookmarkEnd w:id="486"/>
      <w:bookmarkEnd w:id="487"/>
    </w:p>
    <w:p w14:paraId="4D6C6DED" w14:textId="77777777" w:rsidR="002060E2" w:rsidRPr="00AC7259" w:rsidRDefault="002060E2" w:rsidP="002060E2">
      <w:pPr>
        <w:pStyle w:val="E3BodyText"/>
      </w:pPr>
      <w:r w:rsidRPr="00AC7259">
        <w:t>The assumptions about the model parameters</w:t>
      </w:r>
      <w:r>
        <w:t>, including the sensitivity analysis,</w:t>
      </w:r>
      <w:r w:rsidRPr="00AC7259">
        <w:t xml:space="preserve"> are outlined </w:t>
      </w:r>
      <w:r>
        <w:t xml:space="preserve">in </w:t>
      </w:r>
      <w:r>
        <w:rPr>
          <w:b/>
        </w:rPr>
        <w:t xml:space="preserve">Table D 8 </w:t>
      </w:r>
      <w:r>
        <w:t>below.</w:t>
      </w:r>
    </w:p>
    <w:p w14:paraId="42E896EF" w14:textId="7665F321" w:rsidR="002060E2" w:rsidRDefault="002060E2" w:rsidP="00E50722">
      <w:pPr>
        <w:pStyle w:val="E3TableTitles"/>
      </w:pPr>
      <w:bookmarkStart w:id="488" w:name="_Ref453579750"/>
      <w:bookmarkStart w:id="489" w:name="_Toc456164782"/>
      <w:bookmarkStart w:id="490" w:name="_Toc500159680"/>
      <w:r>
        <w:t xml:space="preserve">Table D </w:t>
      </w:r>
      <w:r>
        <w:fldChar w:fldCharType="begin"/>
      </w:r>
      <w:r>
        <w:instrText xml:space="preserve"> SEQ Table_D \* ARABIC </w:instrText>
      </w:r>
      <w:r>
        <w:fldChar w:fldCharType="separate"/>
      </w:r>
      <w:r w:rsidR="00D51B4B">
        <w:rPr>
          <w:noProof/>
        </w:rPr>
        <w:t>8</w:t>
      </w:r>
      <w:r>
        <w:rPr>
          <w:noProof/>
        </w:rPr>
        <w:fldChar w:fldCharType="end"/>
      </w:r>
      <w:bookmarkEnd w:id="488"/>
      <w:r>
        <w:t xml:space="preserve"> Model parameters and key assumptions.</w:t>
      </w:r>
      <w:bookmarkEnd w:id="489"/>
      <w:bookmarkEnd w:id="490"/>
    </w:p>
    <w:tbl>
      <w:tblPr>
        <w:tblStyle w:val="TableGrid5"/>
        <w:tblW w:w="9855" w:type="dxa"/>
        <w:tblLook w:val="04A0" w:firstRow="1" w:lastRow="0" w:firstColumn="1" w:lastColumn="0" w:noHBand="0" w:noVBand="1"/>
        <w:tblDescription w:val="Nil"/>
      </w:tblPr>
      <w:tblGrid>
        <w:gridCol w:w="1555"/>
        <w:gridCol w:w="8300"/>
      </w:tblGrid>
      <w:tr w:rsidR="00162644" w:rsidRPr="00162644" w14:paraId="53B646F1" w14:textId="77777777" w:rsidTr="00162644">
        <w:trPr>
          <w:tblHeader/>
        </w:trPr>
        <w:tc>
          <w:tcPr>
            <w:tcW w:w="1555" w:type="dxa"/>
            <w:shd w:val="clear" w:color="auto" w:fill="000000"/>
          </w:tcPr>
          <w:p w14:paraId="6FF331F4" w14:textId="77777777" w:rsidR="00162644" w:rsidRPr="00162644" w:rsidRDefault="00162644" w:rsidP="00162644">
            <w:pPr>
              <w:spacing w:before="60" w:after="60" w:line="240" w:lineRule="auto"/>
              <w:rPr>
                <w:rFonts w:ascii="Helvetica" w:eastAsia="Times New Roman" w:hAnsi="Helvetica" w:cs="Helvetica"/>
                <w:b/>
                <w:color w:val="FFFFFF"/>
                <w:sz w:val="15"/>
                <w:szCs w:val="15"/>
              </w:rPr>
            </w:pPr>
            <w:r w:rsidRPr="00162644">
              <w:rPr>
                <w:rFonts w:ascii="Helvetica" w:eastAsia="Times New Roman" w:hAnsi="Helvetica" w:cs="Helvetica"/>
                <w:b/>
                <w:color w:val="FFFFFF"/>
                <w:sz w:val="15"/>
                <w:szCs w:val="15"/>
              </w:rPr>
              <w:t>KEY FEATURES</w:t>
            </w:r>
          </w:p>
        </w:tc>
        <w:tc>
          <w:tcPr>
            <w:tcW w:w="8300" w:type="dxa"/>
            <w:shd w:val="clear" w:color="auto" w:fill="000000"/>
          </w:tcPr>
          <w:p w14:paraId="5FD04364" w14:textId="77777777" w:rsidR="00162644" w:rsidRPr="00162644" w:rsidRDefault="00162644" w:rsidP="00162644">
            <w:pPr>
              <w:tabs>
                <w:tab w:val="left" w:pos="3293"/>
              </w:tabs>
              <w:spacing w:before="60" w:after="120" w:line="240" w:lineRule="auto"/>
              <w:rPr>
                <w:rFonts w:ascii="Helvetica" w:eastAsia="Times New Roman" w:hAnsi="Helvetica" w:cs="Helvetica"/>
                <w:b/>
                <w:color w:val="FFFFFF"/>
                <w:sz w:val="15"/>
                <w:szCs w:val="15"/>
              </w:rPr>
            </w:pPr>
            <w:r w:rsidRPr="00162644">
              <w:rPr>
                <w:rFonts w:ascii="Helvetica" w:eastAsia="Times New Roman" w:hAnsi="Helvetica" w:cs="Helvetica"/>
                <w:b/>
                <w:color w:val="FFFFFF"/>
                <w:sz w:val="15"/>
                <w:szCs w:val="15"/>
              </w:rPr>
              <w:t>MODEL PARAMETER</w:t>
            </w:r>
          </w:p>
        </w:tc>
      </w:tr>
      <w:tr w:rsidR="00162644" w:rsidRPr="00162644" w14:paraId="6113F929" w14:textId="77777777" w:rsidTr="0028109D">
        <w:tc>
          <w:tcPr>
            <w:tcW w:w="1555" w:type="dxa"/>
            <w:shd w:val="clear" w:color="auto" w:fill="auto"/>
          </w:tcPr>
          <w:p w14:paraId="12CC6FCF" w14:textId="77777777" w:rsidR="00162644" w:rsidRPr="00162644" w:rsidRDefault="00162644" w:rsidP="00162644">
            <w:pPr>
              <w:spacing w:before="60" w:after="60" w:line="240" w:lineRule="auto"/>
              <w:rPr>
                <w:rFonts w:ascii="Helvetica" w:eastAsia="Times New Roman" w:hAnsi="Helvetica" w:cs="Helvetica"/>
                <w:b/>
                <w:sz w:val="15"/>
                <w:szCs w:val="15"/>
              </w:rPr>
            </w:pPr>
            <w:r w:rsidRPr="00162644">
              <w:rPr>
                <w:rFonts w:ascii="Helvetica" w:eastAsia="Times New Roman" w:hAnsi="Helvetica" w:cs="Helvetica"/>
                <w:b/>
                <w:sz w:val="15"/>
                <w:szCs w:val="15"/>
              </w:rPr>
              <w:t>Scenarios</w:t>
            </w:r>
          </w:p>
        </w:tc>
        <w:tc>
          <w:tcPr>
            <w:tcW w:w="8300" w:type="dxa"/>
          </w:tcPr>
          <w:p w14:paraId="47EA0D06" w14:textId="77777777" w:rsidR="00162644" w:rsidRPr="00162644" w:rsidRDefault="00162644" w:rsidP="00162644">
            <w:pPr>
              <w:framePr w:hSpace="180" w:wrap="around" w:vAnchor="text" w:hAnchor="text" w:x="108" w:y="1"/>
              <w:tabs>
                <w:tab w:val="left" w:pos="3293"/>
              </w:tabs>
              <w:spacing w:before="60" w:after="120" w:line="240" w:lineRule="auto"/>
              <w:suppressOverlap/>
              <w:rPr>
                <w:rFonts w:ascii="Helvetica" w:eastAsia="Times New Roman" w:hAnsi="Helvetica" w:cs="Helvetica"/>
                <w:sz w:val="15"/>
                <w:szCs w:val="15"/>
              </w:rPr>
            </w:pPr>
            <w:r w:rsidRPr="00162644">
              <w:rPr>
                <w:rFonts w:ascii="Helvetica" w:eastAsia="Times New Roman" w:hAnsi="Helvetica" w:cs="Helvetica"/>
                <w:sz w:val="15"/>
                <w:szCs w:val="15"/>
              </w:rPr>
              <w:t>Several policy options (shown below) were combined in multiple scenarios;</w:t>
            </w:r>
          </w:p>
          <w:p w14:paraId="79027B30" w14:textId="77777777" w:rsidR="00162644" w:rsidRPr="00162644" w:rsidRDefault="00162644" w:rsidP="00162644">
            <w:pPr>
              <w:framePr w:hSpace="180" w:wrap="around" w:vAnchor="text" w:hAnchor="text" w:x="108" w:y="1"/>
              <w:numPr>
                <w:ilvl w:val="0"/>
                <w:numId w:val="51"/>
              </w:numPr>
              <w:tabs>
                <w:tab w:val="left" w:pos="3293"/>
              </w:tabs>
              <w:spacing w:before="60" w:after="120" w:line="240" w:lineRule="auto"/>
              <w:suppressOverlap/>
              <w:rPr>
                <w:rFonts w:ascii="Helvetica" w:eastAsia="Times New Roman" w:hAnsi="Helvetica" w:cs="Helvetica"/>
                <w:sz w:val="15"/>
                <w:szCs w:val="15"/>
              </w:rPr>
            </w:pPr>
            <w:r w:rsidRPr="00162644">
              <w:rPr>
                <w:rFonts w:ascii="Helvetica" w:eastAsia="Times New Roman" w:hAnsi="Helvetica" w:cs="Helvetica"/>
                <w:sz w:val="15"/>
                <w:szCs w:val="15"/>
              </w:rPr>
              <w:t>BAU;</w:t>
            </w:r>
          </w:p>
          <w:p w14:paraId="6F3CE2BC" w14:textId="77777777" w:rsidR="00162644" w:rsidRPr="00162644" w:rsidRDefault="00162644" w:rsidP="00162644">
            <w:pPr>
              <w:framePr w:hSpace="180" w:wrap="around" w:vAnchor="text" w:hAnchor="text" w:x="108" w:y="1"/>
              <w:numPr>
                <w:ilvl w:val="0"/>
                <w:numId w:val="51"/>
              </w:numPr>
              <w:tabs>
                <w:tab w:val="left" w:pos="3293"/>
              </w:tabs>
              <w:spacing w:before="60" w:after="120" w:line="240" w:lineRule="auto"/>
              <w:suppressOverlap/>
              <w:rPr>
                <w:rFonts w:ascii="Helvetica" w:eastAsia="Times New Roman" w:hAnsi="Helvetica" w:cs="Helvetica"/>
                <w:sz w:val="15"/>
                <w:szCs w:val="15"/>
              </w:rPr>
            </w:pPr>
            <w:r w:rsidRPr="00162644">
              <w:rPr>
                <w:rFonts w:ascii="Helvetica" w:eastAsia="Times New Roman" w:hAnsi="Helvetica" w:cs="Helvetica"/>
                <w:sz w:val="15"/>
                <w:szCs w:val="15"/>
              </w:rPr>
              <w:t xml:space="preserve">Au-NZ MEPS for display and storage cabinets, using ISO and EN test standards, MEPS to affect the least efficient 10% of models, labelling is voluntary. From 2019; </w:t>
            </w:r>
          </w:p>
          <w:p w14:paraId="0DD341B5" w14:textId="77777777" w:rsidR="00162644" w:rsidRPr="00162644" w:rsidRDefault="00162644" w:rsidP="00162644">
            <w:pPr>
              <w:framePr w:hSpace="180" w:wrap="around" w:vAnchor="text" w:hAnchor="text" w:x="108" w:y="1"/>
              <w:numPr>
                <w:ilvl w:val="0"/>
                <w:numId w:val="51"/>
              </w:numPr>
              <w:tabs>
                <w:tab w:val="left" w:pos="3293"/>
              </w:tabs>
              <w:spacing w:before="60" w:after="120" w:line="240" w:lineRule="auto"/>
              <w:suppressOverlap/>
              <w:rPr>
                <w:rFonts w:ascii="Helvetica" w:eastAsia="Times New Roman" w:hAnsi="Helvetica" w:cs="Helvetica"/>
                <w:sz w:val="15"/>
                <w:szCs w:val="15"/>
              </w:rPr>
            </w:pPr>
            <w:r w:rsidRPr="00162644">
              <w:rPr>
                <w:rFonts w:ascii="Helvetica" w:eastAsia="Times New Roman" w:hAnsi="Helvetica" w:cs="Helvetica"/>
                <w:sz w:val="15"/>
                <w:szCs w:val="15"/>
              </w:rPr>
              <w:t xml:space="preserve">Au-NZ MEPS for display and storage cabinets, using ISO and EN test standards, MEPS to affect the least efficient 30% of models, labelling is voluntary. From 2019; </w:t>
            </w:r>
          </w:p>
          <w:p w14:paraId="7C8C7685" w14:textId="77777777" w:rsidR="00162644" w:rsidRPr="00162644" w:rsidRDefault="00162644" w:rsidP="00162644">
            <w:pPr>
              <w:framePr w:hSpace="180" w:wrap="around" w:vAnchor="text" w:hAnchor="text" w:x="108" w:y="1"/>
              <w:numPr>
                <w:ilvl w:val="0"/>
                <w:numId w:val="51"/>
              </w:numPr>
              <w:tabs>
                <w:tab w:val="left" w:pos="3293"/>
              </w:tabs>
              <w:spacing w:before="60" w:after="120" w:line="240" w:lineRule="auto"/>
              <w:suppressOverlap/>
              <w:rPr>
                <w:rFonts w:ascii="Helvetica" w:eastAsia="Times New Roman" w:hAnsi="Helvetica" w:cs="Helvetica"/>
                <w:sz w:val="15"/>
                <w:szCs w:val="15"/>
              </w:rPr>
            </w:pPr>
            <w:r w:rsidRPr="00162644">
              <w:rPr>
                <w:rFonts w:ascii="Helvetica" w:eastAsia="Times New Roman" w:hAnsi="Helvetica" w:cs="Helvetica"/>
                <w:sz w:val="15"/>
                <w:szCs w:val="15"/>
              </w:rPr>
              <w:t xml:space="preserve">Copy European MEPS levels in 2019 for display and storage cabinets, using ISO and EN test standards, labelling is voluntary. From 2019; </w:t>
            </w:r>
          </w:p>
          <w:p w14:paraId="33ABCE3E" w14:textId="77777777" w:rsidR="00162644" w:rsidRPr="00162644" w:rsidRDefault="00162644" w:rsidP="00162644">
            <w:pPr>
              <w:framePr w:hSpace="180" w:wrap="around" w:vAnchor="text" w:hAnchor="text" w:x="108" w:y="1"/>
              <w:numPr>
                <w:ilvl w:val="0"/>
                <w:numId w:val="51"/>
              </w:numPr>
              <w:tabs>
                <w:tab w:val="left" w:pos="3293"/>
              </w:tabs>
              <w:spacing w:before="60" w:after="120" w:line="240" w:lineRule="auto"/>
              <w:suppressOverlap/>
              <w:rPr>
                <w:rFonts w:ascii="Helvetica" w:eastAsia="Times New Roman" w:hAnsi="Helvetica" w:cs="Helvetica"/>
                <w:sz w:val="15"/>
                <w:szCs w:val="15"/>
              </w:rPr>
            </w:pPr>
            <w:r w:rsidRPr="00162644">
              <w:rPr>
                <w:rFonts w:ascii="Helvetica" w:eastAsia="Times New Roman" w:hAnsi="Helvetica" w:cs="Helvetica"/>
                <w:sz w:val="15"/>
                <w:szCs w:val="15"/>
              </w:rPr>
              <w:t>Non-regulatory options.</w:t>
            </w:r>
          </w:p>
        </w:tc>
      </w:tr>
      <w:tr w:rsidR="00162644" w:rsidRPr="00162644" w14:paraId="3371A9B9" w14:textId="77777777" w:rsidTr="0028109D">
        <w:tc>
          <w:tcPr>
            <w:tcW w:w="1555" w:type="dxa"/>
          </w:tcPr>
          <w:p w14:paraId="564A9586" w14:textId="77777777" w:rsidR="00162644" w:rsidRPr="00162644" w:rsidRDefault="00162644" w:rsidP="00162644">
            <w:pPr>
              <w:spacing w:before="60" w:after="60" w:line="240" w:lineRule="auto"/>
              <w:rPr>
                <w:rFonts w:ascii="Helvetica" w:eastAsia="Times New Roman" w:hAnsi="Helvetica" w:cs="Helvetica"/>
                <w:b/>
                <w:color w:val="FFFFFF"/>
                <w:sz w:val="15"/>
                <w:szCs w:val="15"/>
              </w:rPr>
            </w:pPr>
            <w:r w:rsidRPr="00162644">
              <w:rPr>
                <w:rFonts w:ascii="Helvetica" w:eastAsia="Times New Roman" w:hAnsi="Helvetica" w:cs="Helvetica"/>
                <w:b/>
                <w:sz w:val="15"/>
                <w:szCs w:val="15"/>
              </w:rPr>
              <w:t>Sales</w:t>
            </w:r>
          </w:p>
        </w:tc>
        <w:tc>
          <w:tcPr>
            <w:tcW w:w="8300" w:type="dxa"/>
          </w:tcPr>
          <w:p w14:paraId="06572AA6" w14:textId="77777777" w:rsidR="00162644" w:rsidRPr="00162644" w:rsidRDefault="00162644" w:rsidP="00162644">
            <w:pPr>
              <w:framePr w:hSpace="180" w:wrap="around" w:vAnchor="text" w:hAnchor="text" w:x="108" w:y="1"/>
              <w:tabs>
                <w:tab w:val="left" w:pos="3293"/>
              </w:tabs>
              <w:spacing w:before="60" w:after="120" w:line="240" w:lineRule="auto"/>
              <w:suppressOverlap/>
              <w:rPr>
                <w:rFonts w:ascii="Helvetica" w:eastAsia="Times New Roman" w:hAnsi="Helvetica" w:cs="Helvetica"/>
                <w:sz w:val="15"/>
                <w:szCs w:val="15"/>
              </w:rPr>
            </w:pPr>
            <w:r w:rsidRPr="00162644">
              <w:rPr>
                <w:rFonts w:ascii="Helvetica" w:eastAsia="Times New Roman" w:hAnsi="Helvetica" w:cs="Helvetica"/>
                <w:sz w:val="15"/>
                <w:szCs w:val="15"/>
              </w:rPr>
              <w:t xml:space="preserve">Sales data for Australia for display cabinets were not available. However New Zealand has been collecting mandatory sales data since 2005 under the Energy Efficiency (Energy Using Products) Regulations 2002. Australian sales patterns are assumed to closely match New Zealand’s and these data was used to devise a local sales profile for groups of cabinets. </w:t>
            </w:r>
          </w:p>
          <w:p w14:paraId="590BC42C" w14:textId="77777777" w:rsidR="00162644" w:rsidRPr="00162644" w:rsidRDefault="00162644" w:rsidP="00162644">
            <w:pPr>
              <w:framePr w:hSpace="180" w:wrap="around" w:vAnchor="text" w:hAnchor="text" w:x="108" w:y="1"/>
              <w:tabs>
                <w:tab w:val="left" w:pos="3293"/>
              </w:tabs>
              <w:spacing w:before="60" w:after="120" w:line="240" w:lineRule="auto"/>
              <w:suppressOverlap/>
              <w:rPr>
                <w:rFonts w:ascii="Helvetica" w:eastAsia="Times New Roman" w:hAnsi="Helvetica" w:cs="Helvetica"/>
                <w:color w:val="FFFFFF"/>
                <w:sz w:val="15"/>
                <w:szCs w:val="15"/>
              </w:rPr>
            </w:pPr>
            <w:r w:rsidRPr="00162644">
              <w:rPr>
                <w:rFonts w:ascii="Helvetica" w:eastAsia="Times New Roman" w:hAnsi="Helvetica" w:cs="Helvetica"/>
                <w:sz w:val="15"/>
                <w:szCs w:val="15"/>
              </w:rPr>
              <w:t xml:space="preserve">Stock models were devised by three methods: aggregated sales data, lifespans and growth rates; using the number of outlets with an estimate of cabinet numbers per outlet – and estimates according to European data on a per capita basis. </w:t>
            </w:r>
          </w:p>
        </w:tc>
      </w:tr>
      <w:tr w:rsidR="00162644" w:rsidRPr="00162644" w14:paraId="1E605426" w14:textId="77777777" w:rsidTr="0028109D">
        <w:tc>
          <w:tcPr>
            <w:tcW w:w="1555" w:type="dxa"/>
          </w:tcPr>
          <w:p w14:paraId="2A88DA9A" w14:textId="77777777" w:rsidR="00162644" w:rsidRPr="00162644" w:rsidRDefault="00162644" w:rsidP="00162644">
            <w:pPr>
              <w:spacing w:before="60" w:after="60" w:line="240" w:lineRule="auto"/>
              <w:rPr>
                <w:rFonts w:ascii="Helvetica" w:eastAsia="Times New Roman" w:hAnsi="Helvetica" w:cs="Helvetica"/>
                <w:b/>
                <w:sz w:val="15"/>
                <w:szCs w:val="15"/>
              </w:rPr>
            </w:pPr>
            <w:r w:rsidRPr="00162644">
              <w:rPr>
                <w:rFonts w:ascii="Helvetica" w:eastAsia="Times New Roman" w:hAnsi="Helvetica" w:cs="Helvetica"/>
                <w:b/>
                <w:sz w:val="15"/>
                <w:szCs w:val="15"/>
              </w:rPr>
              <w:t>Projection Period</w:t>
            </w:r>
          </w:p>
        </w:tc>
        <w:tc>
          <w:tcPr>
            <w:tcW w:w="8300" w:type="dxa"/>
          </w:tcPr>
          <w:p w14:paraId="5F3708DB" w14:textId="77777777" w:rsidR="00162644" w:rsidRPr="00162644" w:rsidRDefault="00162644" w:rsidP="00162644">
            <w:pPr>
              <w:framePr w:hSpace="180" w:wrap="around" w:vAnchor="text" w:hAnchor="text" w:x="108" w:y="1"/>
              <w:tabs>
                <w:tab w:val="left" w:pos="3293"/>
              </w:tabs>
              <w:spacing w:before="60" w:after="120" w:line="240" w:lineRule="auto"/>
              <w:suppressOverlap/>
              <w:rPr>
                <w:rFonts w:ascii="Helvetica" w:eastAsia="Times New Roman" w:hAnsi="Helvetica" w:cs="Helvetica"/>
                <w:sz w:val="15"/>
                <w:szCs w:val="15"/>
              </w:rPr>
            </w:pPr>
            <w:r w:rsidRPr="00162644">
              <w:rPr>
                <w:rFonts w:ascii="Helvetica" w:eastAsia="Times New Roman" w:hAnsi="Helvetica" w:cs="Helvetica"/>
                <w:sz w:val="15"/>
                <w:szCs w:val="15"/>
              </w:rPr>
              <w:t xml:space="preserve">17 years (2017-2035) </w:t>
            </w:r>
          </w:p>
          <w:p w14:paraId="5D5B9B43" w14:textId="77777777" w:rsidR="00162644" w:rsidRPr="00162644" w:rsidRDefault="00162644" w:rsidP="00162644">
            <w:pPr>
              <w:framePr w:hSpace="180" w:wrap="around" w:vAnchor="text" w:hAnchor="text" w:x="108" w:y="1"/>
              <w:tabs>
                <w:tab w:val="left" w:pos="3293"/>
              </w:tabs>
              <w:spacing w:before="60" w:after="120" w:line="240" w:lineRule="auto"/>
              <w:suppressOverlap/>
              <w:rPr>
                <w:rFonts w:ascii="Helvetica" w:eastAsia="Times New Roman" w:hAnsi="Helvetica" w:cs="Helvetica"/>
                <w:sz w:val="15"/>
                <w:szCs w:val="15"/>
              </w:rPr>
            </w:pPr>
            <w:r w:rsidRPr="00162644">
              <w:rPr>
                <w:rFonts w:ascii="Helvetica" w:eastAsia="Times New Roman" w:hAnsi="Helvetica" w:cs="Helvetica"/>
                <w:sz w:val="15"/>
                <w:szCs w:val="15"/>
              </w:rPr>
              <w:t>The model uses survival functions with average lifespans for 11 years for integral display cabinets, 13 years for remote display cabinets and 11 years for storage cabinets. The sales growth has slowed from around 7% per annum throughout the 1990s to 4% over the past decade to around 2.5% per annum now and medium term future.</w:t>
            </w:r>
          </w:p>
        </w:tc>
      </w:tr>
      <w:tr w:rsidR="00162644" w:rsidRPr="00162644" w14:paraId="52AAA37B" w14:textId="77777777" w:rsidTr="0028109D">
        <w:tc>
          <w:tcPr>
            <w:tcW w:w="1555" w:type="dxa"/>
          </w:tcPr>
          <w:p w14:paraId="7089047A" w14:textId="77777777" w:rsidR="00162644" w:rsidRPr="00162644" w:rsidRDefault="00162644" w:rsidP="00162644">
            <w:pPr>
              <w:spacing w:before="60" w:after="60" w:line="240" w:lineRule="auto"/>
              <w:rPr>
                <w:rFonts w:ascii="Helvetica" w:eastAsia="Times New Roman" w:hAnsi="Helvetica" w:cs="Helvetica"/>
                <w:b/>
                <w:sz w:val="15"/>
                <w:szCs w:val="15"/>
              </w:rPr>
            </w:pPr>
            <w:r w:rsidRPr="00162644">
              <w:rPr>
                <w:rFonts w:ascii="Helvetica" w:eastAsia="Times New Roman" w:hAnsi="Helvetica" w:cs="Helvetica"/>
                <w:b/>
                <w:sz w:val="15"/>
                <w:szCs w:val="15"/>
              </w:rPr>
              <w:lastRenderedPageBreak/>
              <w:t xml:space="preserve">Efficiency </w:t>
            </w:r>
          </w:p>
        </w:tc>
        <w:tc>
          <w:tcPr>
            <w:tcW w:w="8300" w:type="dxa"/>
          </w:tcPr>
          <w:p w14:paraId="537DB1E2" w14:textId="77777777" w:rsidR="00162644" w:rsidRPr="00162644" w:rsidRDefault="00162644" w:rsidP="00162644">
            <w:pPr>
              <w:framePr w:hSpace="180" w:wrap="around" w:vAnchor="text" w:hAnchor="text" w:x="108" w:y="1"/>
              <w:tabs>
                <w:tab w:val="left" w:pos="3293"/>
              </w:tabs>
              <w:spacing w:before="60" w:after="120" w:line="240" w:lineRule="auto"/>
              <w:suppressOverlap/>
              <w:rPr>
                <w:rFonts w:ascii="Helvetica" w:eastAsia="Times New Roman" w:hAnsi="Helvetica" w:cs="Helvetica"/>
                <w:sz w:val="15"/>
                <w:szCs w:val="15"/>
              </w:rPr>
            </w:pPr>
            <w:r w:rsidRPr="00162644">
              <w:rPr>
                <w:rFonts w:ascii="Helvetica" w:eastAsia="Times New Roman" w:hAnsi="Helvetica" w:cs="Helvetica"/>
                <w:sz w:val="15"/>
                <w:szCs w:val="15"/>
              </w:rPr>
              <w:t>Efficiency impacts were derived from the lowest MEPS level to remove 10% and 30% of current registrations. The resultant sales weighted efficiency of the remaining products sold in NZ over the period 2011 and 2012 was used as the basis of calculating the policy intervention impacts.</w:t>
            </w:r>
          </w:p>
          <w:p w14:paraId="181E04CB" w14:textId="77777777" w:rsidR="00162644" w:rsidRPr="00162644" w:rsidRDefault="00162644" w:rsidP="00162644">
            <w:pPr>
              <w:framePr w:hSpace="180" w:wrap="around" w:vAnchor="text" w:hAnchor="text" w:x="108" w:y="1"/>
              <w:tabs>
                <w:tab w:val="left" w:pos="3293"/>
              </w:tabs>
              <w:spacing w:before="60" w:after="120" w:line="240" w:lineRule="auto"/>
              <w:suppressOverlap/>
              <w:rPr>
                <w:rFonts w:ascii="Helvetica" w:eastAsia="Times New Roman" w:hAnsi="Helvetica" w:cs="Helvetica"/>
                <w:sz w:val="15"/>
                <w:szCs w:val="15"/>
              </w:rPr>
            </w:pPr>
            <w:r w:rsidRPr="00162644">
              <w:rPr>
                <w:rFonts w:ascii="Helvetica" w:eastAsia="Times New Roman" w:hAnsi="Helvetica" w:cs="Helvetica"/>
                <w:sz w:val="15"/>
                <w:szCs w:val="15"/>
              </w:rPr>
              <w:t>Sales weighted efficiency is assumed to increase above BAU by 0.3% pa for 5 years post label introduction, then by 0.2% above BAU for following years (similar to post impact evaluations from refrigerator studies).  Evidence of labelling impacts in the business sector is not available.</w:t>
            </w:r>
          </w:p>
        </w:tc>
      </w:tr>
      <w:tr w:rsidR="00162644" w:rsidRPr="00162644" w14:paraId="38CEBE0C" w14:textId="77777777" w:rsidTr="0028109D">
        <w:tc>
          <w:tcPr>
            <w:tcW w:w="1555" w:type="dxa"/>
          </w:tcPr>
          <w:p w14:paraId="774E8750" w14:textId="77777777" w:rsidR="00162644" w:rsidRPr="00162644" w:rsidRDefault="00162644" w:rsidP="00162644">
            <w:pPr>
              <w:spacing w:before="60" w:after="60" w:line="240" w:lineRule="auto"/>
              <w:rPr>
                <w:rFonts w:ascii="Helvetica" w:eastAsia="Times New Roman" w:hAnsi="Helvetica" w:cs="Helvetica"/>
                <w:b/>
                <w:sz w:val="15"/>
                <w:szCs w:val="15"/>
              </w:rPr>
            </w:pPr>
            <w:r w:rsidRPr="00162644">
              <w:rPr>
                <w:rFonts w:ascii="Helvetica" w:eastAsia="Times New Roman" w:hAnsi="Helvetica" w:cs="Helvetica"/>
                <w:b/>
                <w:sz w:val="15"/>
                <w:szCs w:val="15"/>
              </w:rPr>
              <w:t>Registration Admin costs and Costs of Compliance</w:t>
            </w:r>
          </w:p>
        </w:tc>
        <w:tc>
          <w:tcPr>
            <w:tcW w:w="8300" w:type="dxa"/>
          </w:tcPr>
          <w:p w14:paraId="1AA9FBE7" w14:textId="77777777" w:rsidR="00162644" w:rsidRPr="00162644" w:rsidRDefault="00162644" w:rsidP="00162644">
            <w:pPr>
              <w:framePr w:hSpace="180" w:wrap="around" w:vAnchor="text" w:hAnchor="text" w:x="108" w:y="1"/>
              <w:tabs>
                <w:tab w:val="left" w:pos="3293"/>
              </w:tabs>
              <w:spacing w:before="60" w:after="120" w:line="240" w:lineRule="auto"/>
              <w:suppressOverlap/>
              <w:rPr>
                <w:rFonts w:ascii="Helvetica" w:eastAsia="Times New Roman" w:hAnsi="Helvetica" w:cs="Helvetica"/>
                <w:sz w:val="15"/>
                <w:szCs w:val="15"/>
              </w:rPr>
            </w:pPr>
            <w:r w:rsidRPr="00162644">
              <w:rPr>
                <w:rFonts w:ascii="Helvetica" w:eastAsia="Times New Roman" w:hAnsi="Helvetica" w:cs="Helvetica"/>
                <w:sz w:val="15"/>
                <w:szCs w:val="15"/>
              </w:rPr>
              <w:t>Total incremental cost to Government per annum for Australia and New Zealand ranged from $240,000 per annum to $290,000 per annum.</w:t>
            </w:r>
          </w:p>
          <w:p w14:paraId="06319FDE" w14:textId="77777777" w:rsidR="00162644" w:rsidRPr="00162644" w:rsidRDefault="00162644" w:rsidP="00162644">
            <w:pPr>
              <w:framePr w:hSpace="180" w:wrap="around" w:vAnchor="text" w:hAnchor="text" w:x="108" w:y="1"/>
              <w:tabs>
                <w:tab w:val="left" w:pos="3293"/>
              </w:tabs>
              <w:spacing w:before="60" w:after="120" w:line="240" w:lineRule="auto"/>
              <w:suppressOverlap/>
              <w:rPr>
                <w:rFonts w:ascii="Helvetica" w:eastAsia="Times New Roman" w:hAnsi="Helvetica" w:cs="Helvetica"/>
                <w:sz w:val="15"/>
                <w:szCs w:val="15"/>
                <w:highlight w:val="yellow"/>
              </w:rPr>
            </w:pPr>
            <w:r w:rsidRPr="00162644">
              <w:rPr>
                <w:rFonts w:ascii="Helvetica" w:eastAsia="Times New Roman" w:hAnsi="Helvetica" w:cs="Helvetica"/>
                <w:sz w:val="15"/>
                <w:szCs w:val="15"/>
              </w:rPr>
              <w:t>Establishment cost to government in Australia and New Zealand to prepare the RIS and introduce the new regime are assumed to be $250,000.</w:t>
            </w:r>
          </w:p>
        </w:tc>
      </w:tr>
      <w:tr w:rsidR="00162644" w:rsidRPr="00162644" w14:paraId="30681B22" w14:textId="77777777" w:rsidTr="0028109D">
        <w:tc>
          <w:tcPr>
            <w:tcW w:w="1555" w:type="dxa"/>
          </w:tcPr>
          <w:p w14:paraId="6E5DA740" w14:textId="77777777" w:rsidR="00162644" w:rsidRPr="00162644" w:rsidRDefault="00162644" w:rsidP="00162644">
            <w:pPr>
              <w:spacing w:before="60" w:after="60" w:line="240" w:lineRule="auto"/>
              <w:rPr>
                <w:rFonts w:ascii="Helvetica" w:eastAsia="Times New Roman" w:hAnsi="Helvetica" w:cs="Helvetica"/>
                <w:b/>
                <w:sz w:val="15"/>
                <w:szCs w:val="15"/>
              </w:rPr>
            </w:pPr>
            <w:r w:rsidRPr="00162644">
              <w:rPr>
                <w:rFonts w:ascii="Helvetica" w:eastAsia="Times New Roman" w:hAnsi="Helvetica" w:cs="Helvetica"/>
                <w:b/>
                <w:sz w:val="15"/>
                <w:szCs w:val="15"/>
              </w:rPr>
              <w:t>Energy Consumption</w:t>
            </w:r>
          </w:p>
        </w:tc>
        <w:tc>
          <w:tcPr>
            <w:tcW w:w="8300" w:type="dxa"/>
          </w:tcPr>
          <w:p w14:paraId="19E63ABD" w14:textId="77777777" w:rsidR="00162644" w:rsidRPr="00162644" w:rsidRDefault="00162644" w:rsidP="00162644">
            <w:pPr>
              <w:framePr w:hSpace="180" w:wrap="around" w:vAnchor="text" w:hAnchor="text" w:x="108" w:y="1"/>
              <w:tabs>
                <w:tab w:val="left" w:pos="3293"/>
              </w:tabs>
              <w:spacing w:before="60" w:after="120" w:line="240" w:lineRule="auto"/>
              <w:suppressOverlap/>
              <w:rPr>
                <w:rFonts w:ascii="Helvetica" w:eastAsia="Times New Roman" w:hAnsi="Helvetica" w:cs="Helvetica"/>
                <w:sz w:val="15"/>
                <w:szCs w:val="15"/>
              </w:rPr>
            </w:pPr>
            <w:r w:rsidRPr="00162644">
              <w:rPr>
                <w:rFonts w:ascii="Helvetica" w:eastAsia="Times New Roman" w:hAnsi="Helvetica" w:cs="Helvetica"/>
                <w:sz w:val="15"/>
                <w:szCs w:val="15"/>
              </w:rPr>
              <w:t>The stock model used contained information on the numbers, capacity, efficiency and energy consumption of display and storage cabinets. Energy consumption estimates for the business as usual (BAU) baseline established, and then the energy consumption under different policy options are calculated and compared to the BAU consumption.</w:t>
            </w:r>
          </w:p>
        </w:tc>
      </w:tr>
      <w:tr w:rsidR="00162644" w:rsidRPr="00162644" w14:paraId="6E07BF08" w14:textId="77777777" w:rsidTr="0028109D">
        <w:tc>
          <w:tcPr>
            <w:tcW w:w="1555" w:type="dxa"/>
          </w:tcPr>
          <w:p w14:paraId="24E5C337" w14:textId="77777777" w:rsidR="00162644" w:rsidRPr="00162644" w:rsidRDefault="00162644" w:rsidP="00162644">
            <w:pPr>
              <w:spacing w:before="60" w:after="60" w:line="240" w:lineRule="auto"/>
              <w:rPr>
                <w:rFonts w:ascii="Helvetica" w:eastAsia="Times New Roman" w:hAnsi="Helvetica" w:cs="Helvetica"/>
                <w:b/>
                <w:sz w:val="15"/>
                <w:szCs w:val="15"/>
              </w:rPr>
            </w:pPr>
            <w:r w:rsidRPr="00162644">
              <w:rPr>
                <w:rFonts w:ascii="Helvetica" w:eastAsia="Times New Roman" w:hAnsi="Helvetica" w:cs="Helvetica"/>
                <w:b/>
                <w:sz w:val="15"/>
                <w:szCs w:val="15"/>
              </w:rPr>
              <w:t>GHG emissions</w:t>
            </w:r>
          </w:p>
        </w:tc>
        <w:tc>
          <w:tcPr>
            <w:tcW w:w="8300" w:type="dxa"/>
          </w:tcPr>
          <w:p w14:paraId="1D7EE2FC" w14:textId="77777777" w:rsidR="00162644" w:rsidRPr="00162644" w:rsidRDefault="00162644" w:rsidP="00162644">
            <w:pPr>
              <w:framePr w:hSpace="180" w:wrap="around" w:vAnchor="text" w:hAnchor="text" w:x="108" w:y="1"/>
              <w:tabs>
                <w:tab w:val="left" w:pos="3293"/>
              </w:tabs>
              <w:spacing w:before="60" w:after="120" w:line="240" w:lineRule="auto"/>
              <w:suppressOverlap/>
              <w:rPr>
                <w:rFonts w:ascii="Helvetica" w:eastAsia="Times New Roman" w:hAnsi="Helvetica" w:cs="Helvetica"/>
                <w:sz w:val="15"/>
                <w:szCs w:val="15"/>
              </w:rPr>
            </w:pPr>
            <w:r w:rsidRPr="00162644">
              <w:rPr>
                <w:rFonts w:ascii="Helvetica" w:eastAsia="Times New Roman" w:hAnsi="Helvetica" w:cs="Helvetica"/>
                <w:sz w:val="15"/>
                <w:szCs w:val="15"/>
              </w:rPr>
              <w:t>Scope 3 emission factors for the consumption of electricity by the consumer. The projected Scope 1 emission factors (of electricity sent out by State) were provided by the Department of the Environment and Energy (March 2017). The New Zealand estimates were provided by the Ministry of Business, Innovation and Employment..</w:t>
            </w:r>
          </w:p>
          <w:p w14:paraId="27D69465" w14:textId="77777777" w:rsidR="00162644" w:rsidRPr="00162644" w:rsidRDefault="00162644" w:rsidP="00162644">
            <w:pPr>
              <w:framePr w:hSpace="180" w:wrap="around" w:vAnchor="text" w:hAnchor="text" w:x="108" w:y="1"/>
              <w:tabs>
                <w:tab w:val="left" w:pos="3293"/>
              </w:tabs>
              <w:spacing w:before="60" w:after="120" w:line="240" w:lineRule="auto"/>
              <w:suppressOverlap/>
              <w:rPr>
                <w:rFonts w:ascii="Helvetica" w:eastAsia="Times New Roman" w:hAnsi="Helvetica" w:cs="Helvetica"/>
                <w:sz w:val="15"/>
                <w:szCs w:val="15"/>
              </w:rPr>
            </w:pPr>
          </w:p>
        </w:tc>
      </w:tr>
      <w:tr w:rsidR="00162644" w:rsidRPr="00162644" w14:paraId="23B50D7B" w14:textId="77777777" w:rsidTr="0028109D">
        <w:tc>
          <w:tcPr>
            <w:tcW w:w="1555" w:type="dxa"/>
          </w:tcPr>
          <w:p w14:paraId="3A3875AA" w14:textId="77777777" w:rsidR="00162644" w:rsidRPr="00162644" w:rsidRDefault="00162644" w:rsidP="00162644">
            <w:pPr>
              <w:spacing w:before="60" w:after="60" w:line="240" w:lineRule="auto"/>
              <w:rPr>
                <w:rFonts w:ascii="Helvetica" w:eastAsia="Times New Roman" w:hAnsi="Helvetica" w:cs="Helvetica"/>
                <w:b/>
                <w:sz w:val="15"/>
                <w:szCs w:val="15"/>
              </w:rPr>
            </w:pPr>
            <w:r w:rsidRPr="00162644">
              <w:rPr>
                <w:rFonts w:ascii="Helvetica" w:eastAsia="Times New Roman" w:hAnsi="Helvetica" w:cs="Helvetica"/>
                <w:b/>
                <w:sz w:val="15"/>
                <w:szCs w:val="15"/>
              </w:rPr>
              <w:t>Industry costs</w:t>
            </w:r>
          </w:p>
        </w:tc>
        <w:tc>
          <w:tcPr>
            <w:tcW w:w="8300" w:type="dxa"/>
          </w:tcPr>
          <w:p w14:paraId="2306D9FE" w14:textId="77777777" w:rsidR="00162644" w:rsidRPr="00162644" w:rsidRDefault="00162644" w:rsidP="00162644">
            <w:pPr>
              <w:framePr w:hSpace="180" w:wrap="around" w:vAnchor="text" w:hAnchor="text" w:x="108" w:y="1"/>
              <w:tabs>
                <w:tab w:val="left" w:pos="3293"/>
              </w:tabs>
              <w:spacing w:before="60" w:after="120" w:line="240" w:lineRule="auto"/>
              <w:suppressOverlap/>
              <w:rPr>
                <w:rFonts w:ascii="Helvetica" w:eastAsia="Times New Roman" w:hAnsi="Helvetica" w:cs="Helvetica"/>
                <w:sz w:val="15"/>
                <w:szCs w:val="15"/>
              </w:rPr>
            </w:pPr>
            <w:r w:rsidRPr="00162644">
              <w:rPr>
                <w:rFonts w:ascii="Helvetica" w:eastAsia="Times New Roman" w:hAnsi="Helvetica" w:cs="Helvetica"/>
                <w:sz w:val="15"/>
                <w:szCs w:val="15"/>
              </w:rPr>
              <w:t>Incremental cost per supplier per year ranged from $18,000 to $35,000 (approx. $12 – $23 per sale)</w:t>
            </w:r>
          </w:p>
          <w:p w14:paraId="58E5B9F1" w14:textId="77777777" w:rsidR="00162644" w:rsidRPr="00162644" w:rsidRDefault="00162644" w:rsidP="00162644">
            <w:pPr>
              <w:framePr w:hSpace="180" w:wrap="around" w:vAnchor="text" w:hAnchor="text" w:x="108" w:y="1"/>
              <w:tabs>
                <w:tab w:val="left" w:pos="3293"/>
              </w:tabs>
              <w:spacing w:before="60" w:after="120" w:line="240" w:lineRule="auto"/>
              <w:suppressOverlap/>
              <w:rPr>
                <w:rFonts w:ascii="Helvetica" w:eastAsia="Times New Roman" w:hAnsi="Helvetica" w:cs="Helvetica"/>
                <w:sz w:val="15"/>
                <w:szCs w:val="15"/>
              </w:rPr>
            </w:pPr>
            <w:r w:rsidRPr="00162644">
              <w:rPr>
                <w:rFonts w:ascii="Helvetica" w:eastAsia="Times New Roman" w:hAnsi="Helvetica" w:cs="Helvetica"/>
                <w:sz w:val="15"/>
                <w:szCs w:val="15"/>
              </w:rPr>
              <w:t>Model test cost is around $6,500.00 each.</w:t>
            </w:r>
          </w:p>
          <w:p w14:paraId="001B3622" w14:textId="77777777" w:rsidR="00162644" w:rsidRPr="00162644" w:rsidRDefault="00162644" w:rsidP="00162644">
            <w:pPr>
              <w:framePr w:hSpace="180" w:wrap="around" w:vAnchor="text" w:hAnchor="text" w:x="108" w:y="1"/>
              <w:tabs>
                <w:tab w:val="left" w:pos="3293"/>
              </w:tabs>
              <w:spacing w:before="60" w:after="120" w:line="240" w:lineRule="auto"/>
              <w:suppressOverlap/>
              <w:rPr>
                <w:rFonts w:ascii="Helvetica" w:eastAsia="Times New Roman" w:hAnsi="Helvetica" w:cs="Helvetica"/>
                <w:sz w:val="15"/>
                <w:szCs w:val="15"/>
              </w:rPr>
            </w:pPr>
            <w:r w:rsidRPr="00162644">
              <w:rPr>
                <w:rFonts w:ascii="Helvetica" w:eastAsia="Times New Roman" w:hAnsi="Helvetica" w:cs="Helvetica"/>
                <w:sz w:val="15"/>
                <w:szCs w:val="15"/>
              </w:rPr>
              <w:t>Current number registered is 1,485, assumed around 50 may need to be tested under a changed regime as they may have just passed MEPS under the existing regime and no longer meet the changed regime.</w:t>
            </w:r>
          </w:p>
          <w:p w14:paraId="2EF87930" w14:textId="77777777" w:rsidR="00162644" w:rsidRPr="00162644" w:rsidRDefault="00162644" w:rsidP="00162644">
            <w:pPr>
              <w:framePr w:hSpace="180" w:wrap="around" w:vAnchor="text" w:hAnchor="text" w:x="108" w:y="1"/>
              <w:tabs>
                <w:tab w:val="left" w:pos="3293"/>
              </w:tabs>
              <w:spacing w:before="60" w:after="120" w:line="240" w:lineRule="auto"/>
              <w:suppressOverlap/>
              <w:rPr>
                <w:rFonts w:ascii="Helvetica" w:eastAsia="Times New Roman" w:hAnsi="Helvetica" w:cs="Helvetica"/>
                <w:sz w:val="15"/>
                <w:szCs w:val="15"/>
              </w:rPr>
            </w:pPr>
            <w:r w:rsidRPr="00162644">
              <w:rPr>
                <w:rFonts w:ascii="Helvetica" w:eastAsia="Times New Roman" w:hAnsi="Helvetica" w:cs="Helvetica"/>
                <w:sz w:val="15"/>
                <w:szCs w:val="15"/>
              </w:rPr>
              <w:t>Additional number of registrations is 35% to 40% of the existing number.</w:t>
            </w:r>
          </w:p>
          <w:p w14:paraId="0D4E012E" w14:textId="77777777" w:rsidR="00162644" w:rsidRPr="00162644" w:rsidRDefault="00162644" w:rsidP="00162644">
            <w:pPr>
              <w:framePr w:hSpace="180" w:wrap="around" w:vAnchor="text" w:hAnchor="text" w:x="108" w:y="1"/>
              <w:tabs>
                <w:tab w:val="left" w:pos="3293"/>
              </w:tabs>
              <w:spacing w:before="60" w:after="120" w:line="240" w:lineRule="auto"/>
              <w:suppressOverlap/>
              <w:rPr>
                <w:rFonts w:ascii="Helvetica" w:eastAsia="Times New Roman" w:hAnsi="Helvetica" w:cs="Helvetica"/>
                <w:sz w:val="15"/>
                <w:szCs w:val="15"/>
              </w:rPr>
            </w:pPr>
            <w:r w:rsidRPr="00162644">
              <w:rPr>
                <w:rFonts w:ascii="Helvetica" w:eastAsia="Times New Roman" w:hAnsi="Helvetica" w:cs="Helvetica"/>
                <w:sz w:val="15"/>
                <w:szCs w:val="15"/>
              </w:rPr>
              <w:t>The incremental cost to industry is shared across 75 suppliers in Australian and New Zealand.</w:t>
            </w:r>
          </w:p>
          <w:p w14:paraId="0490024E" w14:textId="77777777" w:rsidR="00162644" w:rsidRPr="00162644" w:rsidRDefault="00162644" w:rsidP="00162644">
            <w:pPr>
              <w:framePr w:hSpace="180" w:wrap="around" w:vAnchor="text" w:hAnchor="text" w:x="108" w:y="1"/>
              <w:tabs>
                <w:tab w:val="left" w:pos="3293"/>
              </w:tabs>
              <w:spacing w:before="60" w:after="120" w:line="240" w:lineRule="auto"/>
              <w:suppressOverlap/>
              <w:rPr>
                <w:rFonts w:ascii="Helvetica" w:eastAsia="Times New Roman" w:hAnsi="Helvetica" w:cs="Helvetica"/>
                <w:sz w:val="15"/>
                <w:szCs w:val="15"/>
              </w:rPr>
            </w:pPr>
            <w:r w:rsidRPr="00162644">
              <w:rPr>
                <w:rFonts w:ascii="Helvetica" w:eastAsia="Times New Roman" w:hAnsi="Helvetica" w:cs="Helvetica"/>
                <w:sz w:val="15"/>
                <w:szCs w:val="15"/>
              </w:rPr>
              <w:t>Government test 2% of registrations per annum (i.e. 30 units under current regime), at an average purchase cost of $5,000 per unit incurring individual test costs of $6,500 plus $1,500 for further evaluation.</w:t>
            </w:r>
          </w:p>
        </w:tc>
      </w:tr>
      <w:tr w:rsidR="00162644" w:rsidRPr="00162644" w14:paraId="2FB309FB" w14:textId="77777777" w:rsidTr="0028109D">
        <w:tc>
          <w:tcPr>
            <w:tcW w:w="1555" w:type="dxa"/>
          </w:tcPr>
          <w:p w14:paraId="73D2E26D" w14:textId="77777777" w:rsidR="00162644" w:rsidRPr="00162644" w:rsidRDefault="00162644" w:rsidP="00162644">
            <w:pPr>
              <w:spacing w:before="60" w:after="60" w:line="240" w:lineRule="auto"/>
              <w:rPr>
                <w:rFonts w:ascii="Helvetica" w:eastAsia="Times New Roman" w:hAnsi="Helvetica" w:cs="Helvetica"/>
                <w:b/>
                <w:sz w:val="15"/>
                <w:szCs w:val="15"/>
              </w:rPr>
            </w:pPr>
            <w:r w:rsidRPr="00162644">
              <w:rPr>
                <w:rFonts w:ascii="Helvetica" w:eastAsia="Times New Roman" w:hAnsi="Helvetica" w:cs="Helvetica"/>
                <w:b/>
                <w:sz w:val="15"/>
                <w:szCs w:val="15"/>
              </w:rPr>
              <w:t>Sensitivity Analysis</w:t>
            </w:r>
          </w:p>
        </w:tc>
        <w:tc>
          <w:tcPr>
            <w:tcW w:w="8300" w:type="dxa"/>
          </w:tcPr>
          <w:p w14:paraId="7C455905" w14:textId="77777777" w:rsidR="00162644" w:rsidRPr="00162644" w:rsidRDefault="00162644" w:rsidP="00162644">
            <w:pPr>
              <w:framePr w:hSpace="180" w:wrap="around" w:vAnchor="text" w:hAnchor="text" w:x="108" w:y="1"/>
              <w:tabs>
                <w:tab w:val="left" w:pos="3293"/>
              </w:tabs>
              <w:spacing w:before="60" w:after="120" w:line="240" w:lineRule="auto"/>
              <w:suppressOverlap/>
              <w:rPr>
                <w:rFonts w:ascii="Helvetica" w:eastAsia="Times New Roman" w:hAnsi="Helvetica" w:cs="Helvetica"/>
                <w:sz w:val="15"/>
                <w:szCs w:val="15"/>
              </w:rPr>
            </w:pPr>
            <w:r w:rsidRPr="00162644">
              <w:rPr>
                <w:rFonts w:ascii="Helvetica" w:eastAsia="Times New Roman" w:hAnsi="Helvetica" w:cs="Helvetica"/>
                <w:sz w:val="15"/>
                <w:szCs w:val="15"/>
              </w:rPr>
              <w:t>The sensitivity of the results was tested under the following cases:</w:t>
            </w:r>
          </w:p>
          <w:p w14:paraId="0B75048A" w14:textId="77777777" w:rsidR="00162644" w:rsidRPr="00162644" w:rsidRDefault="00162644" w:rsidP="00162644">
            <w:pPr>
              <w:framePr w:hSpace="180" w:wrap="around" w:vAnchor="text" w:hAnchor="text" w:x="108" w:y="1"/>
              <w:tabs>
                <w:tab w:val="left" w:pos="3293"/>
              </w:tabs>
              <w:spacing w:before="60" w:after="120" w:line="240" w:lineRule="auto"/>
              <w:suppressOverlap/>
              <w:rPr>
                <w:rFonts w:ascii="Helvetica" w:eastAsia="Times New Roman" w:hAnsi="Helvetica" w:cs="Helvetica"/>
                <w:sz w:val="15"/>
                <w:szCs w:val="15"/>
              </w:rPr>
            </w:pPr>
            <w:r w:rsidRPr="00162644">
              <w:rPr>
                <w:rFonts w:ascii="Helvetica" w:eastAsia="Times New Roman" w:hAnsi="Helvetica" w:cs="Helvetica"/>
                <w:sz w:val="15"/>
                <w:szCs w:val="15"/>
              </w:rPr>
              <w:t>Discount rates - Australia = 0%, 3%, 7%, 11%; New Zealand = 0%, 3%, 5%, 8%</w:t>
            </w:r>
          </w:p>
          <w:p w14:paraId="233BCF04" w14:textId="77777777" w:rsidR="00162644" w:rsidRPr="00162644" w:rsidRDefault="00162644" w:rsidP="00162644">
            <w:pPr>
              <w:framePr w:hSpace="180" w:wrap="around" w:vAnchor="text" w:hAnchor="text" w:x="108" w:y="1"/>
              <w:tabs>
                <w:tab w:val="left" w:pos="3293"/>
              </w:tabs>
              <w:spacing w:before="60" w:after="120" w:line="240" w:lineRule="auto"/>
              <w:suppressOverlap/>
              <w:rPr>
                <w:rFonts w:ascii="Helvetica" w:eastAsia="Times New Roman" w:hAnsi="Helvetica" w:cs="Helvetica"/>
                <w:sz w:val="15"/>
                <w:szCs w:val="15"/>
              </w:rPr>
            </w:pPr>
            <w:r w:rsidRPr="00162644">
              <w:rPr>
                <w:rFonts w:ascii="Helvetica" w:eastAsia="Times New Roman" w:hAnsi="Helvetica" w:cs="Helvetica"/>
                <w:sz w:val="15"/>
                <w:szCs w:val="15"/>
              </w:rPr>
              <w:t>Price Efficiency ratios – 0.5, 1.0, 1.5, 2.0</w:t>
            </w:r>
          </w:p>
          <w:p w14:paraId="48819EB9" w14:textId="77777777" w:rsidR="00162644" w:rsidRPr="00162644" w:rsidRDefault="00162644" w:rsidP="00162644">
            <w:pPr>
              <w:framePr w:hSpace="180" w:wrap="around" w:vAnchor="text" w:hAnchor="text" w:x="108" w:y="1"/>
              <w:tabs>
                <w:tab w:val="left" w:pos="3293"/>
              </w:tabs>
              <w:spacing w:before="60" w:after="120" w:line="240" w:lineRule="auto"/>
              <w:suppressOverlap/>
              <w:rPr>
                <w:rFonts w:ascii="Helvetica" w:eastAsia="Times New Roman" w:hAnsi="Helvetica" w:cs="Helvetica"/>
                <w:sz w:val="15"/>
                <w:szCs w:val="15"/>
              </w:rPr>
            </w:pPr>
            <w:r w:rsidRPr="00162644">
              <w:rPr>
                <w:rFonts w:ascii="Helvetica" w:eastAsia="Times New Roman" w:hAnsi="Helvetica" w:cs="Helvetica"/>
                <w:sz w:val="15"/>
                <w:szCs w:val="15"/>
              </w:rPr>
              <w:t>Caron price -  Australia = $0, $11.82, $35;  New Zealand = $0, $25, $50</w:t>
            </w:r>
          </w:p>
        </w:tc>
      </w:tr>
      <w:tr w:rsidR="00162644" w:rsidRPr="00162644" w14:paraId="558046A9" w14:textId="77777777" w:rsidTr="0028109D">
        <w:tc>
          <w:tcPr>
            <w:tcW w:w="1555" w:type="dxa"/>
          </w:tcPr>
          <w:p w14:paraId="0292B5CF" w14:textId="77777777" w:rsidR="00162644" w:rsidRPr="00162644" w:rsidRDefault="00162644" w:rsidP="00162644">
            <w:pPr>
              <w:spacing w:before="60" w:after="60" w:line="240" w:lineRule="auto"/>
              <w:rPr>
                <w:rFonts w:ascii="Helvetica" w:eastAsia="Times New Roman" w:hAnsi="Helvetica" w:cs="Helvetica"/>
                <w:b/>
                <w:sz w:val="15"/>
                <w:szCs w:val="15"/>
              </w:rPr>
            </w:pPr>
            <w:r w:rsidRPr="00162644">
              <w:rPr>
                <w:rFonts w:ascii="Helvetica" w:eastAsia="Times New Roman" w:hAnsi="Helvetica" w:cs="Helvetica"/>
                <w:b/>
                <w:sz w:val="15"/>
                <w:szCs w:val="15"/>
              </w:rPr>
              <w:t>Key Assumptions</w:t>
            </w:r>
          </w:p>
        </w:tc>
        <w:tc>
          <w:tcPr>
            <w:tcW w:w="8300" w:type="dxa"/>
          </w:tcPr>
          <w:p w14:paraId="51556E96" w14:textId="77777777" w:rsidR="00162644" w:rsidRPr="00162644" w:rsidRDefault="00162644" w:rsidP="00162644">
            <w:pPr>
              <w:framePr w:hSpace="180" w:wrap="around" w:vAnchor="text" w:hAnchor="text" w:x="108" w:y="1"/>
              <w:tabs>
                <w:tab w:val="left" w:pos="3293"/>
              </w:tabs>
              <w:spacing w:before="60" w:after="120" w:line="240" w:lineRule="auto"/>
              <w:suppressOverlap/>
              <w:rPr>
                <w:rFonts w:ascii="Helvetica" w:eastAsia="Times New Roman" w:hAnsi="Helvetica" w:cs="Helvetica"/>
                <w:sz w:val="15"/>
                <w:szCs w:val="15"/>
              </w:rPr>
            </w:pPr>
            <w:r w:rsidRPr="00162644">
              <w:rPr>
                <w:rFonts w:ascii="Helvetica" w:eastAsia="Times New Roman" w:hAnsi="Helvetica" w:cs="Helvetica"/>
                <w:sz w:val="15"/>
                <w:szCs w:val="15"/>
              </w:rPr>
              <w:t xml:space="preserve">Energy consumption estimates for the business as usual (BAU) baseline is established, and then the energy consumption under different policy options are calculated and compared to the BAU consumption.  Benefits, such as reduced energy consumption and carbon emission reductions are calculated and can be assigned monetary values, so the total aggregate cost savings can be calculated.   Cost, both government and private costs are also calculated and aggregated.  All net present value costs and benefits presented in the summary tables are based on Australia using 7% discount rate and New Zealand with a 6% discount rate. </w:t>
            </w:r>
          </w:p>
        </w:tc>
      </w:tr>
    </w:tbl>
    <w:p w14:paraId="57F02E03" w14:textId="77777777" w:rsidR="00C22857" w:rsidRDefault="00C22857" w:rsidP="002060E2">
      <w:pPr>
        <w:rPr>
          <w:sz w:val="24"/>
        </w:rPr>
      </w:pPr>
    </w:p>
    <w:p w14:paraId="34D2DE45" w14:textId="77777777" w:rsidR="002060E2" w:rsidRPr="00A91C07" w:rsidRDefault="002060E2" w:rsidP="002060E2">
      <w:pPr>
        <w:rPr>
          <w:sz w:val="24"/>
        </w:rPr>
      </w:pPr>
      <w:r>
        <w:rPr>
          <w:sz w:val="24"/>
        </w:rPr>
        <w:t>The following sensitivity testing was carried out as part of the sensitivity analysis.</w:t>
      </w:r>
    </w:p>
    <w:p w14:paraId="18A5B9C3" w14:textId="77777777" w:rsidR="002060E2" w:rsidRPr="000F4EA8" w:rsidRDefault="002060E2" w:rsidP="002060E2">
      <w:pPr>
        <w:spacing w:before="240"/>
        <w:rPr>
          <w:b/>
          <w:sz w:val="24"/>
        </w:rPr>
      </w:pPr>
      <w:r w:rsidRPr="000F4EA8">
        <w:rPr>
          <w:b/>
          <w:sz w:val="24"/>
        </w:rPr>
        <w:t>Sensitivity test – discount rates</w:t>
      </w:r>
    </w:p>
    <w:p w14:paraId="28D42643" w14:textId="77777777" w:rsidR="002060E2" w:rsidRDefault="002060E2" w:rsidP="002060E2">
      <w:pPr>
        <w:rPr>
          <w:sz w:val="24"/>
        </w:rPr>
      </w:pPr>
      <w:r>
        <w:rPr>
          <w:sz w:val="24"/>
        </w:rPr>
        <w:t xml:space="preserve">The impact on the cost benefit estimates of varying the discount rate for the recommended option 4 are shown in </w:t>
      </w:r>
      <w:r>
        <w:rPr>
          <w:b/>
          <w:sz w:val="24"/>
        </w:rPr>
        <w:t>Table D 9 and Figure D 1</w:t>
      </w:r>
      <w:r>
        <w:rPr>
          <w:sz w:val="24"/>
        </w:rPr>
        <w:t>.</w:t>
      </w:r>
    </w:p>
    <w:p w14:paraId="6DCCA98F" w14:textId="77777777" w:rsidR="002060E2" w:rsidRPr="00FA1D23" w:rsidRDefault="002060E2" w:rsidP="002060E2">
      <w:pPr>
        <w:keepNext/>
        <w:spacing w:before="240"/>
        <w:rPr>
          <w:sz w:val="24"/>
        </w:rPr>
      </w:pPr>
      <w:r>
        <w:rPr>
          <w:b/>
          <w:sz w:val="18"/>
          <w:szCs w:val="18"/>
        </w:rPr>
        <w:lastRenderedPageBreak/>
        <w:t>Table D 9 – discount rates for Australia and New Zealand.</w:t>
      </w:r>
    </w:p>
    <w:p w14:paraId="5F91CF41" w14:textId="77777777" w:rsidR="002060E2" w:rsidRDefault="002060E2" w:rsidP="002060E2">
      <w:pPr>
        <w:rPr>
          <w:sz w:val="24"/>
        </w:rPr>
      </w:pPr>
      <w:r>
        <w:rPr>
          <w:noProof/>
          <w:sz w:val="24"/>
          <w:lang w:eastAsia="en-AU"/>
        </w:rPr>
        <w:drawing>
          <wp:inline distT="0" distB="0" distL="0" distR="0" wp14:anchorId="6751C304" wp14:editId="46B369D6">
            <wp:extent cx="6120765" cy="686440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6864409"/>
                    </a:xfrm>
                    <a:prstGeom prst="rect">
                      <a:avLst/>
                    </a:prstGeom>
                    <a:noFill/>
                    <a:ln>
                      <a:noFill/>
                    </a:ln>
                  </pic:spPr>
                </pic:pic>
              </a:graphicData>
            </a:graphic>
          </wp:inline>
        </w:drawing>
      </w:r>
    </w:p>
    <w:p w14:paraId="77C8D7A3" w14:textId="77777777" w:rsidR="002060E2" w:rsidRPr="00CA455C" w:rsidRDefault="002060E2" w:rsidP="002060E2">
      <w:pPr>
        <w:rPr>
          <w:b/>
          <w:sz w:val="18"/>
          <w:szCs w:val="18"/>
        </w:rPr>
      </w:pPr>
      <w:r w:rsidRPr="00F23060">
        <w:rPr>
          <w:b/>
          <w:sz w:val="18"/>
          <w:szCs w:val="18"/>
        </w:rPr>
        <w:t>Figure D 1</w:t>
      </w:r>
      <w:r>
        <w:rPr>
          <w:b/>
          <w:sz w:val="18"/>
          <w:szCs w:val="18"/>
        </w:rPr>
        <w:t xml:space="preserve"> – Demand reductions for Australia and New Zealand.</w:t>
      </w:r>
    </w:p>
    <w:p w14:paraId="6F057F0C" w14:textId="77777777" w:rsidR="002060E2" w:rsidRDefault="002060E2" w:rsidP="002060E2">
      <w:pPr>
        <w:rPr>
          <w:b/>
          <w:sz w:val="24"/>
        </w:rPr>
      </w:pPr>
    </w:p>
    <w:p w14:paraId="40E7F2DC" w14:textId="77777777" w:rsidR="000E3C98" w:rsidRDefault="000E3C98" w:rsidP="002060E2">
      <w:pPr>
        <w:rPr>
          <w:b/>
          <w:sz w:val="24"/>
        </w:rPr>
      </w:pPr>
    </w:p>
    <w:p w14:paraId="1D5CB35F" w14:textId="77777777" w:rsidR="000E3C98" w:rsidRDefault="000E3C98" w:rsidP="002060E2">
      <w:pPr>
        <w:rPr>
          <w:b/>
          <w:sz w:val="24"/>
        </w:rPr>
      </w:pPr>
    </w:p>
    <w:p w14:paraId="085A0800" w14:textId="77777777" w:rsidR="000E3C98" w:rsidRDefault="000E3C98" w:rsidP="002060E2">
      <w:pPr>
        <w:rPr>
          <w:b/>
          <w:sz w:val="24"/>
        </w:rPr>
      </w:pPr>
    </w:p>
    <w:p w14:paraId="00F19C3B" w14:textId="77777777" w:rsidR="000E3C98" w:rsidRDefault="000E3C98" w:rsidP="002060E2">
      <w:pPr>
        <w:rPr>
          <w:b/>
          <w:sz w:val="24"/>
        </w:rPr>
      </w:pPr>
    </w:p>
    <w:p w14:paraId="500327B3" w14:textId="77777777" w:rsidR="000E3C98" w:rsidRDefault="000E3C98" w:rsidP="002060E2">
      <w:pPr>
        <w:rPr>
          <w:b/>
          <w:sz w:val="24"/>
        </w:rPr>
      </w:pPr>
    </w:p>
    <w:p w14:paraId="2416D493" w14:textId="77777777" w:rsidR="002060E2" w:rsidRPr="000F4EA8" w:rsidRDefault="002060E2" w:rsidP="002060E2">
      <w:pPr>
        <w:rPr>
          <w:b/>
          <w:sz w:val="24"/>
        </w:rPr>
      </w:pPr>
      <w:r w:rsidRPr="000F4EA8">
        <w:rPr>
          <w:b/>
          <w:sz w:val="24"/>
        </w:rPr>
        <w:t>Sensitivity test: Price Efficiency Ratio</w:t>
      </w:r>
    </w:p>
    <w:p w14:paraId="1AE5C27A" w14:textId="77777777" w:rsidR="002060E2" w:rsidRDefault="002060E2" w:rsidP="002060E2">
      <w:pPr>
        <w:jc w:val="both"/>
        <w:rPr>
          <w:sz w:val="24"/>
        </w:rPr>
      </w:pPr>
      <w:r>
        <w:rPr>
          <w:sz w:val="24"/>
        </w:rPr>
        <w:t xml:space="preserve">The impact on the cost benefit estimates of varying the price efficiency ratio (which shows the cost impact of efficiency improvement on the price of the product to the consumer) is shown in </w:t>
      </w:r>
      <w:r>
        <w:rPr>
          <w:b/>
          <w:sz w:val="24"/>
        </w:rPr>
        <w:t xml:space="preserve">tables D10, D11 and D12 </w:t>
      </w:r>
      <w:r>
        <w:rPr>
          <w:sz w:val="24"/>
        </w:rPr>
        <w:t>below.</w:t>
      </w:r>
    </w:p>
    <w:p w14:paraId="6A408596" w14:textId="77777777" w:rsidR="00C22857" w:rsidRPr="0016101C" w:rsidRDefault="00C22857" w:rsidP="002060E2">
      <w:pPr>
        <w:jc w:val="both"/>
        <w:rPr>
          <w:b/>
          <w:color w:val="FF0000"/>
          <w:sz w:val="24"/>
        </w:rPr>
      </w:pPr>
    </w:p>
    <w:p w14:paraId="7B628933" w14:textId="5DBB01CA" w:rsidR="002060E2" w:rsidRPr="00C22857" w:rsidRDefault="00C22857" w:rsidP="00C22857">
      <w:pPr>
        <w:rPr>
          <w:b/>
          <w:sz w:val="18"/>
          <w:szCs w:val="20"/>
        </w:rPr>
      </w:pPr>
      <w:r w:rsidRPr="00CA455C">
        <w:rPr>
          <w:b/>
          <w:sz w:val="18"/>
          <w:szCs w:val="20"/>
        </w:rPr>
        <w:t>Tables D10, D11 and D12 – Summary results of vary</w:t>
      </w:r>
      <w:r>
        <w:rPr>
          <w:b/>
          <w:sz w:val="18"/>
          <w:szCs w:val="20"/>
        </w:rPr>
        <w:t>ing the Price Efficiency Ratio.</w:t>
      </w:r>
      <w:r w:rsidR="002060E2" w:rsidRPr="007B014D">
        <w:rPr>
          <w:b/>
          <w:sz w:val="24"/>
        </w:rPr>
        <w:t xml:space="preserve"> </w:t>
      </w:r>
      <w:r w:rsidR="002060E2">
        <w:rPr>
          <w:b/>
          <w:noProof/>
          <w:sz w:val="24"/>
          <w:lang w:eastAsia="en-AU"/>
        </w:rPr>
        <w:drawing>
          <wp:inline distT="0" distB="0" distL="0" distR="0" wp14:anchorId="6BF01A78" wp14:editId="753464BA">
            <wp:extent cx="6120765" cy="6464232"/>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765" cy="6464232"/>
                    </a:xfrm>
                    <a:prstGeom prst="rect">
                      <a:avLst/>
                    </a:prstGeom>
                    <a:noFill/>
                    <a:ln>
                      <a:noFill/>
                    </a:ln>
                  </pic:spPr>
                </pic:pic>
              </a:graphicData>
            </a:graphic>
          </wp:inline>
        </w:drawing>
      </w:r>
    </w:p>
    <w:p w14:paraId="578BC7CD" w14:textId="77777777" w:rsidR="002060E2" w:rsidRDefault="002060E2" w:rsidP="002060E2">
      <w:pPr>
        <w:rPr>
          <w:b/>
          <w:sz w:val="24"/>
        </w:rPr>
      </w:pPr>
    </w:p>
    <w:p w14:paraId="287CECF9" w14:textId="77777777" w:rsidR="002060E2" w:rsidRDefault="002060E2" w:rsidP="002060E2">
      <w:pPr>
        <w:rPr>
          <w:b/>
          <w:sz w:val="24"/>
        </w:rPr>
      </w:pPr>
    </w:p>
    <w:p w14:paraId="5B9BDCB4" w14:textId="77777777" w:rsidR="002060E2" w:rsidRDefault="002060E2" w:rsidP="002060E2">
      <w:pPr>
        <w:rPr>
          <w:b/>
          <w:sz w:val="24"/>
        </w:rPr>
      </w:pPr>
    </w:p>
    <w:p w14:paraId="056ED3D7" w14:textId="77777777" w:rsidR="002060E2" w:rsidRDefault="002060E2" w:rsidP="002060E2">
      <w:pPr>
        <w:rPr>
          <w:b/>
          <w:sz w:val="24"/>
        </w:rPr>
      </w:pPr>
    </w:p>
    <w:p w14:paraId="07C1888B" w14:textId="5E965A9B" w:rsidR="002060E2" w:rsidRPr="000F4EA8" w:rsidRDefault="002060E2" w:rsidP="002060E2">
      <w:pPr>
        <w:rPr>
          <w:b/>
          <w:sz w:val="24"/>
        </w:rPr>
      </w:pPr>
      <w:r w:rsidRPr="000F4EA8">
        <w:rPr>
          <w:b/>
          <w:sz w:val="24"/>
        </w:rPr>
        <w:t>Sensitivity test: Learning Effect</w:t>
      </w:r>
    </w:p>
    <w:p w14:paraId="26A00122" w14:textId="19B460AB" w:rsidR="002060E2" w:rsidRDefault="002060E2" w:rsidP="002060E2">
      <w:pPr>
        <w:rPr>
          <w:sz w:val="24"/>
        </w:rPr>
      </w:pPr>
      <w:r>
        <w:rPr>
          <w:sz w:val="24"/>
        </w:rPr>
        <w:t xml:space="preserve">The impact on the cost benefit estimates from applying a 0% learning rate (the rate at which costs reduce) compared with a varied learning rate is shown by </w:t>
      </w:r>
      <w:r w:rsidR="00C22857">
        <w:rPr>
          <w:b/>
          <w:sz w:val="24"/>
        </w:rPr>
        <w:t>Table D13 and D </w:t>
      </w:r>
      <w:r>
        <w:rPr>
          <w:b/>
          <w:sz w:val="24"/>
        </w:rPr>
        <w:t xml:space="preserve">14 </w:t>
      </w:r>
      <w:r>
        <w:rPr>
          <w:sz w:val="24"/>
        </w:rPr>
        <w:t xml:space="preserve">below. </w:t>
      </w:r>
    </w:p>
    <w:p w14:paraId="63583783" w14:textId="77777777" w:rsidR="002060E2" w:rsidRPr="00CA455C" w:rsidRDefault="002060E2" w:rsidP="002060E2">
      <w:pPr>
        <w:rPr>
          <w:sz w:val="24"/>
        </w:rPr>
      </w:pPr>
    </w:p>
    <w:p w14:paraId="0341A54A" w14:textId="77777777" w:rsidR="00510214" w:rsidRDefault="002060E2" w:rsidP="002060E2">
      <w:pPr>
        <w:rPr>
          <w:b/>
          <w:sz w:val="18"/>
          <w:szCs w:val="20"/>
        </w:rPr>
      </w:pPr>
      <w:r w:rsidRPr="00CA455C">
        <w:rPr>
          <w:b/>
          <w:sz w:val="18"/>
          <w:szCs w:val="20"/>
        </w:rPr>
        <w:t xml:space="preserve">Table D13  </w:t>
      </w:r>
      <w:r>
        <w:rPr>
          <w:b/>
          <w:noProof/>
          <w:sz w:val="20"/>
          <w:szCs w:val="20"/>
          <w:lang w:eastAsia="en-AU"/>
        </w:rPr>
        <w:drawing>
          <wp:inline distT="0" distB="0" distL="0" distR="0" wp14:anchorId="76092C94" wp14:editId="59001117">
            <wp:extent cx="6120765" cy="227216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2272169"/>
                    </a:xfrm>
                    <a:prstGeom prst="rect">
                      <a:avLst/>
                    </a:prstGeom>
                    <a:noFill/>
                    <a:ln>
                      <a:noFill/>
                    </a:ln>
                  </pic:spPr>
                </pic:pic>
              </a:graphicData>
            </a:graphic>
          </wp:inline>
        </w:drawing>
      </w:r>
    </w:p>
    <w:p w14:paraId="4A568557" w14:textId="086ECACC" w:rsidR="002060E2" w:rsidRDefault="002060E2" w:rsidP="002060E2">
      <w:pPr>
        <w:rPr>
          <w:b/>
          <w:sz w:val="24"/>
        </w:rPr>
      </w:pPr>
      <w:r w:rsidRPr="00C4215A">
        <w:rPr>
          <w:b/>
          <w:sz w:val="18"/>
          <w:szCs w:val="22"/>
        </w:rPr>
        <w:lastRenderedPageBreak/>
        <w:t xml:space="preserve">Table D 14  </w:t>
      </w:r>
      <w:r>
        <w:rPr>
          <w:b/>
          <w:noProof/>
          <w:sz w:val="22"/>
          <w:szCs w:val="22"/>
          <w:lang w:eastAsia="en-AU"/>
        </w:rPr>
        <w:drawing>
          <wp:inline distT="0" distB="0" distL="0" distR="0" wp14:anchorId="729C8BC6" wp14:editId="7AAB24C3">
            <wp:extent cx="6120765" cy="6834120"/>
            <wp:effectExtent l="0" t="0" r="0" b="508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6834120"/>
                    </a:xfrm>
                    <a:prstGeom prst="rect">
                      <a:avLst/>
                    </a:prstGeom>
                    <a:noFill/>
                    <a:ln>
                      <a:noFill/>
                    </a:ln>
                  </pic:spPr>
                </pic:pic>
              </a:graphicData>
            </a:graphic>
          </wp:inline>
        </w:drawing>
      </w:r>
    </w:p>
    <w:p w14:paraId="744631E5" w14:textId="77777777" w:rsidR="002060E2" w:rsidRDefault="002060E2" w:rsidP="002060E2">
      <w:pPr>
        <w:rPr>
          <w:b/>
          <w:color w:val="FF0000"/>
          <w:sz w:val="24"/>
        </w:rPr>
      </w:pPr>
    </w:p>
    <w:p w14:paraId="43F50F7C" w14:textId="77777777" w:rsidR="002060E2" w:rsidRDefault="002060E2" w:rsidP="002060E2">
      <w:pPr>
        <w:rPr>
          <w:b/>
          <w:color w:val="FF0000"/>
          <w:sz w:val="24"/>
        </w:rPr>
      </w:pPr>
    </w:p>
    <w:p w14:paraId="2B5FD41A" w14:textId="77777777" w:rsidR="002060E2" w:rsidRDefault="002060E2" w:rsidP="002060E2">
      <w:pPr>
        <w:rPr>
          <w:b/>
          <w:color w:val="FF0000"/>
          <w:sz w:val="24"/>
        </w:rPr>
      </w:pPr>
    </w:p>
    <w:p w14:paraId="1658AAEF" w14:textId="77777777" w:rsidR="002060E2" w:rsidRDefault="002060E2" w:rsidP="002060E2">
      <w:pPr>
        <w:rPr>
          <w:b/>
          <w:color w:val="FF0000"/>
          <w:sz w:val="24"/>
        </w:rPr>
      </w:pPr>
    </w:p>
    <w:p w14:paraId="62A26338" w14:textId="77777777" w:rsidR="002060E2" w:rsidRDefault="002060E2" w:rsidP="002060E2">
      <w:pPr>
        <w:rPr>
          <w:b/>
          <w:color w:val="FF0000"/>
          <w:sz w:val="24"/>
        </w:rPr>
      </w:pPr>
    </w:p>
    <w:p w14:paraId="0AC557BA" w14:textId="77777777" w:rsidR="002060E2" w:rsidRDefault="002060E2" w:rsidP="002060E2">
      <w:pPr>
        <w:rPr>
          <w:b/>
          <w:color w:val="FF0000"/>
          <w:sz w:val="24"/>
        </w:rPr>
      </w:pPr>
    </w:p>
    <w:p w14:paraId="4FC34220" w14:textId="77777777" w:rsidR="002060E2" w:rsidRDefault="002060E2" w:rsidP="002060E2">
      <w:pPr>
        <w:rPr>
          <w:b/>
          <w:color w:val="FF0000"/>
          <w:sz w:val="24"/>
        </w:rPr>
      </w:pPr>
    </w:p>
    <w:p w14:paraId="10CCB160" w14:textId="77777777" w:rsidR="002060E2" w:rsidRPr="000F4EA8" w:rsidRDefault="002060E2" w:rsidP="002060E2">
      <w:pPr>
        <w:rPr>
          <w:b/>
          <w:sz w:val="24"/>
        </w:rPr>
      </w:pPr>
      <w:r w:rsidRPr="000F4EA8">
        <w:rPr>
          <w:b/>
          <w:sz w:val="24"/>
        </w:rPr>
        <w:lastRenderedPageBreak/>
        <w:t>Other inputs</w:t>
      </w:r>
    </w:p>
    <w:p w14:paraId="17BD6AFF" w14:textId="77777777" w:rsidR="002060E2" w:rsidRDefault="002060E2" w:rsidP="002060E2">
      <w:pPr>
        <w:rPr>
          <w:sz w:val="24"/>
        </w:rPr>
      </w:pPr>
      <w:r>
        <w:rPr>
          <w:sz w:val="24"/>
        </w:rPr>
        <w:t xml:space="preserve">Australia requested that as part of the modelling savings be provided through to 2030, see </w:t>
      </w:r>
      <w:r>
        <w:rPr>
          <w:b/>
          <w:sz w:val="24"/>
        </w:rPr>
        <w:t xml:space="preserve">table D 15 </w:t>
      </w:r>
      <w:r>
        <w:rPr>
          <w:sz w:val="24"/>
        </w:rPr>
        <w:t>below.</w:t>
      </w:r>
    </w:p>
    <w:p w14:paraId="57F59428" w14:textId="77777777" w:rsidR="00510214" w:rsidRPr="00BC3650" w:rsidRDefault="00510214" w:rsidP="002060E2">
      <w:pPr>
        <w:rPr>
          <w:sz w:val="24"/>
        </w:rPr>
      </w:pPr>
    </w:p>
    <w:p w14:paraId="58BE782D" w14:textId="091DD15D" w:rsidR="002060E2" w:rsidRPr="00C4215A" w:rsidRDefault="00510214" w:rsidP="002060E2">
      <w:pPr>
        <w:rPr>
          <w:b/>
          <w:sz w:val="18"/>
        </w:rPr>
      </w:pPr>
      <w:r>
        <w:rPr>
          <w:b/>
          <w:sz w:val="18"/>
        </w:rPr>
        <w:t>Table D 15</w:t>
      </w:r>
    </w:p>
    <w:p w14:paraId="2E14710B" w14:textId="77777777" w:rsidR="002060E2" w:rsidRDefault="000E3C98" w:rsidP="002060E2">
      <w:pPr>
        <w:tabs>
          <w:tab w:val="left" w:pos="1440"/>
        </w:tabs>
      </w:pPr>
      <w:r>
        <w:rPr>
          <w:b/>
          <w:noProof/>
          <w:color w:val="FF0000"/>
          <w:sz w:val="24"/>
          <w:lang w:eastAsia="en-AU"/>
        </w:rPr>
        <w:drawing>
          <wp:inline distT="0" distB="0" distL="0" distR="0" wp14:anchorId="768A5E4D" wp14:editId="3550AB61">
            <wp:extent cx="4543425" cy="31337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43425" cy="3133725"/>
                    </a:xfrm>
                    <a:prstGeom prst="rect">
                      <a:avLst/>
                    </a:prstGeom>
                    <a:noFill/>
                    <a:ln>
                      <a:noFill/>
                    </a:ln>
                  </pic:spPr>
                </pic:pic>
              </a:graphicData>
            </a:graphic>
          </wp:inline>
        </w:drawing>
      </w:r>
    </w:p>
    <w:p w14:paraId="614170CF" w14:textId="77777777" w:rsidR="000E3C98" w:rsidRDefault="000E3C98" w:rsidP="002060E2">
      <w:pPr>
        <w:tabs>
          <w:tab w:val="left" w:pos="1440"/>
        </w:tabs>
      </w:pPr>
    </w:p>
    <w:p w14:paraId="2691AFC9" w14:textId="77777777" w:rsidR="000E3C98" w:rsidRDefault="000E3C98" w:rsidP="002060E2">
      <w:pPr>
        <w:tabs>
          <w:tab w:val="left" w:pos="1440"/>
        </w:tabs>
      </w:pPr>
    </w:p>
    <w:p w14:paraId="3E116BCA" w14:textId="77777777" w:rsidR="000E3C98" w:rsidRDefault="000E3C98" w:rsidP="002060E2">
      <w:pPr>
        <w:tabs>
          <w:tab w:val="left" w:pos="1440"/>
        </w:tabs>
      </w:pPr>
    </w:p>
    <w:p w14:paraId="3D60FFF2" w14:textId="77777777" w:rsidR="000E3C98" w:rsidRDefault="000E3C98" w:rsidP="002060E2">
      <w:pPr>
        <w:tabs>
          <w:tab w:val="left" w:pos="1440"/>
        </w:tabs>
      </w:pPr>
    </w:p>
    <w:p w14:paraId="4D47BF67" w14:textId="77777777" w:rsidR="000E3C98" w:rsidRDefault="000E3C98" w:rsidP="002060E2">
      <w:pPr>
        <w:tabs>
          <w:tab w:val="left" w:pos="1440"/>
        </w:tabs>
      </w:pPr>
    </w:p>
    <w:p w14:paraId="5486C01D" w14:textId="77777777" w:rsidR="000E3C98" w:rsidRDefault="000E3C98" w:rsidP="002060E2">
      <w:pPr>
        <w:tabs>
          <w:tab w:val="left" w:pos="1440"/>
        </w:tabs>
      </w:pPr>
    </w:p>
    <w:p w14:paraId="5084EF60" w14:textId="77777777" w:rsidR="000E3C98" w:rsidRDefault="000E3C98" w:rsidP="002060E2">
      <w:pPr>
        <w:tabs>
          <w:tab w:val="left" w:pos="1440"/>
        </w:tabs>
      </w:pPr>
    </w:p>
    <w:p w14:paraId="16E023B9" w14:textId="77777777" w:rsidR="000E3C98" w:rsidRDefault="000E3C98" w:rsidP="002060E2">
      <w:pPr>
        <w:tabs>
          <w:tab w:val="left" w:pos="1440"/>
        </w:tabs>
      </w:pPr>
    </w:p>
    <w:p w14:paraId="2FC72EA0" w14:textId="77777777" w:rsidR="000E3C98" w:rsidRDefault="000E3C98" w:rsidP="002060E2">
      <w:pPr>
        <w:tabs>
          <w:tab w:val="left" w:pos="1440"/>
        </w:tabs>
      </w:pPr>
    </w:p>
    <w:p w14:paraId="07546F5E" w14:textId="77777777" w:rsidR="000E3C98" w:rsidRDefault="000E3C98" w:rsidP="002060E2">
      <w:pPr>
        <w:tabs>
          <w:tab w:val="left" w:pos="1440"/>
        </w:tabs>
      </w:pPr>
    </w:p>
    <w:p w14:paraId="4D412850" w14:textId="77777777" w:rsidR="000E3C98" w:rsidRDefault="000E3C98" w:rsidP="002060E2">
      <w:pPr>
        <w:tabs>
          <w:tab w:val="left" w:pos="1440"/>
        </w:tabs>
      </w:pPr>
    </w:p>
    <w:p w14:paraId="57B4639F" w14:textId="77777777" w:rsidR="000E3C98" w:rsidRDefault="000E3C98" w:rsidP="002060E2">
      <w:pPr>
        <w:tabs>
          <w:tab w:val="left" w:pos="1440"/>
        </w:tabs>
      </w:pPr>
    </w:p>
    <w:p w14:paraId="3E5EAD71" w14:textId="77777777" w:rsidR="000E3C98" w:rsidRDefault="000E3C98" w:rsidP="002060E2">
      <w:pPr>
        <w:tabs>
          <w:tab w:val="left" w:pos="1440"/>
        </w:tabs>
      </w:pPr>
    </w:p>
    <w:p w14:paraId="5130AA5B" w14:textId="77777777" w:rsidR="000E3C98" w:rsidRDefault="000E3C98" w:rsidP="002060E2">
      <w:pPr>
        <w:tabs>
          <w:tab w:val="left" w:pos="1440"/>
        </w:tabs>
      </w:pPr>
    </w:p>
    <w:p w14:paraId="53044AE3" w14:textId="77777777" w:rsidR="000E3C98" w:rsidRDefault="000E3C98" w:rsidP="002060E2">
      <w:pPr>
        <w:tabs>
          <w:tab w:val="left" w:pos="1440"/>
        </w:tabs>
      </w:pPr>
    </w:p>
    <w:p w14:paraId="66B9BA88" w14:textId="77777777" w:rsidR="000E3C98" w:rsidRDefault="000E3C98" w:rsidP="002060E2">
      <w:pPr>
        <w:tabs>
          <w:tab w:val="left" w:pos="1440"/>
        </w:tabs>
      </w:pPr>
    </w:p>
    <w:p w14:paraId="7E35EBF6" w14:textId="77777777" w:rsidR="000E3C98" w:rsidRDefault="000E3C98" w:rsidP="002060E2">
      <w:pPr>
        <w:tabs>
          <w:tab w:val="left" w:pos="1440"/>
        </w:tabs>
      </w:pPr>
    </w:p>
    <w:p w14:paraId="2060CD83" w14:textId="77777777" w:rsidR="000E3C98" w:rsidRDefault="000E3C98" w:rsidP="002060E2">
      <w:pPr>
        <w:tabs>
          <w:tab w:val="left" w:pos="1440"/>
        </w:tabs>
      </w:pPr>
    </w:p>
    <w:p w14:paraId="3CB8E90A" w14:textId="77777777" w:rsidR="000E3C98" w:rsidRDefault="000E3C98" w:rsidP="002060E2">
      <w:pPr>
        <w:tabs>
          <w:tab w:val="left" w:pos="1440"/>
        </w:tabs>
      </w:pPr>
    </w:p>
    <w:p w14:paraId="1CD1054B" w14:textId="77777777" w:rsidR="000E3C98" w:rsidRDefault="000E3C98" w:rsidP="002060E2">
      <w:pPr>
        <w:tabs>
          <w:tab w:val="left" w:pos="1440"/>
        </w:tabs>
      </w:pPr>
    </w:p>
    <w:p w14:paraId="19C4CDDD" w14:textId="77777777" w:rsidR="002060E2" w:rsidRDefault="002060E2" w:rsidP="002060E2">
      <w:pPr>
        <w:tabs>
          <w:tab w:val="left" w:pos="1440"/>
        </w:tabs>
      </w:pPr>
    </w:p>
    <w:p w14:paraId="2E1A52EE" w14:textId="1001D606" w:rsidR="00F879AF" w:rsidRDefault="00F879AF" w:rsidP="00F879AF">
      <w:pPr>
        <w:pStyle w:val="E3ChapterTitle"/>
      </w:pPr>
      <w:bookmarkStart w:id="491" w:name="_Toc500151848"/>
      <w:r>
        <w:rPr>
          <w:noProof/>
          <w:lang w:eastAsia="en-AU"/>
        </w:rPr>
        <w:drawing>
          <wp:anchor distT="0" distB="0" distL="114300" distR="114300" simplePos="0" relativeHeight="251658253" behindDoc="1" locked="1" layoutInCell="1" allowOverlap="1" wp14:anchorId="3D03BE23" wp14:editId="53A20ED1">
            <wp:simplePos x="0" y="0"/>
            <wp:positionH relativeFrom="margin">
              <wp:align>left</wp:align>
            </wp:positionH>
            <wp:positionV relativeFrom="margin">
              <wp:posOffset>-264795</wp:posOffset>
            </wp:positionV>
            <wp:extent cx="6124575" cy="1800225"/>
            <wp:effectExtent l="0" t="0" r="9525" b="9525"/>
            <wp:wrapNone/>
            <wp:docPr id="239"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25"/>
                    <a:stretch>
                      <a:fillRect/>
                    </a:stretch>
                  </pic:blipFill>
                  <pic:spPr>
                    <a:xfrm>
                      <a:off x="0" y="0"/>
                      <a:ext cx="6124575" cy="1800225"/>
                    </a:xfrm>
                    <a:prstGeom prst="rect">
                      <a:avLst/>
                    </a:prstGeom>
                  </pic:spPr>
                </pic:pic>
              </a:graphicData>
            </a:graphic>
          </wp:anchor>
        </w:drawing>
      </w:r>
      <w:r w:rsidR="004C7417">
        <w:t>Attachment D</w:t>
      </w:r>
      <w:r>
        <w:t>- Manufacturers and importers</w:t>
      </w:r>
      <w:bookmarkEnd w:id="491"/>
    </w:p>
    <w:p w14:paraId="42EC3E6A" w14:textId="77777777" w:rsidR="00F879AF" w:rsidRPr="00F879AF" w:rsidRDefault="00F879AF" w:rsidP="00F879AF">
      <w:pPr>
        <w:pStyle w:val="E3Heading4"/>
      </w:pPr>
      <w:bookmarkStart w:id="492" w:name="_Toc447533637"/>
      <w:r w:rsidRPr="00F879AF">
        <w:t>Businesses in Australia that manufacture and may import refrigerated equipment</w:t>
      </w:r>
      <w:bookmarkEnd w:id="492"/>
      <w:r w:rsidRPr="00F879AF">
        <w:t xml:space="preserve"> for supply.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4677"/>
      </w:tblGrid>
      <w:tr w:rsidR="00F879AF" w:rsidRPr="00F879AF" w14:paraId="2C3B8032" w14:textId="77777777" w:rsidTr="0028109D">
        <w:tc>
          <w:tcPr>
            <w:tcW w:w="3715" w:type="dxa"/>
            <w:shd w:val="clear" w:color="auto" w:fill="0C0C0C"/>
            <w:vAlign w:val="center"/>
          </w:tcPr>
          <w:p w14:paraId="7C234D0F"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Manufacturer/Supplier</w:t>
            </w:r>
          </w:p>
        </w:tc>
        <w:tc>
          <w:tcPr>
            <w:tcW w:w="4677" w:type="dxa"/>
            <w:shd w:val="clear" w:color="auto" w:fill="0C0C0C"/>
            <w:vAlign w:val="center"/>
          </w:tcPr>
          <w:p w14:paraId="71502F82"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Brands include</w:t>
            </w:r>
          </w:p>
        </w:tc>
      </w:tr>
      <w:tr w:rsidR="00F879AF" w:rsidRPr="00F879AF" w14:paraId="42E9D71E" w14:textId="77777777" w:rsidTr="0028109D">
        <w:tc>
          <w:tcPr>
            <w:tcW w:w="3715" w:type="dxa"/>
            <w:vAlign w:val="center"/>
          </w:tcPr>
          <w:p w14:paraId="01B1BC49"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Advanced Refrigeration Technology</w:t>
            </w:r>
          </w:p>
        </w:tc>
        <w:tc>
          <w:tcPr>
            <w:tcW w:w="4677" w:type="dxa"/>
            <w:vAlign w:val="center"/>
          </w:tcPr>
          <w:p w14:paraId="1A90DFE3"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JCM Industries, Maslen</w:t>
            </w:r>
          </w:p>
        </w:tc>
      </w:tr>
      <w:tr w:rsidR="00F879AF" w:rsidRPr="00F879AF" w14:paraId="35F3F2FB" w14:textId="77777777" w:rsidTr="0028109D">
        <w:tc>
          <w:tcPr>
            <w:tcW w:w="3715" w:type="dxa"/>
          </w:tcPr>
          <w:p w14:paraId="1FEE679A"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 xml:space="preserve">Arcus </w:t>
            </w:r>
          </w:p>
        </w:tc>
        <w:tc>
          <w:tcPr>
            <w:tcW w:w="4677" w:type="dxa"/>
          </w:tcPr>
          <w:p w14:paraId="18094049"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Arcus</w:t>
            </w:r>
          </w:p>
        </w:tc>
      </w:tr>
      <w:tr w:rsidR="00F879AF" w:rsidRPr="00F879AF" w14:paraId="60DB9022" w14:textId="77777777" w:rsidTr="0028109D">
        <w:tc>
          <w:tcPr>
            <w:tcW w:w="3715" w:type="dxa"/>
          </w:tcPr>
          <w:p w14:paraId="6ABD6571"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Channon Refrigeration</w:t>
            </w:r>
          </w:p>
        </w:tc>
        <w:tc>
          <w:tcPr>
            <w:tcW w:w="4677" w:type="dxa"/>
          </w:tcPr>
          <w:p w14:paraId="7EE98D38"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Channon</w:t>
            </w:r>
          </w:p>
        </w:tc>
      </w:tr>
      <w:tr w:rsidR="00F879AF" w:rsidRPr="00F879AF" w14:paraId="69949B0A" w14:textId="77777777" w:rsidTr="0028109D">
        <w:tc>
          <w:tcPr>
            <w:tcW w:w="3715" w:type="dxa"/>
          </w:tcPr>
          <w:p w14:paraId="62354CAE"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Lazco</w:t>
            </w:r>
          </w:p>
        </w:tc>
        <w:tc>
          <w:tcPr>
            <w:tcW w:w="4677" w:type="dxa"/>
          </w:tcPr>
          <w:p w14:paraId="31CB915E" w14:textId="77777777" w:rsidR="00F879AF" w:rsidRPr="00F879AF" w:rsidRDefault="00F879AF" w:rsidP="00F879AF">
            <w:pPr>
              <w:spacing w:before="60" w:after="60" w:line="240" w:lineRule="auto"/>
              <w:rPr>
                <w:rFonts w:ascii="Helvetica" w:eastAsia="Times New Roman" w:hAnsi="Helvetica" w:cs="Helvetica"/>
                <w:b/>
                <w:sz w:val="15"/>
                <w:szCs w:val="14"/>
              </w:rPr>
            </w:pPr>
          </w:p>
        </w:tc>
      </w:tr>
      <w:tr w:rsidR="00F879AF" w:rsidRPr="00F879AF" w14:paraId="6B80CF44" w14:textId="77777777" w:rsidTr="0028109D">
        <w:tc>
          <w:tcPr>
            <w:tcW w:w="3715" w:type="dxa"/>
          </w:tcPr>
          <w:p w14:paraId="050CAAF3"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McAlpine Hussmann (Panasonic Corp)</w:t>
            </w:r>
          </w:p>
        </w:tc>
        <w:tc>
          <w:tcPr>
            <w:tcW w:w="4677" w:type="dxa"/>
          </w:tcPr>
          <w:p w14:paraId="5206D75C"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Hussmann, Austral, Hussmann ICE, Hussmann Impact, Hussmann Specialty, McAlpine Hussmann</w:t>
            </w:r>
          </w:p>
        </w:tc>
      </w:tr>
      <w:tr w:rsidR="00F879AF" w:rsidRPr="00F879AF" w14:paraId="663C48CE" w14:textId="77777777" w:rsidTr="0028109D">
        <w:tc>
          <w:tcPr>
            <w:tcW w:w="3715" w:type="dxa"/>
          </w:tcPr>
          <w:p w14:paraId="479C64A8"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Practical Products</w:t>
            </w:r>
          </w:p>
        </w:tc>
        <w:tc>
          <w:tcPr>
            <w:tcW w:w="4677" w:type="dxa"/>
          </w:tcPr>
          <w:p w14:paraId="55CE4BBC"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Practical Products</w:t>
            </w:r>
          </w:p>
        </w:tc>
      </w:tr>
      <w:tr w:rsidR="00F879AF" w:rsidRPr="00F879AF" w14:paraId="2CD24739" w14:textId="77777777" w:rsidTr="0028109D">
        <w:tc>
          <w:tcPr>
            <w:tcW w:w="3715" w:type="dxa"/>
          </w:tcPr>
          <w:p w14:paraId="31C1FB0D"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Spilsbury &amp; Wenzel</w:t>
            </w:r>
          </w:p>
        </w:tc>
        <w:tc>
          <w:tcPr>
            <w:tcW w:w="4677" w:type="dxa"/>
          </w:tcPr>
          <w:p w14:paraId="79C8F0FE"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Spilsbury &amp; Wenzel</w:t>
            </w:r>
          </w:p>
        </w:tc>
      </w:tr>
      <w:tr w:rsidR="00F879AF" w:rsidRPr="00F879AF" w14:paraId="6C506A1F" w14:textId="77777777" w:rsidTr="0028109D">
        <w:tc>
          <w:tcPr>
            <w:tcW w:w="3715" w:type="dxa"/>
          </w:tcPr>
          <w:p w14:paraId="1A030E6E"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Stoddart</w:t>
            </w:r>
          </w:p>
        </w:tc>
        <w:tc>
          <w:tcPr>
            <w:tcW w:w="4677" w:type="dxa"/>
          </w:tcPr>
          <w:p w14:paraId="024D58B3"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Stoddart, Woodson, Culinaire, Adande, Koldtech</w:t>
            </w:r>
          </w:p>
        </w:tc>
      </w:tr>
      <w:tr w:rsidR="00F879AF" w:rsidRPr="00F879AF" w14:paraId="29479D23" w14:textId="77777777" w:rsidTr="0028109D">
        <w:tc>
          <w:tcPr>
            <w:tcW w:w="3715" w:type="dxa"/>
            <w:vAlign w:val="center"/>
          </w:tcPr>
          <w:p w14:paraId="64040FB6"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color w:val="000000"/>
                <w:sz w:val="15"/>
                <w:szCs w:val="22"/>
              </w:rPr>
              <w:t>Trent Refrigeration</w:t>
            </w:r>
          </w:p>
        </w:tc>
        <w:tc>
          <w:tcPr>
            <w:tcW w:w="4677" w:type="dxa"/>
            <w:vAlign w:val="center"/>
          </w:tcPr>
          <w:p w14:paraId="0ADBB1FB"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color w:val="000000"/>
                <w:sz w:val="15"/>
                <w:szCs w:val="22"/>
              </w:rPr>
              <w:t xml:space="preserve">Trent </w:t>
            </w:r>
          </w:p>
        </w:tc>
      </w:tr>
      <w:tr w:rsidR="00F879AF" w:rsidRPr="00F879AF" w14:paraId="5EF4267B" w14:textId="77777777" w:rsidTr="0028109D">
        <w:tc>
          <w:tcPr>
            <w:tcW w:w="3715" w:type="dxa"/>
          </w:tcPr>
          <w:p w14:paraId="3B640EF9"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Williams Refrigeration</w:t>
            </w:r>
          </w:p>
        </w:tc>
        <w:tc>
          <w:tcPr>
            <w:tcW w:w="4677" w:type="dxa"/>
          </w:tcPr>
          <w:p w14:paraId="089F3656"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Williams</w:t>
            </w:r>
          </w:p>
        </w:tc>
      </w:tr>
    </w:tbl>
    <w:p w14:paraId="651989B9" w14:textId="77777777" w:rsidR="00522A0D" w:rsidRDefault="00522A0D" w:rsidP="00F879AF">
      <w:pPr>
        <w:pStyle w:val="E3Heading4"/>
      </w:pPr>
      <w:bookmarkStart w:id="493" w:name="_Toc447533638"/>
    </w:p>
    <w:p w14:paraId="57752116" w14:textId="4A882C55" w:rsidR="00F879AF" w:rsidRPr="00F879AF" w:rsidRDefault="00F879AF" w:rsidP="00F879AF">
      <w:pPr>
        <w:pStyle w:val="E3Heading4"/>
      </w:pPr>
      <w:r w:rsidRPr="00F879AF">
        <w:t>Businesses in Australia that import refrigerated equipment</w:t>
      </w:r>
      <w:bookmarkEnd w:id="493"/>
      <w:r w:rsidRPr="00F879AF">
        <w:t xml:space="preserve"> for supply</w:t>
      </w:r>
      <w:r w:rsidRPr="00F879AF">
        <w:rPr>
          <w:vertAlign w:val="superscript"/>
        </w:rPr>
        <w:footnoteReference w:customMarkFollows="1" w:id="57"/>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4677"/>
      </w:tblGrid>
      <w:tr w:rsidR="00F879AF" w:rsidRPr="00F879AF" w14:paraId="6D523B1F" w14:textId="77777777" w:rsidTr="00E50722">
        <w:trPr>
          <w:tblHeader/>
        </w:trPr>
        <w:tc>
          <w:tcPr>
            <w:tcW w:w="3715" w:type="dxa"/>
            <w:shd w:val="clear" w:color="auto" w:fill="0C0C0C"/>
            <w:vAlign w:val="center"/>
          </w:tcPr>
          <w:p w14:paraId="1B267CAC"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Importer/supplier</w:t>
            </w:r>
          </w:p>
        </w:tc>
        <w:tc>
          <w:tcPr>
            <w:tcW w:w="4677" w:type="dxa"/>
            <w:shd w:val="clear" w:color="auto" w:fill="0C0C0C"/>
            <w:vAlign w:val="center"/>
          </w:tcPr>
          <w:p w14:paraId="2E8988CF"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Brands include</w:t>
            </w:r>
          </w:p>
        </w:tc>
      </w:tr>
      <w:tr w:rsidR="00F879AF" w:rsidRPr="00F879AF" w14:paraId="39237E6D" w14:textId="77777777" w:rsidTr="0028109D">
        <w:tc>
          <w:tcPr>
            <w:tcW w:w="3715" w:type="dxa"/>
            <w:vAlign w:val="center"/>
          </w:tcPr>
          <w:p w14:paraId="06B310DF"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cs="Helvetica"/>
                <w:b/>
                <w:color w:val="000000"/>
                <w:sz w:val="15"/>
                <w:szCs w:val="22"/>
              </w:rPr>
              <w:t>888 Importing (see Kitchen Equipment Australia)</w:t>
            </w:r>
          </w:p>
        </w:tc>
        <w:tc>
          <w:tcPr>
            <w:tcW w:w="4677" w:type="dxa"/>
          </w:tcPr>
          <w:p w14:paraId="1E9AF130"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b/>
                <w:sz w:val="15"/>
                <w:szCs w:val="14"/>
              </w:rPr>
              <w:t>Mitchel Refrigeration, KEA</w:t>
            </w:r>
          </w:p>
        </w:tc>
      </w:tr>
      <w:tr w:rsidR="00F879AF" w:rsidRPr="00F879AF" w14:paraId="27839709" w14:textId="77777777" w:rsidTr="0028109D">
        <w:tc>
          <w:tcPr>
            <w:tcW w:w="3715" w:type="dxa"/>
            <w:vAlign w:val="center"/>
          </w:tcPr>
          <w:p w14:paraId="21B5FA16"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cs="Helvetica"/>
                <w:b/>
                <w:color w:val="000000"/>
                <w:sz w:val="15"/>
                <w:szCs w:val="22"/>
              </w:rPr>
              <w:t>A J Baker &amp; Sons</w:t>
            </w:r>
          </w:p>
        </w:tc>
        <w:tc>
          <w:tcPr>
            <w:tcW w:w="4677" w:type="dxa"/>
          </w:tcPr>
          <w:p w14:paraId="5D47D357"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b/>
                <w:sz w:val="15"/>
                <w:szCs w:val="14"/>
              </w:rPr>
              <w:t>Vienna, Bonnet Neve, IARP</w:t>
            </w:r>
          </w:p>
        </w:tc>
      </w:tr>
      <w:tr w:rsidR="00F879AF" w:rsidRPr="00F879AF" w14:paraId="7DF2A1F7" w14:textId="77777777" w:rsidTr="0028109D">
        <w:tc>
          <w:tcPr>
            <w:tcW w:w="3715" w:type="dxa"/>
          </w:tcPr>
          <w:p w14:paraId="7E45F35B"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b/>
                <w:sz w:val="15"/>
                <w:szCs w:val="14"/>
              </w:rPr>
              <w:t>Able Products</w:t>
            </w:r>
          </w:p>
        </w:tc>
        <w:tc>
          <w:tcPr>
            <w:tcW w:w="4677" w:type="dxa"/>
          </w:tcPr>
          <w:p w14:paraId="5C95E803"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b/>
                <w:sz w:val="15"/>
                <w:szCs w:val="14"/>
              </w:rPr>
              <w:t>Afinox</w:t>
            </w:r>
          </w:p>
        </w:tc>
      </w:tr>
      <w:tr w:rsidR="00F879AF" w:rsidRPr="00F879AF" w14:paraId="735E0934" w14:textId="77777777" w:rsidTr="0028109D">
        <w:tc>
          <w:tcPr>
            <w:tcW w:w="3715" w:type="dxa"/>
          </w:tcPr>
          <w:p w14:paraId="603C69A1"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b/>
                <w:sz w:val="15"/>
                <w:szCs w:val="14"/>
              </w:rPr>
              <w:t>Adgemis</w:t>
            </w:r>
          </w:p>
          <w:p w14:paraId="08AD2AB8"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b/>
                <w:sz w:val="15"/>
                <w:szCs w:val="14"/>
              </w:rPr>
              <w:t>(Albany Refrigeration Australia)</w:t>
            </w:r>
          </w:p>
        </w:tc>
        <w:tc>
          <w:tcPr>
            <w:tcW w:w="4677" w:type="dxa"/>
          </w:tcPr>
          <w:p w14:paraId="764C9787"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cs="Helvetica"/>
                <w:b/>
                <w:color w:val="000000"/>
                <w:sz w:val="15"/>
                <w:szCs w:val="22"/>
              </w:rPr>
              <w:t>(Distributor and reseller)</w:t>
            </w:r>
          </w:p>
        </w:tc>
      </w:tr>
      <w:tr w:rsidR="00F879AF" w:rsidRPr="00F879AF" w14:paraId="12BCA963" w14:textId="77777777" w:rsidTr="0028109D">
        <w:tc>
          <w:tcPr>
            <w:tcW w:w="3715" w:type="dxa"/>
          </w:tcPr>
          <w:p w14:paraId="79941722"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b/>
                <w:sz w:val="15"/>
                <w:szCs w:val="14"/>
              </w:rPr>
              <w:t>Alpha Catering Equipment</w:t>
            </w:r>
          </w:p>
        </w:tc>
        <w:tc>
          <w:tcPr>
            <w:tcW w:w="4677" w:type="dxa"/>
          </w:tcPr>
          <w:p w14:paraId="41486E4F"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b/>
                <w:sz w:val="15"/>
                <w:szCs w:val="14"/>
              </w:rPr>
              <w:t>Alpha Catering Equipment</w:t>
            </w:r>
          </w:p>
        </w:tc>
      </w:tr>
      <w:tr w:rsidR="00F879AF" w:rsidRPr="00F879AF" w14:paraId="4F0A3400" w14:textId="77777777" w:rsidTr="0028109D">
        <w:tc>
          <w:tcPr>
            <w:tcW w:w="3715" w:type="dxa"/>
          </w:tcPr>
          <w:p w14:paraId="6ABB08E3"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b/>
                <w:sz w:val="15"/>
                <w:szCs w:val="14"/>
              </w:rPr>
              <w:t>Anaconda Wholesale</w:t>
            </w:r>
          </w:p>
        </w:tc>
        <w:tc>
          <w:tcPr>
            <w:tcW w:w="4677" w:type="dxa"/>
          </w:tcPr>
          <w:p w14:paraId="2450E913"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b/>
                <w:sz w:val="15"/>
                <w:szCs w:val="14"/>
              </w:rPr>
              <w:t>Beerkool, Norsk</w:t>
            </w:r>
          </w:p>
        </w:tc>
      </w:tr>
      <w:tr w:rsidR="00F879AF" w:rsidRPr="00F879AF" w14:paraId="0A55F198" w14:textId="77777777" w:rsidTr="0028109D">
        <w:tc>
          <w:tcPr>
            <w:tcW w:w="3715" w:type="dxa"/>
          </w:tcPr>
          <w:p w14:paraId="5579C362"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b/>
                <w:sz w:val="15"/>
                <w:szCs w:val="14"/>
              </w:rPr>
              <w:t>Arneg Oceania</w:t>
            </w:r>
          </w:p>
        </w:tc>
        <w:tc>
          <w:tcPr>
            <w:tcW w:w="4677" w:type="dxa"/>
          </w:tcPr>
          <w:p w14:paraId="3B496935"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b/>
                <w:sz w:val="15"/>
                <w:szCs w:val="14"/>
              </w:rPr>
              <w:t>Arneg</w:t>
            </w:r>
          </w:p>
        </w:tc>
      </w:tr>
      <w:tr w:rsidR="00F879AF" w:rsidRPr="00F879AF" w14:paraId="732BF01F" w14:textId="77777777" w:rsidTr="0028109D">
        <w:tc>
          <w:tcPr>
            <w:tcW w:w="3715" w:type="dxa"/>
          </w:tcPr>
          <w:p w14:paraId="1E2217CE"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b/>
                <w:sz w:val="15"/>
                <w:szCs w:val="14"/>
              </w:rPr>
              <w:t>Artisan Group</w:t>
            </w:r>
          </w:p>
        </w:tc>
        <w:tc>
          <w:tcPr>
            <w:tcW w:w="4677" w:type="dxa"/>
          </w:tcPr>
          <w:p w14:paraId="1CF80D89"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b/>
                <w:sz w:val="15"/>
                <w:szCs w:val="14"/>
              </w:rPr>
              <w:t>Artisan, Coldmart</w:t>
            </w:r>
          </w:p>
        </w:tc>
      </w:tr>
      <w:tr w:rsidR="00F879AF" w:rsidRPr="00F879AF" w14:paraId="7B64DD9F" w14:textId="77777777" w:rsidTr="0028109D">
        <w:tc>
          <w:tcPr>
            <w:tcW w:w="3715" w:type="dxa"/>
          </w:tcPr>
          <w:p w14:paraId="77A7CDAB"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b/>
                <w:sz w:val="15"/>
                <w:szCs w:val="14"/>
              </w:rPr>
              <w:t>Austwide</w:t>
            </w:r>
          </w:p>
        </w:tc>
        <w:tc>
          <w:tcPr>
            <w:tcW w:w="4677" w:type="dxa"/>
          </w:tcPr>
          <w:p w14:paraId="7B8A156C"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b/>
                <w:sz w:val="15"/>
                <w:szCs w:val="14"/>
              </w:rPr>
              <w:t>Tropicale , ASR and Shamrock</w:t>
            </w:r>
          </w:p>
        </w:tc>
      </w:tr>
      <w:tr w:rsidR="00F879AF" w:rsidRPr="00F879AF" w14:paraId="410D3B3C" w14:textId="77777777" w:rsidTr="0028109D">
        <w:tc>
          <w:tcPr>
            <w:tcW w:w="3715" w:type="dxa"/>
          </w:tcPr>
          <w:p w14:paraId="679713AC"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b/>
                <w:sz w:val="15"/>
                <w:szCs w:val="14"/>
              </w:rPr>
              <w:t>Avem</w:t>
            </w:r>
          </w:p>
        </w:tc>
        <w:tc>
          <w:tcPr>
            <w:tcW w:w="4677" w:type="dxa"/>
          </w:tcPr>
          <w:p w14:paraId="29DA9184"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b/>
                <w:sz w:val="15"/>
                <w:szCs w:val="14"/>
              </w:rPr>
              <w:t>Fri-Jado</w:t>
            </w:r>
          </w:p>
        </w:tc>
      </w:tr>
      <w:tr w:rsidR="00F879AF" w:rsidRPr="00F879AF" w14:paraId="198198A5" w14:textId="77777777" w:rsidTr="0028109D">
        <w:tc>
          <w:tcPr>
            <w:tcW w:w="3715" w:type="dxa"/>
          </w:tcPr>
          <w:p w14:paraId="33A6552C"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b/>
                <w:sz w:val="15"/>
                <w:szCs w:val="14"/>
              </w:rPr>
              <w:t>Bevwizz Group</w:t>
            </w:r>
          </w:p>
        </w:tc>
        <w:tc>
          <w:tcPr>
            <w:tcW w:w="4677" w:type="dxa"/>
          </w:tcPr>
          <w:p w14:paraId="0F1E53CD"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b/>
                <w:sz w:val="15"/>
                <w:szCs w:val="14"/>
              </w:rPr>
              <w:t>Bevwizz</w:t>
            </w:r>
          </w:p>
        </w:tc>
      </w:tr>
      <w:tr w:rsidR="00F879AF" w:rsidRPr="00F879AF" w14:paraId="0D73C1C3" w14:textId="77777777" w:rsidTr="0028109D">
        <w:tc>
          <w:tcPr>
            <w:tcW w:w="3715" w:type="dxa"/>
            <w:vAlign w:val="center"/>
          </w:tcPr>
          <w:p w14:paraId="1BC9BC1F"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cs="Helvetica"/>
                <w:b/>
                <w:color w:val="000000"/>
                <w:sz w:val="15"/>
                <w:szCs w:val="22"/>
              </w:rPr>
              <w:t>Bromic</w:t>
            </w:r>
          </w:p>
        </w:tc>
        <w:tc>
          <w:tcPr>
            <w:tcW w:w="4677" w:type="dxa"/>
            <w:vAlign w:val="center"/>
          </w:tcPr>
          <w:p w14:paraId="2542C45C"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cs="Helvetica"/>
                <w:b/>
                <w:color w:val="000000"/>
                <w:sz w:val="15"/>
                <w:szCs w:val="22"/>
              </w:rPr>
              <w:t>Bromic, Jordao, Ugur</w:t>
            </w:r>
          </w:p>
        </w:tc>
      </w:tr>
      <w:tr w:rsidR="00F879AF" w:rsidRPr="00F879AF" w14:paraId="7747DDB6" w14:textId="77777777" w:rsidTr="0028109D">
        <w:tc>
          <w:tcPr>
            <w:tcW w:w="3715" w:type="dxa"/>
            <w:vAlign w:val="center"/>
          </w:tcPr>
          <w:p w14:paraId="2CDCFC21"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cs="Helvetica"/>
                <w:b/>
                <w:color w:val="000000"/>
                <w:sz w:val="15"/>
                <w:szCs w:val="22"/>
              </w:rPr>
              <w:t>Bryry Pty Ltd</w:t>
            </w:r>
          </w:p>
        </w:tc>
        <w:tc>
          <w:tcPr>
            <w:tcW w:w="4677" w:type="dxa"/>
            <w:vAlign w:val="center"/>
          </w:tcPr>
          <w:p w14:paraId="34C150DC"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cs="Helvetica"/>
                <w:b/>
                <w:color w:val="000000"/>
                <w:sz w:val="15"/>
                <w:szCs w:val="22"/>
              </w:rPr>
              <w:t xml:space="preserve">Turbo Line </w:t>
            </w:r>
          </w:p>
        </w:tc>
      </w:tr>
      <w:tr w:rsidR="00F879AF" w:rsidRPr="00F879AF" w14:paraId="58951175" w14:textId="77777777" w:rsidTr="0028109D">
        <w:tc>
          <w:tcPr>
            <w:tcW w:w="3715" w:type="dxa"/>
            <w:vAlign w:val="center"/>
          </w:tcPr>
          <w:p w14:paraId="1B118E7F"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cs="Helvetica"/>
                <w:b/>
                <w:color w:val="000000"/>
                <w:sz w:val="15"/>
                <w:szCs w:val="22"/>
              </w:rPr>
              <w:lastRenderedPageBreak/>
              <w:t>Carrier Australia (United technologies)</w:t>
            </w:r>
          </w:p>
        </w:tc>
        <w:tc>
          <w:tcPr>
            <w:tcW w:w="4677" w:type="dxa"/>
            <w:vAlign w:val="center"/>
          </w:tcPr>
          <w:p w14:paraId="0B946FE3" w14:textId="77777777" w:rsidR="00F879AF" w:rsidRPr="00F879AF" w:rsidRDefault="00F879AF" w:rsidP="00F879AF">
            <w:pPr>
              <w:spacing w:before="60" w:after="60" w:line="240" w:lineRule="auto"/>
              <w:rPr>
                <w:rFonts w:ascii="Helvetica" w:eastAsia="Times New Roman" w:hAnsi="Helvetica"/>
                <w:b/>
                <w:sz w:val="15"/>
                <w:szCs w:val="14"/>
              </w:rPr>
            </w:pPr>
            <w:r w:rsidRPr="00F879AF">
              <w:rPr>
                <w:rFonts w:ascii="Helvetica" w:eastAsia="Times New Roman" w:hAnsi="Helvetica" w:cs="Helvetica"/>
                <w:b/>
                <w:color w:val="000000"/>
                <w:sz w:val="15"/>
                <w:szCs w:val="22"/>
              </w:rPr>
              <w:t xml:space="preserve">Carrier </w:t>
            </w:r>
          </w:p>
        </w:tc>
      </w:tr>
      <w:tr w:rsidR="00F879AF" w:rsidRPr="00F879AF" w14:paraId="7134FBF2" w14:textId="77777777" w:rsidTr="0028109D">
        <w:tc>
          <w:tcPr>
            <w:tcW w:w="3715" w:type="dxa"/>
            <w:vAlign w:val="center"/>
          </w:tcPr>
          <w:p w14:paraId="69CBA5F8"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Coca-Cola Amatil</w:t>
            </w:r>
          </w:p>
        </w:tc>
        <w:tc>
          <w:tcPr>
            <w:tcW w:w="4677" w:type="dxa"/>
            <w:vAlign w:val="center"/>
          </w:tcPr>
          <w:p w14:paraId="44AB0D96"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 xml:space="preserve">Coca-Cola Amatil </w:t>
            </w:r>
          </w:p>
        </w:tc>
      </w:tr>
      <w:tr w:rsidR="00F879AF" w:rsidRPr="00F879AF" w14:paraId="7A8CF6F5" w14:textId="77777777" w:rsidTr="0028109D">
        <w:tc>
          <w:tcPr>
            <w:tcW w:w="3715" w:type="dxa"/>
            <w:vAlign w:val="center"/>
          </w:tcPr>
          <w:p w14:paraId="18B2658F"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Central West Refrigeration</w:t>
            </w:r>
          </w:p>
        </w:tc>
        <w:tc>
          <w:tcPr>
            <w:tcW w:w="4677" w:type="dxa"/>
            <w:vAlign w:val="center"/>
          </w:tcPr>
          <w:p w14:paraId="0EEECF22"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w:t>
            </w:r>
          </w:p>
        </w:tc>
      </w:tr>
      <w:tr w:rsidR="00F879AF" w:rsidRPr="00F879AF" w14:paraId="0075D053" w14:textId="77777777" w:rsidTr="0028109D">
        <w:tc>
          <w:tcPr>
            <w:tcW w:w="3715" w:type="dxa"/>
            <w:vAlign w:val="center"/>
          </w:tcPr>
          <w:p w14:paraId="0CEB0A45"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Commercial Fridge &amp; Freezer Sales Australia</w:t>
            </w:r>
          </w:p>
        </w:tc>
        <w:tc>
          <w:tcPr>
            <w:tcW w:w="4677" w:type="dxa"/>
            <w:vAlign w:val="center"/>
          </w:tcPr>
          <w:p w14:paraId="2FF5B6E2"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(Distributor and reseller)</w:t>
            </w:r>
          </w:p>
        </w:tc>
      </w:tr>
      <w:tr w:rsidR="00F879AF" w:rsidRPr="00F879AF" w14:paraId="11E63D91" w14:textId="77777777" w:rsidTr="0028109D">
        <w:tc>
          <w:tcPr>
            <w:tcW w:w="3715" w:type="dxa"/>
            <w:vAlign w:val="center"/>
          </w:tcPr>
          <w:p w14:paraId="42C5B9EC"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Complete Beverage Services</w:t>
            </w:r>
          </w:p>
        </w:tc>
        <w:tc>
          <w:tcPr>
            <w:tcW w:w="4677" w:type="dxa"/>
            <w:vAlign w:val="center"/>
          </w:tcPr>
          <w:p w14:paraId="367A6E4C"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Crystal Cooler</w:t>
            </w:r>
            <w:r w:rsidRPr="00F879AF">
              <w:rPr>
                <w:rFonts w:ascii="Helvetica" w:eastAsia="Times New Roman" w:hAnsi="Helvetica" w:cs="Helvetica"/>
                <w:b/>
                <w:color w:val="FF0000"/>
                <w:sz w:val="15"/>
                <w:szCs w:val="22"/>
              </w:rPr>
              <w:t xml:space="preserve"> </w:t>
            </w:r>
          </w:p>
        </w:tc>
      </w:tr>
      <w:tr w:rsidR="00F879AF" w:rsidRPr="00F879AF" w14:paraId="10E56039" w14:textId="77777777" w:rsidTr="0028109D">
        <w:tc>
          <w:tcPr>
            <w:tcW w:w="3715" w:type="dxa"/>
            <w:vAlign w:val="center"/>
          </w:tcPr>
          <w:p w14:paraId="48D4A2FD"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Cyberchill Refrigeration</w:t>
            </w:r>
          </w:p>
        </w:tc>
        <w:tc>
          <w:tcPr>
            <w:tcW w:w="4677" w:type="dxa"/>
            <w:vAlign w:val="center"/>
          </w:tcPr>
          <w:p w14:paraId="207DB069"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 xml:space="preserve">Cyberchill </w:t>
            </w:r>
          </w:p>
        </w:tc>
      </w:tr>
      <w:tr w:rsidR="00F879AF" w:rsidRPr="00F879AF" w14:paraId="3BCBD354" w14:textId="77777777" w:rsidTr="0028109D">
        <w:tc>
          <w:tcPr>
            <w:tcW w:w="3715" w:type="dxa"/>
            <w:vAlign w:val="center"/>
          </w:tcPr>
          <w:p w14:paraId="4AA92766"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Delta Refrigeration Services</w:t>
            </w:r>
          </w:p>
        </w:tc>
        <w:tc>
          <w:tcPr>
            <w:tcW w:w="4677" w:type="dxa"/>
            <w:vAlign w:val="center"/>
          </w:tcPr>
          <w:p w14:paraId="565952D7"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w:t>
            </w:r>
          </w:p>
        </w:tc>
      </w:tr>
      <w:tr w:rsidR="00F879AF" w:rsidRPr="00F879AF" w14:paraId="6A2B9002" w14:textId="77777777" w:rsidTr="0028109D">
        <w:tc>
          <w:tcPr>
            <w:tcW w:w="3715" w:type="dxa"/>
            <w:vAlign w:val="center"/>
          </w:tcPr>
          <w:p w14:paraId="15771376"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Exquisite Marketing Australia</w:t>
            </w:r>
          </w:p>
        </w:tc>
        <w:tc>
          <w:tcPr>
            <w:tcW w:w="4677" w:type="dxa"/>
            <w:vAlign w:val="center"/>
          </w:tcPr>
          <w:p w14:paraId="14325675"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Liebherr, Exquisite, Exquisite Marketing Australia</w:t>
            </w:r>
          </w:p>
        </w:tc>
      </w:tr>
      <w:tr w:rsidR="00F879AF" w:rsidRPr="00F879AF" w14:paraId="77D7D11D" w14:textId="77777777" w:rsidTr="0028109D">
        <w:tc>
          <w:tcPr>
            <w:tcW w:w="3715" w:type="dxa"/>
            <w:vAlign w:val="center"/>
          </w:tcPr>
          <w:p w14:paraId="24407DD6"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Food Equipment Distributors</w:t>
            </w:r>
          </w:p>
        </w:tc>
        <w:tc>
          <w:tcPr>
            <w:tcW w:w="4677" w:type="dxa"/>
            <w:vAlign w:val="center"/>
          </w:tcPr>
          <w:p w14:paraId="59283DCD"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Bellevista, FED, Thermatech Temperate</w:t>
            </w:r>
          </w:p>
        </w:tc>
      </w:tr>
      <w:tr w:rsidR="00F879AF" w:rsidRPr="00F879AF" w14:paraId="1A6C6F0A" w14:textId="77777777" w:rsidTr="0028109D">
        <w:tc>
          <w:tcPr>
            <w:tcW w:w="3715" w:type="dxa"/>
            <w:vAlign w:val="center"/>
          </w:tcPr>
          <w:p w14:paraId="2D7E381A"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Frigoglass</w:t>
            </w:r>
          </w:p>
        </w:tc>
        <w:tc>
          <w:tcPr>
            <w:tcW w:w="4677" w:type="dxa"/>
            <w:vAlign w:val="center"/>
          </w:tcPr>
          <w:p w14:paraId="5E3B0CF1"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 xml:space="preserve">Frigorex </w:t>
            </w:r>
          </w:p>
        </w:tc>
      </w:tr>
      <w:tr w:rsidR="00F879AF" w:rsidRPr="00F879AF" w14:paraId="27DC9760" w14:textId="77777777" w:rsidTr="0028109D">
        <w:tc>
          <w:tcPr>
            <w:tcW w:w="3715" w:type="dxa"/>
            <w:vAlign w:val="center"/>
          </w:tcPr>
          <w:p w14:paraId="4CECA547"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Frigrite Refrigeration International</w:t>
            </w:r>
          </w:p>
        </w:tc>
        <w:tc>
          <w:tcPr>
            <w:tcW w:w="4677" w:type="dxa"/>
            <w:vAlign w:val="center"/>
          </w:tcPr>
          <w:p w14:paraId="2D8D7C0C"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Frigrite International</w:t>
            </w:r>
          </w:p>
        </w:tc>
      </w:tr>
      <w:tr w:rsidR="00F879AF" w:rsidRPr="00F879AF" w14:paraId="30056602" w14:textId="77777777" w:rsidTr="0028109D">
        <w:tc>
          <w:tcPr>
            <w:tcW w:w="3715" w:type="dxa"/>
            <w:vAlign w:val="center"/>
          </w:tcPr>
          <w:p w14:paraId="54A80E7F"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GAF Controls</w:t>
            </w:r>
          </w:p>
        </w:tc>
        <w:tc>
          <w:tcPr>
            <w:tcW w:w="4677" w:type="dxa"/>
            <w:vAlign w:val="center"/>
          </w:tcPr>
          <w:p w14:paraId="4E41090F"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 xml:space="preserve">GAF </w:t>
            </w:r>
          </w:p>
        </w:tc>
      </w:tr>
      <w:tr w:rsidR="00F879AF" w:rsidRPr="00F879AF" w14:paraId="7AA427ED" w14:textId="77777777" w:rsidTr="0028109D">
        <w:tc>
          <w:tcPr>
            <w:tcW w:w="3715" w:type="dxa"/>
            <w:vAlign w:val="center"/>
          </w:tcPr>
          <w:p w14:paraId="5A27213C"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Global Karma</w:t>
            </w:r>
          </w:p>
        </w:tc>
        <w:tc>
          <w:tcPr>
            <w:tcW w:w="4677" w:type="dxa"/>
            <w:vAlign w:val="center"/>
          </w:tcPr>
          <w:p w14:paraId="2A32D1B7"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 xml:space="preserve">Global Karma </w:t>
            </w:r>
          </w:p>
        </w:tc>
      </w:tr>
      <w:tr w:rsidR="00F879AF" w:rsidRPr="00F879AF" w14:paraId="32C66D20" w14:textId="77777777" w:rsidTr="0028109D">
        <w:tc>
          <w:tcPr>
            <w:tcW w:w="3715" w:type="dxa"/>
            <w:vAlign w:val="center"/>
          </w:tcPr>
          <w:p w14:paraId="069CB61F"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Golden Bear Enterprises</w:t>
            </w:r>
          </w:p>
        </w:tc>
        <w:tc>
          <w:tcPr>
            <w:tcW w:w="4677" w:type="dxa"/>
            <w:vAlign w:val="center"/>
          </w:tcPr>
          <w:p w14:paraId="45038307"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 xml:space="preserve">Bar Fridges Australia </w:t>
            </w:r>
          </w:p>
        </w:tc>
      </w:tr>
      <w:tr w:rsidR="00F879AF" w:rsidRPr="00F879AF" w14:paraId="0A184285" w14:textId="77777777" w:rsidTr="0028109D">
        <w:tc>
          <w:tcPr>
            <w:tcW w:w="3715" w:type="dxa"/>
            <w:vAlign w:val="center"/>
          </w:tcPr>
          <w:p w14:paraId="01552657"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Gren Innovation</w:t>
            </w:r>
          </w:p>
        </w:tc>
        <w:tc>
          <w:tcPr>
            <w:tcW w:w="4677" w:type="dxa"/>
            <w:vAlign w:val="center"/>
          </w:tcPr>
          <w:p w14:paraId="3AAC968C"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 xml:space="preserve">Gren, Kinco </w:t>
            </w:r>
          </w:p>
        </w:tc>
      </w:tr>
      <w:tr w:rsidR="00F879AF" w:rsidRPr="00F879AF" w14:paraId="367D4E92" w14:textId="77777777" w:rsidTr="0028109D">
        <w:tc>
          <w:tcPr>
            <w:tcW w:w="3715" w:type="dxa"/>
            <w:vAlign w:val="center"/>
          </w:tcPr>
          <w:p w14:paraId="5FBC9619"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HEC Cater</w:t>
            </w:r>
          </w:p>
        </w:tc>
        <w:tc>
          <w:tcPr>
            <w:tcW w:w="4677" w:type="dxa"/>
            <w:vAlign w:val="center"/>
          </w:tcPr>
          <w:p w14:paraId="60D7163F"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HEC</w:t>
            </w:r>
          </w:p>
        </w:tc>
      </w:tr>
      <w:tr w:rsidR="00F879AF" w:rsidRPr="00F879AF" w14:paraId="71FF670C" w14:textId="77777777" w:rsidTr="0028109D">
        <w:tc>
          <w:tcPr>
            <w:tcW w:w="3715" w:type="dxa"/>
            <w:vAlign w:val="center"/>
          </w:tcPr>
          <w:p w14:paraId="003C0F29"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Hill Equipment (AJ Baker &amp; Sons)</w:t>
            </w:r>
          </w:p>
        </w:tc>
        <w:tc>
          <w:tcPr>
            <w:tcW w:w="4677" w:type="dxa"/>
            <w:vAlign w:val="center"/>
          </w:tcPr>
          <w:p w14:paraId="1B1E3C63"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w:t>
            </w:r>
          </w:p>
        </w:tc>
      </w:tr>
      <w:tr w:rsidR="00F879AF" w:rsidRPr="00F879AF" w14:paraId="7EED1968" w14:textId="77777777" w:rsidTr="0028109D">
        <w:tc>
          <w:tcPr>
            <w:tcW w:w="3715" w:type="dxa"/>
            <w:vAlign w:val="center"/>
          </w:tcPr>
          <w:p w14:paraId="6E2131B7"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Hoshizaki Lancer</w:t>
            </w:r>
          </w:p>
        </w:tc>
        <w:tc>
          <w:tcPr>
            <w:tcW w:w="4677" w:type="dxa"/>
            <w:vAlign w:val="center"/>
          </w:tcPr>
          <w:p w14:paraId="0A7D2B26"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 xml:space="preserve">Hoshizaki, Lancer Beverage, AHT </w:t>
            </w:r>
          </w:p>
        </w:tc>
      </w:tr>
      <w:tr w:rsidR="00F879AF" w:rsidRPr="00F879AF" w14:paraId="058EEA31" w14:textId="77777777" w:rsidTr="0028109D">
        <w:tc>
          <w:tcPr>
            <w:tcW w:w="3715" w:type="dxa"/>
            <w:vAlign w:val="center"/>
          </w:tcPr>
          <w:p w14:paraId="68F4AB5B"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Hospitality &amp; Beverage Solutions</w:t>
            </w:r>
          </w:p>
        </w:tc>
        <w:tc>
          <w:tcPr>
            <w:tcW w:w="4677" w:type="dxa"/>
            <w:vAlign w:val="center"/>
          </w:tcPr>
          <w:p w14:paraId="0D5EB693"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HAB</w:t>
            </w:r>
          </w:p>
        </w:tc>
      </w:tr>
      <w:tr w:rsidR="00F879AF" w:rsidRPr="00F879AF" w14:paraId="52B69ED5" w14:textId="77777777" w:rsidTr="0028109D">
        <w:tc>
          <w:tcPr>
            <w:tcW w:w="3715" w:type="dxa"/>
            <w:vAlign w:val="center"/>
          </w:tcPr>
          <w:p w14:paraId="56BB0389"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Huxford Refrigeration</w:t>
            </w:r>
          </w:p>
        </w:tc>
        <w:tc>
          <w:tcPr>
            <w:tcW w:w="4677" w:type="dxa"/>
            <w:vAlign w:val="center"/>
          </w:tcPr>
          <w:p w14:paraId="5F837F47"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 xml:space="preserve">Huxford </w:t>
            </w:r>
          </w:p>
        </w:tc>
      </w:tr>
      <w:tr w:rsidR="00F879AF" w:rsidRPr="00F879AF" w14:paraId="4F9B69E6" w14:textId="77777777" w:rsidTr="0028109D">
        <w:tc>
          <w:tcPr>
            <w:tcW w:w="3715" w:type="dxa"/>
            <w:vAlign w:val="center"/>
          </w:tcPr>
          <w:p w14:paraId="42F83BA1"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ICS Pacific</w:t>
            </w:r>
          </w:p>
        </w:tc>
        <w:tc>
          <w:tcPr>
            <w:tcW w:w="4677" w:type="dxa"/>
            <w:vAlign w:val="center"/>
          </w:tcPr>
          <w:p w14:paraId="481458B1"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ICS Pacific</w:t>
            </w:r>
          </w:p>
        </w:tc>
      </w:tr>
      <w:tr w:rsidR="00F879AF" w:rsidRPr="00F879AF" w14:paraId="2464545C" w14:textId="77777777" w:rsidTr="0028109D">
        <w:tc>
          <w:tcPr>
            <w:tcW w:w="3715" w:type="dxa"/>
            <w:vAlign w:val="center"/>
          </w:tcPr>
          <w:p w14:paraId="183A701A"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International Catering Equipment</w:t>
            </w:r>
          </w:p>
        </w:tc>
        <w:tc>
          <w:tcPr>
            <w:tcW w:w="4677" w:type="dxa"/>
            <w:vAlign w:val="center"/>
          </w:tcPr>
          <w:p w14:paraId="14EB5D3B"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 xml:space="preserve">ICE, Polariz, Inomak </w:t>
            </w:r>
          </w:p>
        </w:tc>
      </w:tr>
      <w:tr w:rsidR="00F879AF" w:rsidRPr="00F879AF" w14:paraId="1685C85F" w14:textId="77777777" w:rsidTr="0028109D">
        <w:tc>
          <w:tcPr>
            <w:tcW w:w="3715" w:type="dxa"/>
            <w:vAlign w:val="center"/>
          </w:tcPr>
          <w:p w14:paraId="3805228B"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K Refrigeration Group Australia</w:t>
            </w:r>
          </w:p>
        </w:tc>
        <w:tc>
          <w:tcPr>
            <w:tcW w:w="4677" w:type="dxa"/>
            <w:vAlign w:val="center"/>
          </w:tcPr>
          <w:p w14:paraId="380AEF29"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Koxka, Kobol</w:t>
            </w:r>
          </w:p>
        </w:tc>
      </w:tr>
      <w:tr w:rsidR="00F879AF" w:rsidRPr="00F879AF" w14:paraId="64560AED" w14:textId="77777777" w:rsidTr="0028109D">
        <w:tc>
          <w:tcPr>
            <w:tcW w:w="3715" w:type="dxa"/>
            <w:vAlign w:val="center"/>
          </w:tcPr>
          <w:p w14:paraId="25649B23"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Kingloc Commercial Refrigeration</w:t>
            </w:r>
          </w:p>
        </w:tc>
        <w:tc>
          <w:tcPr>
            <w:tcW w:w="4677" w:type="dxa"/>
            <w:vAlign w:val="center"/>
          </w:tcPr>
          <w:p w14:paraId="1FA05127"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 xml:space="preserve">Kingloc </w:t>
            </w:r>
          </w:p>
        </w:tc>
      </w:tr>
      <w:tr w:rsidR="00F879AF" w:rsidRPr="00F879AF" w14:paraId="46D7704C" w14:textId="77777777" w:rsidTr="0028109D">
        <w:tc>
          <w:tcPr>
            <w:tcW w:w="3715" w:type="dxa"/>
            <w:vAlign w:val="center"/>
          </w:tcPr>
          <w:p w14:paraId="53EE040F"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 xml:space="preserve">Kitchen Equipment Australia </w:t>
            </w:r>
          </w:p>
        </w:tc>
        <w:tc>
          <w:tcPr>
            <w:tcW w:w="4677" w:type="dxa"/>
            <w:vAlign w:val="center"/>
          </w:tcPr>
          <w:p w14:paraId="6D1E84BE"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KEA</w:t>
            </w:r>
          </w:p>
        </w:tc>
      </w:tr>
      <w:tr w:rsidR="00F879AF" w:rsidRPr="00F879AF" w14:paraId="4BBE860C" w14:textId="77777777" w:rsidTr="0028109D">
        <w:tc>
          <w:tcPr>
            <w:tcW w:w="3715" w:type="dxa"/>
            <w:vAlign w:val="center"/>
          </w:tcPr>
          <w:p w14:paraId="51FBF670"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Lazco</w:t>
            </w:r>
          </w:p>
        </w:tc>
        <w:tc>
          <w:tcPr>
            <w:tcW w:w="4677" w:type="dxa"/>
            <w:vAlign w:val="center"/>
          </w:tcPr>
          <w:p w14:paraId="4A2A16EE"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Afinox</w:t>
            </w:r>
          </w:p>
        </w:tc>
      </w:tr>
      <w:tr w:rsidR="00F879AF" w:rsidRPr="00F879AF" w14:paraId="4D10993E" w14:textId="77777777" w:rsidTr="0028109D">
        <w:tc>
          <w:tcPr>
            <w:tcW w:w="3715" w:type="dxa"/>
            <w:vAlign w:val="center"/>
          </w:tcPr>
          <w:p w14:paraId="67294F2D"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Maurice Kemp &amp; Associates</w:t>
            </w:r>
          </w:p>
        </w:tc>
        <w:tc>
          <w:tcPr>
            <w:tcW w:w="4677" w:type="dxa"/>
            <w:vAlign w:val="center"/>
          </w:tcPr>
          <w:p w14:paraId="36CF62DD"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GRAM, Gram Commercial</w:t>
            </w:r>
          </w:p>
        </w:tc>
      </w:tr>
      <w:tr w:rsidR="00F879AF" w:rsidRPr="00F879AF" w14:paraId="735AD97C" w14:textId="77777777" w:rsidTr="0028109D">
        <w:tc>
          <w:tcPr>
            <w:tcW w:w="3715" w:type="dxa"/>
            <w:vAlign w:val="center"/>
          </w:tcPr>
          <w:p w14:paraId="10D3BB04"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Milan Refrigeration</w:t>
            </w:r>
          </w:p>
        </w:tc>
        <w:tc>
          <w:tcPr>
            <w:tcW w:w="4677" w:type="dxa"/>
            <w:vAlign w:val="center"/>
          </w:tcPr>
          <w:p w14:paraId="25BA339D"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Milan Refrigeration, Lassele, Staycold</w:t>
            </w:r>
          </w:p>
        </w:tc>
      </w:tr>
      <w:tr w:rsidR="00F879AF" w:rsidRPr="00F879AF" w14:paraId="40845BDC" w14:textId="77777777" w:rsidTr="0028109D">
        <w:tc>
          <w:tcPr>
            <w:tcW w:w="3715" w:type="dxa"/>
            <w:vAlign w:val="center"/>
          </w:tcPr>
          <w:p w14:paraId="7F5666E0"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Nisbets Australia</w:t>
            </w:r>
          </w:p>
        </w:tc>
        <w:tc>
          <w:tcPr>
            <w:tcW w:w="4677" w:type="dxa"/>
            <w:vAlign w:val="center"/>
          </w:tcPr>
          <w:p w14:paraId="30B590E5"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Polar Refrigeration</w:t>
            </w:r>
          </w:p>
        </w:tc>
      </w:tr>
      <w:tr w:rsidR="00F879AF" w:rsidRPr="00F879AF" w14:paraId="04778E69" w14:textId="77777777" w:rsidTr="0028109D">
        <w:tc>
          <w:tcPr>
            <w:tcW w:w="3715" w:type="dxa"/>
            <w:vAlign w:val="center"/>
          </w:tcPr>
          <w:p w14:paraId="30C4E961"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The Orford Group</w:t>
            </w:r>
          </w:p>
        </w:tc>
        <w:tc>
          <w:tcPr>
            <w:tcW w:w="4677" w:type="dxa"/>
            <w:vAlign w:val="center"/>
          </w:tcPr>
          <w:p w14:paraId="0D39FBA5"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 xml:space="preserve">Orford Group </w:t>
            </w:r>
          </w:p>
        </w:tc>
      </w:tr>
      <w:tr w:rsidR="00F879AF" w:rsidRPr="00F879AF" w14:paraId="66294BEC" w14:textId="77777777" w:rsidTr="0028109D">
        <w:tc>
          <w:tcPr>
            <w:tcW w:w="3715" w:type="dxa"/>
            <w:vAlign w:val="center"/>
          </w:tcPr>
          <w:p w14:paraId="799EFEB9"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Quality Traders</w:t>
            </w:r>
          </w:p>
        </w:tc>
        <w:tc>
          <w:tcPr>
            <w:tcW w:w="4677" w:type="dxa"/>
            <w:vAlign w:val="center"/>
          </w:tcPr>
          <w:p w14:paraId="639F0254"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Berjaya</w:t>
            </w:r>
          </w:p>
        </w:tc>
      </w:tr>
      <w:tr w:rsidR="00F879AF" w:rsidRPr="00F879AF" w14:paraId="709F8237" w14:textId="77777777" w:rsidTr="0028109D">
        <w:tc>
          <w:tcPr>
            <w:tcW w:w="3715" w:type="dxa"/>
            <w:vAlign w:val="center"/>
          </w:tcPr>
          <w:p w14:paraId="59527CCB"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Quirks</w:t>
            </w:r>
          </w:p>
        </w:tc>
        <w:tc>
          <w:tcPr>
            <w:tcW w:w="4677" w:type="dxa"/>
            <w:vAlign w:val="center"/>
          </w:tcPr>
          <w:p w14:paraId="4C8A4C57"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ISA, Quirks, Sight</w:t>
            </w:r>
          </w:p>
        </w:tc>
      </w:tr>
      <w:tr w:rsidR="00F879AF" w:rsidRPr="00F879AF" w14:paraId="01DC4034" w14:textId="77777777" w:rsidTr="0028109D">
        <w:tc>
          <w:tcPr>
            <w:tcW w:w="3715" w:type="dxa"/>
            <w:vAlign w:val="center"/>
          </w:tcPr>
          <w:p w14:paraId="3253654D"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Red Bull Australia</w:t>
            </w:r>
          </w:p>
        </w:tc>
        <w:tc>
          <w:tcPr>
            <w:tcW w:w="4677" w:type="dxa"/>
            <w:vAlign w:val="center"/>
          </w:tcPr>
          <w:p w14:paraId="44621569"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AHT, Liebherr, Frigoglass, Baixue, Red Bull</w:t>
            </w:r>
          </w:p>
        </w:tc>
      </w:tr>
      <w:tr w:rsidR="00F879AF" w:rsidRPr="00F879AF" w14:paraId="6F7968FC" w14:textId="77777777" w:rsidTr="0028109D">
        <w:tc>
          <w:tcPr>
            <w:tcW w:w="3715" w:type="dxa"/>
            <w:vAlign w:val="center"/>
          </w:tcPr>
          <w:p w14:paraId="7997C34F"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Refrigeration Rentals and Sales</w:t>
            </w:r>
          </w:p>
          <w:p w14:paraId="4E2CA549"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(Zero Commercial Refrigeration)</w:t>
            </w:r>
          </w:p>
        </w:tc>
        <w:tc>
          <w:tcPr>
            <w:tcW w:w="4677" w:type="dxa"/>
            <w:vAlign w:val="center"/>
          </w:tcPr>
          <w:p w14:paraId="21CDCE8B"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w:t>
            </w:r>
          </w:p>
        </w:tc>
      </w:tr>
      <w:tr w:rsidR="00F879AF" w:rsidRPr="00F879AF" w14:paraId="5A068724" w14:textId="77777777" w:rsidTr="0028109D">
        <w:tc>
          <w:tcPr>
            <w:tcW w:w="3715" w:type="dxa"/>
            <w:vAlign w:val="center"/>
          </w:tcPr>
          <w:p w14:paraId="1FBD781F"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Rhino Equipment</w:t>
            </w:r>
          </w:p>
        </w:tc>
        <w:tc>
          <w:tcPr>
            <w:tcW w:w="4677" w:type="dxa"/>
            <w:vAlign w:val="center"/>
          </w:tcPr>
          <w:p w14:paraId="42B5F861"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Rhino</w:t>
            </w:r>
          </w:p>
        </w:tc>
      </w:tr>
      <w:tr w:rsidR="00F879AF" w:rsidRPr="00F879AF" w14:paraId="1CEFB3A3" w14:textId="77777777" w:rsidTr="0028109D">
        <w:tc>
          <w:tcPr>
            <w:tcW w:w="3715" w:type="dxa"/>
            <w:vAlign w:val="center"/>
          </w:tcPr>
          <w:p w14:paraId="477B4B1E"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Roband Australia</w:t>
            </w:r>
          </w:p>
        </w:tc>
        <w:tc>
          <w:tcPr>
            <w:tcW w:w="4677" w:type="dxa"/>
            <w:vAlign w:val="center"/>
          </w:tcPr>
          <w:p w14:paraId="5FFD8BF9"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Roband</w:t>
            </w:r>
          </w:p>
        </w:tc>
      </w:tr>
      <w:tr w:rsidR="00F879AF" w:rsidRPr="00F879AF" w14:paraId="03E62612" w14:textId="77777777" w:rsidTr="0028109D">
        <w:tc>
          <w:tcPr>
            <w:tcW w:w="3715" w:type="dxa"/>
            <w:vAlign w:val="center"/>
          </w:tcPr>
          <w:p w14:paraId="32CB486F"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Roller Grill Australia</w:t>
            </w:r>
          </w:p>
        </w:tc>
        <w:tc>
          <w:tcPr>
            <w:tcW w:w="4677" w:type="dxa"/>
            <w:vAlign w:val="center"/>
          </w:tcPr>
          <w:p w14:paraId="3BA6AA75"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 xml:space="preserve">Roller Grill Australia </w:t>
            </w:r>
          </w:p>
        </w:tc>
      </w:tr>
      <w:tr w:rsidR="00F879AF" w:rsidRPr="00F879AF" w14:paraId="1673E5FC" w14:textId="77777777" w:rsidTr="0028109D">
        <w:tc>
          <w:tcPr>
            <w:tcW w:w="3715" w:type="dxa"/>
            <w:vAlign w:val="center"/>
          </w:tcPr>
          <w:p w14:paraId="2F4F32AB"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Ruey Shing Australia</w:t>
            </w:r>
          </w:p>
        </w:tc>
        <w:tc>
          <w:tcPr>
            <w:tcW w:w="4677" w:type="dxa"/>
            <w:vAlign w:val="center"/>
          </w:tcPr>
          <w:p w14:paraId="0C579175"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 xml:space="preserve">Ruey Shing Australia </w:t>
            </w:r>
          </w:p>
        </w:tc>
      </w:tr>
      <w:tr w:rsidR="00F879AF" w:rsidRPr="00F879AF" w14:paraId="1B695878" w14:textId="77777777" w:rsidTr="0028109D">
        <w:tc>
          <w:tcPr>
            <w:tcW w:w="3715" w:type="dxa"/>
            <w:vAlign w:val="center"/>
          </w:tcPr>
          <w:p w14:paraId="774ABC07"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Sanden International</w:t>
            </w:r>
          </w:p>
        </w:tc>
        <w:tc>
          <w:tcPr>
            <w:tcW w:w="4677" w:type="dxa"/>
            <w:vAlign w:val="center"/>
          </w:tcPr>
          <w:p w14:paraId="091C3D53"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Sanden, Sanden Intercool</w:t>
            </w:r>
          </w:p>
        </w:tc>
      </w:tr>
      <w:tr w:rsidR="00F879AF" w:rsidRPr="00F879AF" w14:paraId="60E602C8" w14:textId="77777777" w:rsidTr="0028109D">
        <w:tc>
          <w:tcPr>
            <w:tcW w:w="3715" w:type="dxa"/>
            <w:vAlign w:val="center"/>
          </w:tcPr>
          <w:p w14:paraId="3373B9BA"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SCSR Pty Ltd</w:t>
            </w:r>
          </w:p>
        </w:tc>
        <w:tc>
          <w:tcPr>
            <w:tcW w:w="4677" w:type="dxa"/>
            <w:vAlign w:val="center"/>
          </w:tcPr>
          <w:p w14:paraId="79A8EF01"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SCSR</w:t>
            </w:r>
          </w:p>
        </w:tc>
      </w:tr>
      <w:tr w:rsidR="00F879AF" w:rsidRPr="00F879AF" w14:paraId="565EC04D" w14:textId="77777777" w:rsidTr="0028109D">
        <w:tc>
          <w:tcPr>
            <w:tcW w:w="3715" w:type="dxa"/>
            <w:vAlign w:val="center"/>
          </w:tcPr>
          <w:p w14:paraId="73059196"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Skope Australia Pty Ltd</w:t>
            </w:r>
          </w:p>
        </w:tc>
        <w:tc>
          <w:tcPr>
            <w:tcW w:w="4677" w:type="dxa"/>
            <w:vAlign w:val="center"/>
          </w:tcPr>
          <w:p w14:paraId="37AF2D04"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 xml:space="preserve">SKOPE several products </w:t>
            </w:r>
          </w:p>
        </w:tc>
      </w:tr>
      <w:tr w:rsidR="00F879AF" w:rsidRPr="00F879AF" w14:paraId="6BC0B09F" w14:textId="77777777" w:rsidTr="0028109D">
        <w:tc>
          <w:tcPr>
            <w:tcW w:w="3715" w:type="dxa"/>
            <w:vAlign w:val="center"/>
          </w:tcPr>
          <w:p w14:paraId="0C043F9D"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Southern Hospitality</w:t>
            </w:r>
          </w:p>
        </w:tc>
        <w:tc>
          <w:tcPr>
            <w:tcW w:w="4677" w:type="dxa"/>
            <w:vAlign w:val="center"/>
          </w:tcPr>
          <w:p w14:paraId="1A092442"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Southern Hospitality, Leader</w:t>
            </w:r>
          </w:p>
        </w:tc>
      </w:tr>
      <w:tr w:rsidR="00F879AF" w:rsidRPr="00F879AF" w14:paraId="1B13B2BB" w14:textId="77777777" w:rsidTr="0028109D">
        <w:tc>
          <w:tcPr>
            <w:tcW w:w="3715" w:type="dxa"/>
            <w:vAlign w:val="center"/>
          </w:tcPr>
          <w:p w14:paraId="5A44A9E3"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Specialised Refrigeration Services</w:t>
            </w:r>
          </w:p>
        </w:tc>
        <w:tc>
          <w:tcPr>
            <w:tcW w:w="4677" w:type="dxa"/>
            <w:vAlign w:val="center"/>
          </w:tcPr>
          <w:p w14:paraId="1736597C"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w:t>
            </w:r>
          </w:p>
        </w:tc>
      </w:tr>
      <w:tr w:rsidR="00F879AF" w:rsidRPr="00F879AF" w14:paraId="736EA899" w14:textId="77777777" w:rsidTr="0028109D">
        <w:tc>
          <w:tcPr>
            <w:tcW w:w="3715" w:type="dxa"/>
            <w:vAlign w:val="center"/>
          </w:tcPr>
          <w:p w14:paraId="5DBC6AC0"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TME Refrigeration</w:t>
            </w:r>
          </w:p>
        </w:tc>
        <w:tc>
          <w:tcPr>
            <w:tcW w:w="4677" w:type="dxa"/>
            <w:vAlign w:val="center"/>
          </w:tcPr>
          <w:p w14:paraId="20583825"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 xml:space="preserve">Silfer </w:t>
            </w:r>
          </w:p>
        </w:tc>
      </w:tr>
      <w:tr w:rsidR="00F879AF" w:rsidRPr="00F879AF" w14:paraId="6F4E75DB" w14:textId="77777777" w:rsidTr="0028109D">
        <w:tc>
          <w:tcPr>
            <w:tcW w:w="3715" w:type="dxa"/>
            <w:vAlign w:val="center"/>
          </w:tcPr>
          <w:p w14:paraId="7746E885"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lastRenderedPageBreak/>
              <w:t>True Food International</w:t>
            </w:r>
          </w:p>
        </w:tc>
        <w:tc>
          <w:tcPr>
            <w:tcW w:w="4677" w:type="dxa"/>
            <w:vAlign w:val="center"/>
          </w:tcPr>
          <w:p w14:paraId="765328BB"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True Food International, True Manufacturing</w:t>
            </w:r>
          </w:p>
        </w:tc>
      </w:tr>
      <w:tr w:rsidR="00F879AF" w:rsidRPr="00F879AF" w14:paraId="468894D0" w14:textId="77777777" w:rsidTr="0028109D">
        <w:tc>
          <w:tcPr>
            <w:tcW w:w="3715" w:type="dxa"/>
            <w:vAlign w:val="center"/>
          </w:tcPr>
          <w:p w14:paraId="300C505D"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Turbo Air Refrigeration</w:t>
            </w:r>
          </w:p>
          <w:p w14:paraId="6373D8B9"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(BaySupply Food Service Equipment &amp; Supply)</w:t>
            </w:r>
          </w:p>
        </w:tc>
        <w:tc>
          <w:tcPr>
            <w:tcW w:w="4677" w:type="dxa"/>
            <w:vAlign w:val="center"/>
          </w:tcPr>
          <w:p w14:paraId="6E4E2259"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Turbo Air Refrigeration</w:t>
            </w:r>
          </w:p>
        </w:tc>
      </w:tr>
      <w:tr w:rsidR="00F879AF" w:rsidRPr="00F879AF" w14:paraId="5168A2B8" w14:textId="77777777" w:rsidTr="0028109D">
        <w:tc>
          <w:tcPr>
            <w:tcW w:w="3715" w:type="dxa"/>
            <w:vAlign w:val="center"/>
          </w:tcPr>
          <w:p w14:paraId="00C1B95F"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Tu's Brothers</w:t>
            </w:r>
          </w:p>
          <w:p w14:paraId="22F121C5"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(Allcater Pty Ltd)</w:t>
            </w:r>
          </w:p>
        </w:tc>
        <w:tc>
          <w:tcPr>
            <w:tcW w:w="4677" w:type="dxa"/>
            <w:vAlign w:val="center"/>
          </w:tcPr>
          <w:p w14:paraId="17A93526"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 xml:space="preserve">Iceblue, Supertron </w:t>
            </w:r>
          </w:p>
        </w:tc>
      </w:tr>
      <w:tr w:rsidR="00F879AF" w:rsidRPr="00F879AF" w14:paraId="3FD14950" w14:textId="77777777" w:rsidTr="0028109D">
        <w:tc>
          <w:tcPr>
            <w:tcW w:w="3715" w:type="dxa"/>
            <w:vAlign w:val="center"/>
          </w:tcPr>
          <w:p w14:paraId="36375FF9"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United Refrigeration</w:t>
            </w:r>
          </w:p>
        </w:tc>
        <w:tc>
          <w:tcPr>
            <w:tcW w:w="4677" w:type="dxa"/>
            <w:vAlign w:val="center"/>
          </w:tcPr>
          <w:p w14:paraId="05699DA4"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w:t>
            </w:r>
          </w:p>
        </w:tc>
      </w:tr>
      <w:tr w:rsidR="00F879AF" w:rsidRPr="00F879AF" w14:paraId="168489A1" w14:textId="77777777" w:rsidTr="0028109D">
        <w:tc>
          <w:tcPr>
            <w:tcW w:w="3715" w:type="dxa"/>
            <w:vAlign w:val="center"/>
          </w:tcPr>
          <w:p w14:paraId="5AF64665"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Unilever Australia</w:t>
            </w:r>
          </w:p>
        </w:tc>
        <w:tc>
          <w:tcPr>
            <w:tcW w:w="4677" w:type="dxa"/>
            <w:vAlign w:val="center"/>
          </w:tcPr>
          <w:p w14:paraId="34F783B5"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Unilever</w:t>
            </w:r>
          </w:p>
        </w:tc>
      </w:tr>
      <w:tr w:rsidR="00F879AF" w:rsidRPr="00F879AF" w14:paraId="7249ABB5" w14:textId="77777777" w:rsidTr="0028109D">
        <w:tc>
          <w:tcPr>
            <w:tcW w:w="3715" w:type="dxa"/>
            <w:vAlign w:val="center"/>
          </w:tcPr>
          <w:p w14:paraId="75A094EA"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Wellkart</w:t>
            </w:r>
          </w:p>
        </w:tc>
        <w:tc>
          <w:tcPr>
            <w:tcW w:w="4677" w:type="dxa"/>
            <w:vAlign w:val="center"/>
          </w:tcPr>
          <w:p w14:paraId="2C7DD463" w14:textId="77777777" w:rsidR="00F879AF" w:rsidRPr="00F879AF" w:rsidRDefault="00F879AF" w:rsidP="00F879AF">
            <w:pPr>
              <w:spacing w:before="60" w:after="60" w:line="240" w:lineRule="auto"/>
              <w:rPr>
                <w:rFonts w:ascii="Helvetica" w:eastAsia="Times New Roman" w:hAnsi="Helvetica" w:cs="Helvetica"/>
                <w:b/>
                <w:color w:val="000000"/>
                <w:sz w:val="15"/>
                <w:szCs w:val="22"/>
              </w:rPr>
            </w:pPr>
            <w:r w:rsidRPr="00F879AF">
              <w:rPr>
                <w:rFonts w:ascii="Helvetica" w:eastAsia="Times New Roman" w:hAnsi="Helvetica" w:cs="Helvetica"/>
                <w:b/>
                <w:color w:val="000000"/>
                <w:sz w:val="15"/>
                <w:szCs w:val="22"/>
              </w:rPr>
              <w:t xml:space="preserve">Wellquip, Quipwell </w:t>
            </w:r>
          </w:p>
        </w:tc>
      </w:tr>
    </w:tbl>
    <w:p w14:paraId="0F4D457A" w14:textId="77777777" w:rsidR="00F879AF" w:rsidRPr="00F879AF" w:rsidRDefault="00F879AF" w:rsidP="00F879AF">
      <w:pPr>
        <w:pStyle w:val="E3Heading4"/>
      </w:pPr>
    </w:p>
    <w:p w14:paraId="226F2394" w14:textId="77777777" w:rsidR="00F879AF" w:rsidRPr="00F879AF" w:rsidRDefault="00F879AF" w:rsidP="00F879AF">
      <w:pPr>
        <w:pStyle w:val="E3Heading4"/>
        <w:rPr>
          <w:rFonts w:eastAsia="Times New Roman"/>
          <w:iCs/>
          <w:sz w:val="18"/>
          <w:szCs w:val="18"/>
        </w:rPr>
      </w:pPr>
      <w:bookmarkStart w:id="494" w:name="_Toc447533640"/>
      <w:r w:rsidRPr="00F879AF">
        <w:rPr>
          <w:rFonts w:eastAsia="Times New Roman"/>
          <w:iCs/>
          <w:sz w:val="18"/>
          <w:szCs w:val="18"/>
        </w:rPr>
        <w:t>Businesses in New Zealand that manufacture and may import refrigerated equipment</w:t>
      </w:r>
      <w:bookmarkEnd w:id="494"/>
      <w:r w:rsidRPr="00F879AF">
        <w:rPr>
          <w:rFonts w:eastAsia="Times New Roman"/>
          <w:iCs/>
          <w:sz w:val="18"/>
          <w:szCs w:val="1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4677"/>
      </w:tblGrid>
      <w:tr w:rsidR="00F879AF" w:rsidRPr="00F879AF" w14:paraId="4B1B193A" w14:textId="77777777" w:rsidTr="0028109D">
        <w:tc>
          <w:tcPr>
            <w:tcW w:w="3715" w:type="dxa"/>
            <w:shd w:val="clear" w:color="auto" w:fill="0C0C0C"/>
            <w:vAlign w:val="center"/>
          </w:tcPr>
          <w:p w14:paraId="1CB49878"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Distributor</w:t>
            </w:r>
          </w:p>
        </w:tc>
        <w:tc>
          <w:tcPr>
            <w:tcW w:w="4677" w:type="dxa"/>
            <w:shd w:val="clear" w:color="auto" w:fill="0C0C0C"/>
            <w:vAlign w:val="center"/>
          </w:tcPr>
          <w:p w14:paraId="5749F3CE"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Brands include</w:t>
            </w:r>
          </w:p>
        </w:tc>
      </w:tr>
      <w:tr w:rsidR="00F879AF" w:rsidRPr="00F879AF" w14:paraId="21B13720" w14:textId="77777777" w:rsidTr="0028109D">
        <w:tc>
          <w:tcPr>
            <w:tcW w:w="3715" w:type="dxa"/>
            <w:vAlign w:val="bottom"/>
          </w:tcPr>
          <w:p w14:paraId="69A3956B"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 xml:space="preserve">Commercial refrigeration Wholesale Ltd  </w:t>
            </w:r>
            <w:r w:rsidRPr="00F879AF">
              <w:rPr>
                <w:rFonts w:ascii="Helvetica" w:eastAsia="Times New Roman" w:hAnsi="Helvetica" w:cs="Helvetica"/>
                <w:b/>
                <w:color w:val="000000"/>
                <w:sz w:val="15"/>
                <w:szCs w:val="14"/>
              </w:rPr>
              <w:br/>
              <w:t>(Commercial Catering/Hirecool)</w:t>
            </w:r>
          </w:p>
        </w:tc>
        <w:tc>
          <w:tcPr>
            <w:tcW w:w="4677" w:type="dxa"/>
            <w:vAlign w:val="bottom"/>
          </w:tcPr>
          <w:p w14:paraId="43A8116C"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Debonair, Koxka, SKOPE, FED, Frigrite</w:t>
            </w:r>
          </w:p>
        </w:tc>
      </w:tr>
      <w:tr w:rsidR="00F879AF" w:rsidRPr="00F879AF" w14:paraId="14B784D0" w14:textId="77777777" w:rsidTr="0028109D">
        <w:tc>
          <w:tcPr>
            <w:tcW w:w="3715" w:type="dxa"/>
            <w:vAlign w:val="bottom"/>
          </w:tcPr>
          <w:p w14:paraId="269C86C4"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Coldmaster Products NZ</w:t>
            </w:r>
          </w:p>
        </w:tc>
        <w:tc>
          <w:tcPr>
            <w:tcW w:w="4677" w:type="dxa"/>
            <w:vAlign w:val="bottom"/>
          </w:tcPr>
          <w:p w14:paraId="5DEAD342"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p>
        </w:tc>
      </w:tr>
      <w:tr w:rsidR="00F879AF" w:rsidRPr="00F879AF" w14:paraId="69124243" w14:textId="77777777" w:rsidTr="0028109D">
        <w:tc>
          <w:tcPr>
            <w:tcW w:w="3715" w:type="dxa"/>
            <w:vAlign w:val="bottom"/>
          </w:tcPr>
          <w:p w14:paraId="5F6EE060"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Cooling Equipment Ltd</w:t>
            </w:r>
          </w:p>
        </w:tc>
        <w:tc>
          <w:tcPr>
            <w:tcW w:w="4677" w:type="dxa"/>
            <w:vAlign w:val="bottom"/>
          </w:tcPr>
          <w:p w14:paraId="3BA2A149"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p>
        </w:tc>
      </w:tr>
      <w:tr w:rsidR="00F879AF" w:rsidRPr="00F879AF" w14:paraId="6BD732AE" w14:textId="77777777" w:rsidTr="0028109D">
        <w:tc>
          <w:tcPr>
            <w:tcW w:w="3715" w:type="dxa"/>
            <w:vAlign w:val="bottom"/>
          </w:tcPr>
          <w:p w14:paraId="7C84EEE2"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Cossiga</w:t>
            </w:r>
          </w:p>
        </w:tc>
        <w:tc>
          <w:tcPr>
            <w:tcW w:w="4677" w:type="dxa"/>
            <w:vAlign w:val="bottom"/>
          </w:tcPr>
          <w:p w14:paraId="12CD5F8C"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Cossiga</w:t>
            </w:r>
          </w:p>
        </w:tc>
      </w:tr>
      <w:tr w:rsidR="00F879AF" w:rsidRPr="00F879AF" w14:paraId="7D2C05ED" w14:textId="77777777" w:rsidTr="0028109D">
        <w:tc>
          <w:tcPr>
            <w:tcW w:w="3715" w:type="dxa"/>
            <w:vAlign w:val="center"/>
          </w:tcPr>
          <w:p w14:paraId="39C03F96"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Cuddon</w:t>
            </w:r>
          </w:p>
        </w:tc>
        <w:tc>
          <w:tcPr>
            <w:tcW w:w="4677" w:type="dxa"/>
            <w:vAlign w:val="center"/>
          </w:tcPr>
          <w:p w14:paraId="1F54396E"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p>
        </w:tc>
      </w:tr>
      <w:tr w:rsidR="00F879AF" w:rsidRPr="00F879AF" w14:paraId="5D131C4B" w14:textId="77777777" w:rsidTr="0028109D">
        <w:tc>
          <w:tcPr>
            <w:tcW w:w="3715" w:type="dxa"/>
            <w:vAlign w:val="bottom"/>
          </w:tcPr>
          <w:p w14:paraId="1CEC548E"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color w:val="000000"/>
                <w:sz w:val="15"/>
                <w:szCs w:val="14"/>
              </w:rPr>
              <w:t>Debonair</w:t>
            </w:r>
          </w:p>
        </w:tc>
        <w:tc>
          <w:tcPr>
            <w:tcW w:w="4677" w:type="dxa"/>
            <w:vAlign w:val="bottom"/>
          </w:tcPr>
          <w:p w14:paraId="31747E04"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color w:val="000000"/>
                <w:sz w:val="15"/>
                <w:szCs w:val="14"/>
              </w:rPr>
              <w:t>Debonair</w:t>
            </w:r>
          </w:p>
        </w:tc>
      </w:tr>
      <w:tr w:rsidR="00F879AF" w:rsidRPr="00F879AF" w14:paraId="6CC3B398" w14:textId="77777777" w:rsidTr="0028109D">
        <w:tc>
          <w:tcPr>
            <w:tcW w:w="3715" w:type="dxa"/>
            <w:vAlign w:val="bottom"/>
          </w:tcPr>
          <w:p w14:paraId="413155F8"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color w:val="000000"/>
                <w:sz w:val="15"/>
                <w:szCs w:val="14"/>
              </w:rPr>
              <w:t>Festivé</w:t>
            </w:r>
          </w:p>
        </w:tc>
        <w:tc>
          <w:tcPr>
            <w:tcW w:w="4677" w:type="dxa"/>
            <w:vAlign w:val="bottom"/>
          </w:tcPr>
          <w:p w14:paraId="1CBBD414"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color w:val="000000"/>
                <w:sz w:val="15"/>
                <w:szCs w:val="14"/>
              </w:rPr>
              <w:t>Festive</w:t>
            </w:r>
          </w:p>
        </w:tc>
      </w:tr>
      <w:tr w:rsidR="00F879AF" w:rsidRPr="00F879AF" w14:paraId="58D914CB" w14:textId="77777777" w:rsidTr="0028109D">
        <w:tc>
          <w:tcPr>
            <w:tcW w:w="3715" w:type="dxa"/>
            <w:vAlign w:val="bottom"/>
          </w:tcPr>
          <w:p w14:paraId="2ACDAE21"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color w:val="000000"/>
                <w:sz w:val="15"/>
                <w:szCs w:val="14"/>
              </w:rPr>
              <w:t>Future Products Group</w:t>
            </w:r>
          </w:p>
        </w:tc>
        <w:tc>
          <w:tcPr>
            <w:tcW w:w="4677" w:type="dxa"/>
            <w:vAlign w:val="bottom"/>
          </w:tcPr>
          <w:p w14:paraId="2F9DEEA6"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FPG</w:t>
            </w:r>
          </w:p>
        </w:tc>
      </w:tr>
      <w:tr w:rsidR="00F879AF" w:rsidRPr="00F879AF" w14:paraId="76B8BA4F" w14:textId="77777777" w:rsidTr="0028109D">
        <w:tc>
          <w:tcPr>
            <w:tcW w:w="3715" w:type="dxa"/>
            <w:vAlign w:val="bottom"/>
          </w:tcPr>
          <w:p w14:paraId="1AFF9C52"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Jones refrigeration Services Ltd</w:t>
            </w:r>
          </w:p>
        </w:tc>
        <w:tc>
          <w:tcPr>
            <w:tcW w:w="4677" w:type="dxa"/>
            <w:vAlign w:val="bottom"/>
          </w:tcPr>
          <w:p w14:paraId="5B1CB0D5" w14:textId="77777777" w:rsidR="00F879AF" w:rsidRPr="00F879AF" w:rsidRDefault="00F879AF" w:rsidP="00F879AF">
            <w:pPr>
              <w:spacing w:before="60" w:after="60" w:line="240" w:lineRule="auto"/>
              <w:rPr>
                <w:rFonts w:ascii="Helvetica" w:eastAsia="Times New Roman" w:hAnsi="Helvetica" w:cs="Helvetica"/>
                <w:b/>
                <w:sz w:val="15"/>
                <w:szCs w:val="14"/>
              </w:rPr>
            </w:pPr>
          </w:p>
        </w:tc>
      </w:tr>
      <w:tr w:rsidR="00F879AF" w:rsidRPr="00F879AF" w14:paraId="52CF9339" w14:textId="77777777" w:rsidTr="0028109D">
        <w:tc>
          <w:tcPr>
            <w:tcW w:w="3715" w:type="dxa"/>
            <w:vAlign w:val="bottom"/>
          </w:tcPr>
          <w:p w14:paraId="27D06E39"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Hamill Refrigeration Ltd</w:t>
            </w:r>
          </w:p>
        </w:tc>
        <w:tc>
          <w:tcPr>
            <w:tcW w:w="4677" w:type="dxa"/>
            <w:vAlign w:val="bottom"/>
          </w:tcPr>
          <w:p w14:paraId="02214E90"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 xml:space="preserve">Skope, Hoshizaki, Bunn, </w:t>
            </w:r>
          </w:p>
        </w:tc>
      </w:tr>
      <w:tr w:rsidR="00F879AF" w:rsidRPr="00F879AF" w14:paraId="5F696C41" w14:textId="77777777" w:rsidTr="0028109D">
        <w:tc>
          <w:tcPr>
            <w:tcW w:w="3715" w:type="dxa"/>
            <w:vAlign w:val="bottom"/>
          </w:tcPr>
          <w:p w14:paraId="004FD24C"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Hawke’s Bay Refrigeration</w:t>
            </w:r>
          </w:p>
        </w:tc>
        <w:tc>
          <w:tcPr>
            <w:tcW w:w="4677" w:type="dxa"/>
            <w:vAlign w:val="bottom"/>
          </w:tcPr>
          <w:p w14:paraId="114356E6" w14:textId="77777777" w:rsidR="00F879AF" w:rsidRPr="00F879AF" w:rsidRDefault="00F879AF" w:rsidP="00F879AF">
            <w:pPr>
              <w:spacing w:before="60" w:after="60" w:line="240" w:lineRule="auto"/>
              <w:rPr>
                <w:rFonts w:ascii="Helvetica" w:eastAsia="Times New Roman" w:hAnsi="Helvetica" w:cs="Helvetica"/>
                <w:b/>
                <w:sz w:val="15"/>
                <w:szCs w:val="14"/>
              </w:rPr>
            </w:pPr>
          </w:p>
        </w:tc>
      </w:tr>
      <w:tr w:rsidR="00F879AF" w:rsidRPr="00F879AF" w14:paraId="25F289FB" w14:textId="77777777" w:rsidTr="0028109D">
        <w:tc>
          <w:tcPr>
            <w:tcW w:w="3715" w:type="dxa"/>
            <w:vAlign w:val="bottom"/>
          </w:tcPr>
          <w:p w14:paraId="6A6AD262"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Local Refrigeration &amp; Air Conditioning</w:t>
            </w:r>
          </w:p>
        </w:tc>
        <w:tc>
          <w:tcPr>
            <w:tcW w:w="4677" w:type="dxa"/>
            <w:vAlign w:val="bottom"/>
          </w:tcPr>
          <w:p w14:paraId="1F15E4AD" w14:textId="77777777" w:rsidR="00F879AF" w:rsidRPr="00F879AF" w:rsidRDefault="00F879AF" w:rsidP="00F879AF">
            <w:pPr>
              <w:spacing w:before="60" w:after="60" w:line="240" w:lineRule="auto"/>
              <w:rPr>
                <w:rFonts w:ascii="Helvetica" w:eastAsia="Times New Roman" w:hAnsi="Helvetica" w:cs="Helvetica"/>
                <w:b/>
                <w:sz w:val="15"/>
                <w:szCs w:val="14"/>
              </w:rPr>
            </w:pPr>
          </w:p>
        </w:tc>
      </w:tr>
      <w:tr w:rsidR="00F879AF" w:rsidRPr="00F879AF" w14:paraId="7C59E3D1" w14:textId="77777777" w:rsidTr="0028109D">
        <w:tc>
          <w:tcPr>
            <w:tcW w:w="3715" w:type="dxa"/>
            <w:vAlign w:val="bottom"/>
          </w:tcPr>
          <w:p w14:paraId="64A42072"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McAlpine Hussmann</w:t>
            </w:r>
          </w:p>
        </w:tc>
        <w:tc>
          <w:tcPr>
            <w:tcW w:w="4677" w:type="dxa"/>
            <w:vAlign w:val="bottom"/>
          </w:tcPr>
          <w:p w14:paraId="077DB372"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Hussmann Ice; Speciality; Impact, Excel; Austral</w:t>
            </w:r>
          </w:p>
        </w:tc>
      </w:tr>
      <w:tr w:rsidR="00F879AF" w:rsidRPr="00F879AF" w14:paraId="648FC0FD" w14:textId="77777777" w:rsidTr="0028109D">
        <w:tc>
          <w:tcPr>
            <w:tcW w:w="3715" w:type="dxa"/>
            <w:vAlign w:val="bottom"/>
          </w:tcPr>
          <w:p w14:paraId="1F85CD1A"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Philip Smith Electrical &amp; Refrigeration</w:t>
            </w:r>
          </w:p>
        </w:tc>
        <w:tc>
          <w:tcPr>
            <w:tcW w:w="4677" w:type="dxa"/>
            <w:vAlign w:val="bottom"/>
          </w:tcPr>
          <w:p w14:paraId="6B1A21CE"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p>
        </w:tc>
      </w:tr>
      <w:tr w:rsidR="00F879AF" w:rsidRPr="00F879AF" w14:paraId="3B121287" w14:textId="77777777" w:rsidTr="0028109D">
        <w:tc>
          <w:tcPr>
            <w:tcW w:w="3715" w:type="dxa"/>
            <w:vAlign w:val="bottom"/>
          </w:tcPr>
          <w:p w14:paraId="79EB8C23"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Refrigeration Consulting Ltd</w:t>
            </w:r>
          </w:p>
        </w:tc>
        <w:tc>
          <w:tcPr>
            <w:tcW w:w="4677" w:type="dxa"/>
            <w:vAlign w:val="bottom"/>
          </w:tcPr>
          <w:p w14:paraId="5C6C1FF0"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p>
        </w:tc>
      </w:tr>
      <w:tr w:rsidR="00F879AF" w:rsidRPr="00F879AF" w14:paraId="30FBD3AF" w14:textId="77777777" w:rsidTr="0028109D">
        <w:tc>
          <w:tcPr>
            <w:tcW w:w="3715" w:type="dxa"/>
            <w:vAlign w:val="center"/>
          </w:tcPr>
          <w:p w14:paraId="3F5DA4CD"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Refrigerated Displays Ltd</w:t>
            </w:r>
          </w:p>
        </w:tc>
        <w:tc>
          <w:tcPr>
            <w:tcW w:w="4677" w:type="dxa"/>
            <w:vAlign w:val="center"/>
          </w:tcPr>
          <w:p w14:paraId="06882B8F"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p>
        </w:tc>
      </w:tr>
      <w:tr w:rsidR="00F879AF" w:rsidRPr="00F879AF" w14:paraId="7EE0A9D6" w14:textId="77777777" w:rsidTr="0028109D">
        <w:tc>
          <w:tcPr>
            <w:tcW w:w="3715" w:type="dxa"/>
            <w:vAlign w:val="bottom"/>
          </w:tcPr>
          <w:p w14:paraId="47F4A608"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Skope Industries Ltd</w:t>
            </w:r>
          </w:p>
        </w:tc>
        <w:tc>
          <w:tcPr>
            <w:tcW w:w="4677" w:type="dxa"/>
            <w:vAlign w:val="bottom"/>
          </w:tcPr>
          <w:p w14:paraId="0F92695C"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SKOPE</w:t>
            </w:r>
          </w:p>
        </w:tc>
      </w:tr>
      <w:tr w:rsidR="00F879AF" w:rsidRPr="00F879AF" w14:paraId="65374A95" w14:textId="77777777" w:rsidTr="0028109D">
        <w:tc>
          <w:tcPr>
            <w:tcW w:w="3715" w:type="dxa"/>
            <w:vAlign w:val="bottom"/>
          </w:tcPr>
          <w:p w14:paraId="0BE07886"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Southern Hospitality Ltd</w:t>
            </w:r>
          </w:p>
        </w:tc>
        <w:tc>
          <w:tcPr>
            <w:tcW w:w="4677" w:type="dxa"/>
            <w:vAlign w:val="bottom"/>
          </w:tcPr>
          <w:p w14:paraId="3D7C50DF"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Cossiga, Delta, EuroChill, Festive, Mafirol, Mercatus, Skope</w:t>
            </w:r>
          </w:p>
        </w:tc>
      </w:tr>
      <w:tr w:rsidR="00F879AF" w:rsidRPr="00F879AF" w14:paraId="6E634814" w14:textId="77777777" w:rsidTr="0028109D">
        <w:tc>
          <w:tcPr>
            <w:tcW w:w="3715" w:type="dxa"/>
            <w:vAlign w:val="bottom"/>
          </w:tcPr>
          <w:p w14:paraId="15353296"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Stainless Kitchens Pacific Ltd</w:t>
            </w:r>
          </w:p>
        </w:tc>
        <w:tc>
          <w:tcPr>
            <w:tcW w:w="4677" w:type="dxa"/>
            <w:vAlign w:val="bottom"/>
          </w:tcPr>
          <w:p w14:paraId="34E27305"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p>
        </w:tc>
      </w:tr>
      <w:tr w:rsidR="00F879AF" w:rsidRPr="00F879AF" w14:paraId="72585C30" w14:textId="77777777" w:rsidTr="0028109D">
        <w:tc>
          <w:tcPr>
            <w:tcW w:w="3715" w:type="dxa"/>
            <w:vAlign w:val="bottom"/>
          </w:tcPr>
          <w:p w14:paraId="71D1091F"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Technicool</w:t>
            </w:r>
          </w:p>
        </w:tc>
        <w:tc>
          <w:tcPr>
            <w:tcW w:w="4677" w:type="dxa"/>
            <w:vAlign w:val="bottom"/>
          </w:tcPr>
          <w:p w14:paraId="7B57CCCA"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p>
        </w:tc>
      </w:tr>
      <w:tr w:rsidR="00F879AF" w:rsidRPr="00F879AF" w14:paraId="15990EB2" w14:textId="77777777" w:rsidTr="0028109D">
        <w:tc>
          <w:tcPr>
            <w:tcW w:w="3715" w:type="dxa"/>
            <w:vAlign w:val="bottom"/>
          </w:tcPr>
          <w:p w14:paraId="42D5928D"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Temprite Refrigeration Auckland Ltd</w:t>
            </w:r>
          </w:p>
        </w:tc>
        <w:tc>
          <w:tcPr>
            <w:tcW w:w="4677" w:type="dxa"/>
            <w:vAlign w:val="bottom"/>
          </w:tcPr>
          <w:p w14:paraId="16640178"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p>
        </w:tc>
      </w:tr>
      <w:tr w:rsidR="00F879AF" w:rsidRPr="00F879AF" w14:paraId="11DD7F0D" w14:textId="77777777" w:rsidTr="0028109D">
        <w:tc>
          <w:tcPr>
            <w:tcW w:w="3715" w:type="dxa"/>
            <w:vAlign w:val="center"/>
          </w:tcPr>
          <w:p w14:paraId="2BD57BB0"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 xml:space="preserve">Thompson’s refrigeration &amp; Air conditioning. </w:t>
            </w:r>
          </w:p>
        </w:tc>
        <w:tc>
          <w:tcPr>
            <w:tcW w:w="4677" w:type="dxa"/>
            <w:vAlign w:val="center"/>
          </w:tcPr>
          <w:p w14:paraId="37F6CB2E"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p>
        </w:tc>
      </w:tr>
    </w:tbl>
    <w:p w14:paraId="795FD94E" w14:textId="77777777" w:rsidR="00F879AF" w:rsidRPr="00F879AF" w:rsidRDefault="00F879AF" w:rsidP="00F879AF">
      <w:pPr>
        <w:jc w:val="both"/>
        <w:rPr>
          <w:sz w:val="18"/>
          <w:szCs w:val="18"/>
        </w:rPr>
      </w:pPr>
    </w:p>
    <w:p w14:paraId="6D207F64" w14:textId="77777777" w:rsidR="00F879AF" w:rsidRPr="00F879AF" w:rsidRDefault="00F879AF" w:rsidP="00F879AF">
      <w:pPr>
        <w:pStyle w:val="E3Heading4"/>
      </w:pPr>
      <w:bookmarkStart w:id="495" w:name="_Toc447533642"/>
      <w:r w:rsidRPr="00F879AF">
        <w:t>Businesses in New Zealand that import refrigerated equipment</w:t>
      </w:r>
      <w:bookmarkEnd w:id="495"/>
      <w:r w:rsidRPr="00F879AF">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4677"/>
      </w:tblGrid>
      <w:tr w:rsidR="00F879AF" w:rsidRPr="00F879AF" w14:paraId="48B9406E" w14:textId="77777777" w:rsidTr="00E50722">
        <w:trPr>
          <w:tblHeader/>
        </w:trPr>
        <w:tc>
          <w:tcPr>
            <w:tcW w:w="3715" w:type="dxa"/>
            <w:shd w:val="clear" w:color="auto" w:fill="0C0C0C"/>
            <w:vAlign w:val="center"/>
          </w:tcPr>
          <w:p w14:paraId="12C41B7D"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Distributor</w:t>
            </w:r>
          </w:p>
        </w:tc>
        <w:tc>
          <w:tcPr>
            <w:tcW w:w="4677" w:type="dxa"/>
            <w:shd w:val="clear" w:color="auto" w:fill="0C0C0C"/>
            <w:vAlign w:val="center"/>
          </w:tcPr>
          <w:p w14:paraId="085F3D24"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sz w:val="15"/>
                <w:szCs w:val="14"/>
              </w:rPr>
              <w:t>Brands include</w:t>
            </w:r>
          </w:p>
        </w:tc>
      </w:tr>
      <w:tr w:rsidR="00F879AF" w:rsidRPr="00F879AF" w14:paraId="7B93C054" w14:textId="77777777" w:rsidTr="0028109D">
        <w:tc>
          <w:tcPr>
            <w:tcW w:w="3715" w:type="dxa"/>
            <w:vAlign w:val="center"/>
          </w:tcPr>
          <w:p w14:paraId="05E99834"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ARE Services Ltd</w:t>
            </w:r>
          </w:p>
        </w:tc>
        <w:tc>
          <w:tcPr>
            <w:tcW w:w="4677" w:type="dxa"/>
            <w:vAlign w:val="center"/>
          </w:tcPr>
          <w:p w14:paraId="6D80A701"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p>
        </w:tc>
      </w:tr>
      <w:tr w:rsidR="00F879AF" w:rsidRPr="00F879AF" w14:paraId="3A05D6A2" w14:textId="77777777" w:rsidTr="0028109D">
        <w:tc>
          <w:tcPr>
            <w:tcW w:w="3715" w:type="dxa"/>
            <w:vAlign w:val="center"/>
          </w:tcPr>
          <w:p w14:paraId="6E46572A"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Absolute Control</w:t>
            </w:r>
          </w:p>
        </w:tc>
        <w:tc>
          <w:tcPr>
            <w:tcW w:w="4677" w:type="dxa"/>
            <w:vAlign w:val="center"/>
          </w:tcPr>
          <w:p w14:paraId="1B8AE1D1"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Dellware, Unifrigor, Interfridge, Sanyo, Tefcold, AHT Rio, ISA, Sevel, Scaiola, Oscartielle, Austral</w:t>
            </w:r>
          </w:p>
        </w:tc>
      </w:tr>
      <w:tr w:rsidR="00F879AF" w:rsidRPr="00F879AF" w14:paraId="018C165D" w14:textId="77777777" w:rsidTr="0028109D">
        <w:tc>
          <w:tcPr>
            <w:tcW w:w="3715" w:type="dxa"/>
            <w:vAlign w:val="center"/>
          </w:tcPr>
          <w:p w14:paraId="0D07D82D"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Aitkens Hospitality Solutions</w:t>
            </w:r>
          </w:p>
        </w:tc>
        <w:tc>
          <w:tcPr>
            <w:tcW w:w="4677" w:type="dxa"/>
            <w:vAlign w:val="center"/>
          </w:tcPr>
          <w:p w14:paraId="00FCE93A"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 xml:space="preserve">Skope, Turbo Air, FPG, </w:t>
            </w:r>
          </w:p>
        </w:tc>
      </w:tr>
      <w:tr w:rsidR="00F879AF" w:rsidRPr="00F879AF" w14:paraId="69758343" w14:textId="77777777" w:rsidTr="0028109D">
        <w:tc>
          <w:tcPr>
            <w:tcW w:w="3715" w:type="dxa"/>
            <w:vAlign w:val="center"/>
          </w:tcPr>
          <w:p w14:paraId="76429B6A"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color w:val="000000"/>
                <w:sz w:val="15"/>
                <w:szCs w:val="14"/>
              </w:rPr>
              <w:t>Arrow Refrigeration</w:t>
            </w:r>
          </w:p>
        </w:tc>
        <w:tc>
          <w:tcPr>
            <w:tcW w:w="4677" w:type="dxa"/>
            <w:vAlign w:val="center"/>
          </w:tcPr>
          <w:p w14:paraId="74512E98"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color w:val="000000"/>
                <w:sz w:val="15"/>
                <w:szCs w:val="14"/>
              </w:rPr>
              <w:t>Bonnet Neve, Framec, Liebherr, Mondial</w:t>
            </w:r>
          </w:p>
        </w:tc>
      </w:tr>
      <w:tr w:rsidR="00F879AF" w:rsidRPr="00F879AF" w14:paraId="0EFFE86B" w14:textId="77777777" w:rsidTr="0028109D">
        <w:tc>
          <w:tcPr>
            <w:tcW w:w="3715" w:type="dxa"/>
            <w:vAlign w:val="center"/>
          </w:tcPr>
          <w:p w14:paraId="5C399FE4"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Blue Ribbon</w:t>
            </w:r>
          </w:p>
        </w:tc>
        <w:tc>
          <w:tcPr>
            <w:tcW w:w="4677" w:type="dxa"/>
            <w:vAlign w:val="center"/>
          </w:tcPr>
          <w:p w14:paraId="29B7E604"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Frigrite, Dellware, Exquisite</w:t>
            </w:r>
          </w:p>
        </w:tc>
      </w:tr>
      <w:tr w:rsidR="00F879AF" w:rsidRPr="00F879AF" w14:paraId="7008D6BE" w14:textId="77777777" w:rsidTr="0028109D">
        <w:tc>
          <w:tcPr>
            <w:tcW w:w="3715" w:type="dxa"/>
            <w:vAlign w:val="center"/>
          </w:tcPr>
          <w:p w14:paraId="0A8416DC"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BrianMillen Auctions</w:t>
            </w:r>
          </w:p>
        </w:tc>
        <w:tc>
          <w:tcPr>
            <w:tcW w:w="4677" w:type="dxa"/>
            <w:vAlign w:val="center"/>
          </w:tcPr>
          <w:p w14:paraId="086D9C10"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Skope, Electrolux, Alpeninox</w:t>
            </w:r>
          </w:p>
        </w:tc>
      </w:tr>
      <w:tr w:rsidR="00F879AF" w:rsidRPr="00F879AF" w14:paraId="74F0C528" w14:textId="77777777" w:rsidTr="0028109D">
        <w:tc>
          <w:tcPr>
            <w:tcW w:w="3715" w:type="dxa"/>
            <w:vAlign w:val="center"/>
          </w:tcPr>
          <w:p w14:paraId="1E233B6D"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Catering Hardware Ltd</w:t>
            </w:r>
          </w:p>
        </w:tc>
        <w:tc>
          <w:tcPr>
            <w:tcW w:w="4677" w:type="dxa"/>
            <w:vAlign w:val="center"/>
          </w:tcPr>
          <w:p w14:paraId="48AB7693"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Kayman, Bellevista, FED, Thermaster, Skope</w:t>
            </w:r>
          </w:p>
        </w:tc>
      </w:tr>
      <w:tr w:rsidR="00F879AF" w:rsidRPr="00F879AF" w14:paraId="40F307B3" w14:textId="77777777" w:rsidTr="0028109D">
        <w:tc>
          <w:tcPr>
            <w:tcW w:w="3715" w:type="dxa"/>
            <w:vAlign w:val="center"/>
          </w:tcPr>
          <w:p w14:paraId="53C894FA"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Choice Catering Equipment Ltd</w:t>
            </w:r>
          </w:p>
        </w:tc>
        <w:tc>
          <w:tcPr>
            <w:tcW w:w="4677" w:type="dxa"/>
            <w:vAlign w:val="center"/>
          </w:tcPr>
          <w:p w14:paraId="510827FD"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 xml:space="preserve">Skope, Electrolux, Polar, </w:t>
            </w:r>
          </w:p>
        </w:tc>
      </w:tr>
      <w:tr w:rsidR="00F879AF" w:rsidRPr="00F879AF" w14:paraId="77F638DE" w14:textId="77777777" w:rsidTr="0028109D">
        <w:tc>
          <w:tcPr>
            <w:tcW w:w="3715" w:type="dxa"/>
            <w:vAlign w:val="center"/>
          </w:tcPr>
          <w:p w14:paraId="467B425B"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lastRenderedPageBreak/>
              <w:t>Coca Cola</w:t>
            </w:r>
          </w:p>
        </w:tc>
        <w:tc>
          <w:tcPr>
            <w:tcW w:w="4677" w:type="dxa"/>
            <w:vAlign w:val="center"/>
          </w:tcPr>
          <w:p w14:paraId="01AD7F38"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Coca Cola</w:t>
            </w:r>
          </w:p>
        </w:tc>
      </w:tr>
      <w:tr w:rsidR="00F879AF" w:rsidRPr="00F879AF" w14:paraId="0CBBA49A" w14:textId="77777777" w:rsidTr="0028109D">
        <w:tc>
          <w:tcPr>
            <w:tcW w:w="3715" w:type="dxa"/>
            <w:vAlign w:val="center"/>
          </w:tcPr>
          <w:p w14:paraId="3BF09F54"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CoSell Commercial refrigeration Solutions</w:t>
            </w:r>
          </w:p>
        </w:tc>
        <w:tc>
          <w:tcPr>
            <w:tcW w:w="4677" w:type="dxa"/>
            <w:vAlign w:val="center"/>
          </w:tcPr>
          <w:p w14:paraId="191D1BAE"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 xml:space="preserve">Frigrite, </w:t>
            </w:r>
          </w:p>
        </w:tc>
      </w:tr>
      <w:tr w:rsidR="00F879AF" w:rsidRPr="00F879AF" w14:paraId="532B0063" w14:textId="77777777" w:rsidTr="0028109D">
        <w:tc>
          <w:tcPr>
            <w:tcW w:w="3715" w:type="dxa"/>
            <w:vAlign w:val="center"/>
          </w:tcPr>
          <w:p w14:paraId="15A658E0"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color w:val="000000"/>
                <w:sz w:val="15"/>
                <w:szCs w:val="14"/>
              </w:rPr>
              <w:t>Cowley Refrigeration Ltd/Interfridge</w:t>
            </w:r>
          </w:p>
        </w:tc>
        <w:tc>
          <w:tcPr>
            <w:tcW w:w="4677" w:type="dxa"/>
            <w:vAlign w:val="center"/>
          </w:tcPr>
          <w:p w14:paraId="29AC544E"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color w:val="000000"/>
                <w:sz w:val="15"/>
                <w:szCs w:val="14"/>
              </w:rPr>
              <w:t xml:space="preserve">AHT, Tefcold, Staycold, Luckdr, Sanyo, Interfridge, De Rigo, Coolhead, </w:t>
            </w:r>
          </w:p>
        </w:tc>
      </w:tr>
      <w:tr w:rsidR="00F879AF" w:rsidRPr="00F879AF" w14:paraId="0555052D" w14:textId="77777777" w:rsidTr="0028109D">
        <w:tc>
          <w:tcPr>
            <w:tcW w:w="3715" w:type="dxa"/>
            <w:vAlign w:val="center"/>
          </w:tcPr>
          <w:p w14:paraId="33BABDD1"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Ecochill</w:t>
            </w:r>
          </w:p>
        </w:tc>
        <w:tc>
          <w:tcPr>
            <w:tcW w:w="4677" w:type="dxa"/>
            <w:vAlign w:val="center"/>
          </w:tcPr>
          <w:p w14:paraId="1E10CB54"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Afinox, Arneg, Incold, Oscartielle</w:t>
            </w:r>
          </w:p>
        </w:tc>
      </w:tr>
      <w:tr w:rsidR="00F879AF" w:rsidRPr="00F879AF" w14:paraId="0902DE39" w14:textId="77777777" w:rsidTr="0028109D">
        <w:tc>
          <w:tcPr>
            <w:tcW w:w="3715" w:type="dxa"/>
            <w:vAlign w:val="center"/>
          </w:tcPr>
          <w:p w14:paraId="29B4308B"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FEDeral Hospitality Equipment</w:t>
            </w:r>
          </w:p>
        </w:tc>
        <w:tc>
          <w:tcPr>
            <w:tcW w:w="4677" w:type="dxa"/>
            <w:vAlign w:val="center"/>
          </w:tcPr>
          <w:p w14:paraId="00B709E2"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Grand,</w:t>
            </w:r>
          </w:p>
        </w:tc>
      </w:tr>
      <w:tr w:rsidR="00F879AF" w:rsidRPr="00F879AF" w14:paraId="58FC3D5C" w14:textId="77777777" w:rsidTr="0028109D">
        <w:tc>
          <w:tcPr>
            <w:tcW w:w="3715" w:type="dxa"/>
            <w:vAlign w:val="center"/>
          </w:tcPr>
          <w:p w14:paraId="4E13F03F"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FridgeFreezer</w:t>
            </w:r>
          </w:p>
        </w:tc>
        <w:tc>
          <w:tcPr>
            <w:tcW w:w="4677" w:type="dxa"/>
            <w:vAlign w:val="center"/>
          </w:tcPr>
          <w:p w14:paraId="6DF4876C"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Skope</w:t>
            </w:r>
          </w:p>
        </w:tc>
      </w:tr>
      <w:tr w:rsidR="00F879AF" w:rsidRPr="00F879AF" w14:paraId="683EEB7A" w14:textId="77777777" w:rsidTr="0028109D">
        <w:tc>
          <w:tcPr>
            <w:tcW w:w="3715" w:type="dxa"/>
            <w:vAlign w:val="center"/>
          </w:tcPr>
          <w:p w14:paraId="5FCAC777"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color w:val="000000"/>
                <w:sz w:val="15"/>
                <w:szCs w:val="14"/>
              </w:rPr>
              <w:t>Frigie King Ltd</w:t>
            </w:r>
          </w:p>
        </w:tc>
        <w:tc>
          <w:tcPr>
            <w:tcW w:w="4677" w:type="dxa"/>
            <w:vAlign w:val="center"/>
          </w:tcPr>
          <w:p w14:paraId="0153004B" w14:textId="77777777" w:rsidR="00F879AF" w:rsidRPr="00F879AF" w:rsidRDefault="00F879AF" w:rsidP="00F879AF">
            <w:pPr>
              <w:spacing w:before="60" w:after="60" w:line="240" w:lineRule="auto"/>
              <w:rPr>
                <w:rFonts w:ascii="Helvetica" w:eastAsia="Times New Roman" w:hAnsi="Helvetica" w:cs="Helvetica"/>
                <w:b/>
                <w:sz w:val="15"/>
                <w:szCs w:val="14"/>
              </w:rPr>
            </w:pPr>
          </w:p>
        </w:tc>
      </w:tr>
      <w:tr w:rsidR="00F879AF" w:rsidRPr="00F879AF" w14:paraId="3ACD553C" w14:textId="77777777" w:rsidTr="0028109D">
        <w:tc>
          <w:tcPr>
            <w:tcW w:w="3715" w:type="dxa"/>
            <w:vAlign w:val="center"/>
          </w:tcPr>
          <w:p w14:paraId="50DC83EF"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Frozen Napoleon</w:t>
            </w:r>
          </w:p>
        </w:tc>
        <w:tc>
          <w:tcPr>
            <w:tcW w:w="4677" w:type="dxa"/>
            <w:vAlign w:val="center"/>
          </w:tcPr>
          <w:p w14:paraId="36BE3A3F" w14:textId="77777777" w:rsidR="00F879AF" w:rsidRPr="00F879AF" w:rsidRDefault="00F879AF" w:rsidP="00F879AF">
            <w:pPr>
              <w:spacing w:before="60" w:after="60" w:line="240" w:lineRule="auto"/>
              <w:rPr>
                <w:rFonts w:ascii="Helvetica" w:eastAsia="Times New Roman" w:hAnsi="Helvetica" w:cs="Helvetica"/>
                <w:b/>
                <w:sz w:val="15"/>
                <w:szCs w:val="14"/>
              </w:rPr>
            </w:pPr>
          </w:p>
        </w:tc>
      </w:tr>
      <w:tr w:rsidR="00F879AF" w:rsidRPr="00F879AF" w14:paraId="48200708" w14:textId="77777777" w:rsidTr="0028109D">
        <w:tc>
          <w:tcPr>
            <w:tcW w:w="3715" w:type="dxa"/>
            <w:vAlign w:val="center"/>
          </w:tcPr>
          <w:p w14:paraId="724BAA2C"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Happy Kiwi Shop</w:t>
            </w:r>
          </w:p>
        </w:tc>
        <w:tc>
          <w:tcPr>
            <w:tcW w:w="4677" w:type="dxa"/>
            <w:vAlign w:val="center"/>
          </w:tcPr>
          <w:p w14:paraId="5BCC4FD8"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p>
        </w:tc>
      </w:tr>
      <w:tr w:rsidR="00F879AF" w:rsidRPr="00F879AF" w14:paraId="190B772B" w14:textId="77777777" w:rsidTr="0028109D">
        <w:tc>
          <w:tcPr>
            <w:tcW w:w="3715" w:type="dxa"/>
            <w:vAlign w:val="center"/>
          </w:tcPr>
          <w:p w14:paraId="0FBA9786"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Hardy trade</w:t>
            </w:r>
          </w:p>
        </w:tc>
        <w:tc>
          <w:tcPr>
            <w:tcW w:w="4677" w:type="dxa"/>
            <w:vAlign w:val="center"/>
          </w:tcPr>
          <w:p w14:paraId="0453AC73"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Festivé</w:t>
            </w:r>
          </w:p>
        </w:tc>
      </w:tr>
      <w:tr w:rsidR="00F879AF" w:rsidRPr="00F879AF" w14:paraId="3E29EC1C" w14:textId="77777777" w:rsidTr="0028109D">
        <w:tc>
          <w:tcPr>
            <w:tcW w:w="3715" w:type="dxa"/>
            <w:vAlign w:val="center"/>
          </w:tcPr>
          <w:p w14:paraId="67E779B8"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Heatcraft</w:t>
            </w:r>
          </w:p>
        </w:tc>
        <w:tc>
          <w:tcPr>
            <w:tcW w:w="4677" w:type="dxa"/>
            <w:vAlign w:val="center"/>
          </w:tcPr>
          <w:p w14:paraId="36358486"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p>
        </w:tc>
      </w:tr>
      <w:tr w:rsidR="00F879AF" w:rsidRPr="00F879AF" w14:paraId="5BBDAA27" w14:textId="77777777" w:rsidTr="0028109D">
        <w:tc>
          <w:tcPr>
            <w:tcW w:w="3715" w:type="dxa"/>
            <w:vAlign w:val="center"/>
          </w:tcPr>
          <w:p w14:paraId="6953C96F"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Hitchon International/ TomaQ</w:t>
            </w:r>
          </w:p>
        </w:tc>
        <w:tc>
          <w:tcPr>
            <w:tcW w:w="4677" w:type="dxa"/>
            <w:vAlign w:val="center"/>
          </w:tcPr>
          <w:p w14:paraId="4E638A4E"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Firscool, Dukers,</w:t>
            </w:r>
          </w:p>
        </w:tc>
      </w:tr>
      <w:tr w:rsidR="00F879AF" w:rsidRPr="00F879AF" w14:paraId="7B6F4B00" w14:textId="77777777" w:rsidTr="0028109D">
        <w:tc>
          <w:tcPr>
            <w:tcW w:w="3715" w:type="dxa"/>
            <w:vAlign w:val="center"/>
          </w:tcPr>
          <w:p w14:paraId="16356F84"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color w:val="000000"/>
                <w:sz w:val="15"/>
                <w:szCs w:val="14"/>
              </w:rPr>
              <w:t>Honar Refrigeration</w:t>
            </w:r>
          </w:p>
        </w:tc>
        <w:tc>
          <w:tcPr>
            <w:tcW w:w="4677" w:type="dxa"/>
            <w:vAlign w:val="center"/>
          </w:tcPr>
          <w:p w14:paraId="1B03CA29"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color w:val="000000"/>
                <w:sz w:val="15"/>
                <w:szCs w:val="14"/>
              </w:rPr>
              <w:t xml:space="preserve">Apollo, Honar, Pesso </w:t>
            </w:r>
          </w:p>
        </w:tc>
      </w:tr>
      <w:tr w:rsidR="00F879AF" w:rsidRPr="00F879AF" w14:paraId="497CD30B" w14:textId="77777777" w:rsidTr="0028109D">
        <w:tc>
          <w:tcPr>
            <w:tcW w:w="3715" w:type="dxa"/>
            <w:vAlign w:val="center"/>
          </w:tcPr>
          <w:p w14:paraId="779D4378"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color w:val="000000"/>
                <w:sz w:val="15"/>
                <w:szCs w:val="14"/>
              </w:rPr>
              <w:t>Impact Refrigeration</w:t>
            </w:r>
          </w:p>
        </w:tc>
        <w:tc>
          <w:tcPr>
            <w:tcW w:w="4677" w:type="dxa"/>
            <w:vAlign w:val="center"/>
          </w:tcPr>
          <w:p w14:paraId="67325830"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 xml:space="preserve">Framec, Husky, Jordao, </w:t>
            </w:r>
          </w:p>
          <w:p w14:paraId="116E248C"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color w:val="000000"/>
                <w:sz w:val="15"/>
                <w:szCs w:val="14"/>
              </w:rPr>
              <w:t xml:space="preserve">Sanden, Skope, Vestfrost, </w:t>
            </w:r>
          </w:p>
        </w:tc>
      </w:tr>
      <w:tr w:rsidR="00F879AF" w:rsidRPr="00F879AF" w14:paraId="51CC147F" w14:textId="77777777" w:rsidTr="0028109D">
        <w:tc>
          <w:tcPr>
            <w:tcW w:w="3715" w:type="dxa"/>
            <w:vAlign w:val="center"/>
          </w:tcPr>
          <w:p w14:paraId="54B93213"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KeriRefrigeration Ltd</w:t>
            </w:r>
          </w:p>
        </w:tc>
        <w:tc>
          <w:tcPr>
            <w:tcW w:w="4677" w:type="dxa"/>
            <w:vAlign w:val="center"/>
          </w:tcPr>
          <w:p w14:paraId="5FC2DE03"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 xml:space="preserve">Orford, </w:t>
            </w:r>
          </w:p>
        </w:tc>
      </w:tr>
      <w:tr w:rsidR="00F879AF" w:rsidRPr="00F879AF" w14:paraId="6CA94516" w14:textId="77777777" w:rsidTr="0028109D">
        <w:tc>
          <w:tcPr>
            <w:tcW w:w="3715" w:type="dxa"/>
            <w:vAlign w:val="center"/>
          </w:tcPr>
          <w:p w14:paraId="1D3B2C32"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LKK Food Equipment Ltd</w:t>
            </w:r>
          </w:p>
        </w:tc>
        <w:tc>
          <w:tcPr>
            <w:tcW w:w="4677" w:type="dxa"/>
            <w:vAlign w:val="center"/>
          </w:tcPr>
          <w:p w14:paraId="021B4EC3"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Berjaya</w:t>
            </w:r>
          </w:p>
        </w:tc>
      </w:tr>
      <w:tr w:rsidR="00F879AF" w:rsidRPr="00F879AF" w14:paraId="2387DEFC" w14:textId="77777777" w:rsidTr="0028109D">
        <w:tc>
          <w:tcPr>
            <w:tcW w:w="3715" w:type="dxa"/>
            <w:vAlign w:val="center"/>
          </w:tcPr>
          <w:p w14:paraId="34CC4A51"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Majors group</w:t>
            </w:r>
          </w:p>
        </w:tc>
        <w:tc>
          <w:tcPr>
            <w:tcW w:w="4677" w:type="dxa"/>
            <w:vAlign w:val="center"/>
          </w:tcPr>
          <w:p w14:paraId="1C4BD06E"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ISA, Carpigiani, Technogel, Tekna, Compacta, Gemm, Rubicone, Sencotel, Silikomart, Gelmatic</w:t>
            </w:r>
          </w:p>
        </w:tc>
      </w:tr>
      <w:tr w:rsidR="00F879AF" w:rsidRPr="00F879AF" w14:paraId="0B335E28" w14:textId="77777777" w:rsidTr="0028109D">
        <w:tc>
          <w:tcPr>
            <w:tcW w:w="3715" w:type="dxa"/>
            <w:vAlign w:val="center"/>
          </w:tcPr>
          <w:p w14:paraId="2E8226EA"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Midway catering Equipment</w:t>
            </w:r>
          </w:p>
        </w:tc>
        <w:tc>
          <w:tcPr>
            <w:tcW w:w="4677" w:type="dxa"/>
            <w:vAlign w:val="center"/>
          </w:tcPr>
          <w:p w14:paraId="521BAFC8"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Festivé, Bellavista, Frigrite</w:t>
            </w:r>
          </w:p>
        </w:tc>
      </w:tr>
      <w:tr w:rsidR="00F879AF" w:rsidRPr="00F879AF" w14:paraId="0DEFBB36" w14:textId="77777777" w:rsidTr="0028109D">
        <w:tc>
          <w:tcPr>
            <w:tcW w:w="3715" w:type="dxa"/>
            <w:vAlign w:val="center"/>
          </w:tcPr>
          <w:p w14:paraId="4CAFD77B"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Refrigerated Cabinet Sales</w:t>
            </w:r>
          </w:p>
        </w:tc>
        <w:tc>
          <w:tcPr>
            <w:tcW w:w="4677" w:type="dxa"/>
            <w:vAlign w:val="center"/>
          </w:tcPr>
          <w:p w14:paraId="10EA774F"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Amatis, Apollo, Arneg, Bahia, Beverage Air, Bonnet Neve, Carrier/Linde, CoolHead, Dellware,  De Rigo, EXPO, Exquisite, Framec, Frigrite, IARP, ICCOLD, ISA, Kalanar, Mafirol, Mercan, Mini Bali, Oscartielle, Procool, Skope, Staycold, Tyler, Verco</w:t>
            </w:r>
          </w:p>
        </w:tc>
      </w:tr>
      <w:tr w:rsidR="00F879AF" w:rsidRPr="00F879AF" w14:paraId="57589283" w14:textId="77777777" w:rsidTr="0028109D">
        <w:tc>
          <w:tcPr>
            <w:tcW w:w="3715" w:type="dxa"/>
            <w:vAlign w:val="center"/>
          </w:tcPr>
          <w:p w14:paraId="40EDD238"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SaveBarn</w:t>
            </w:r>
          </w:p>
        </w:tc>
        <w:tc>
          <w:tcPr>
            <w:tcW w:w="4677" w:type="dxa"/>
            <w:vAlign w:val="center"/>
          </w:tcPr>
          <w:p w14:paraId="7EA692BF"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 xml:space="preserve">CaterChill, </w:t>
            </w:r>
          </w:p>
        </w:tc>
      </w:tr>
      <w:tr w:rsidR="00F879AF" w:rsidRPr="00F879AF" w14:paraId="21516F24" w14:textId="77777777" w:rsidTr="0028109D">
        <w:tc>
          <w:tcPr>
            <w:tcW w:w="3715" w:type="dxa"/>
            <w:vAlign w:val="center"/>
          </w:tcPr>
          <w:p w14:paraId="7BF97F6E"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Southern Chill</w:t>
            </w:r>
          </w:p>
        </w:tc>
        <w:tc>
          <w:tcPr>
            <w:tcW w:w="4677" w:type="dxa"/>
            <w:vAlign w:val="center"/>
          </w:tcPr>
          <w:p w14:paraId="2D9AA8FB"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 xml:space="preserve">Glacier, Caravell, FPG, Skope, Tefcold, Cossiga, </w:t>
            </w:r>
          </w:p>
        </w:tc>
      </w:tr>
      <w:tr w:rsidR="00F879AF" w:rsidRPr="00F879AF" w14:paraId="66C0FBBB" w14:textId="77777777" w:rsidTr="0028109D">
        <w:tc>
          <w:tcPr>
            <w:tcW w:w="3715" w:type="dxa"/>
            <w:vAlign w:val="center"/>
          </w:tcPr>
          <w:p w14:paraId="4C217645" w14:textId="77777777" w:rsidR="00F879AF" w:rsidRPr="00F879AF" w:rsidRDefault="00F879AF" w:rsidP="00F879AF">
            <w:pPr>
              <w:spacing w:before="60" w:after="60" w:line="240" w:lineRule="auto"/>
              <w:rPr>
                <w:rFonts w:ascii="Helvetica" w:eastAsia="Times New Roman" w:hAnsi="Helvetica" w:cs="Helvetica"/>
                <w:b/>
                <w:sz w:val="15"/>
                <w:szCs w:val="14"/>
              </w:rPr>
            </w:pPr>
            <w:r w:rsidRPr="00F879AF">
              <w:rPr>
                <w:rFonts w:ascii="Helvetica" w:eastAsia="Times New Roman" w:hAnsi="Helvetica" w:cs="Helvetica"/>
                <w:b/>
                <w:color w:val="000000"/>
                <w:sz w:val="15"/>
                <w:szCs w:val="14"/>
              </w:rPr>
              <w:t>Surplus Brokers Ltd</w:t>
            </w:r>
          </w:p>
        </w:tc>
        <w:tc>
          <w:tcPr>
            <w:tcW w:w="4677" w:type="dxa"/>
            <w:vAlign w:val="center"/>
          </w:tcPr>
          <w:p w14:paraId="3AC305C4" w14:textId="77777777" w:rsidR="00F879AF" w:rsidRPr="00F879AF" w:rsidRDefault="00F879AF" w:rsidP="00F879AF">
            <w:pPr>
              <w:spacing w:before="60" w:after="60" w:line="240" w:lineRule="auto"/>
              <w:rPr>
                <w:rFonts w:ascii="Helvetica" w:eastAsia="Times New Roman" w:hAnsi="Helvetica" w:cs="Helvetica"/>
                <w:b/>
                <w:sz w:val="15"/>
                <w:szCs w:val="14"/>
              </w:rPr>
            </w:pPr>
          </w:p>
        </w:tc>
      </w:tr>
      <w:tr w:rsidR="00F879AF" w:rsidRPr="00F879AF" w14:paraId="7CEC2F15" w14:textId="77777777" w:rsidTr="0028109D">
        <w:tc>
          <w:tcPr>
            <w:tcW w:w="3715" w:type="dxa"/>
            <w:vAlign w:val="center"/>
          </w:tcPr>
          <w:p w14:paraId="1486125F"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Temperature Solutions Ltd</w:t>
            </w:r>
          </w:p>
        </w:tc>
        <w:tc>
          <w:tcPr>
            <w:tcW w:w="4677" w:type="dxa"/>
            <w:vAlign w:val="center"/>
          </w:tcPr>
          <w:p w14:paraId="767B8D64"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p>
        </w:tc>
      </w:tr>
      <w:tr w:rsidR="00F879AF" w:rsidRPr="00F879AF" w14:paraId="225ADF95" w14:textId="77777777" w:rsidTr="0028109D">
        <w:tc>
          <w:tcPr>
            <w:tcW w:w="3715" w:type="dxa"/>
            <w:tcBorders>
              <w:top w:val="single" w:sz="4" w:space="0" w:color="auto"/>
              <w:left w:val="single" w:sz="4" w:space="0" w:color="auto"/>
              <w:bottom w:val="single" w:sz="4" w:space="0" w:color="auto"/>
              <w:right w:val="single" w:sz="4" w:space="0" w:color="auto"/>
            </w:tcBorders>
            <w:vAlign w:val="center"/>
          </w:tcPr>
          <w:p w14:paraId="0BD73F47"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Thermo Tech</w:t>
            </w:r>
          </w:p>
        </w:tc>
        <w:tc>
          <w:tcPr>
            <w:tcW w:w="4677" w:type="dxa"/>
            <w:tcBorders>
              <w:top w:val="single" w:sz="4" w:space="0" w:color="auto"/>
              <w:left w:val="single" w:sz="4" w:space="0" w:color="auto"/>
              <w:bottom w:val="single" w:sz="4" w:space="0" w:color="auto"/>
              <w:right w:val="single" w:sz="4" w:space="0" w:color="auto"/>
            </w:tcBorders>
            <w:vAlign w:val="center"/>
          </w:tcPr>
          <w:p w14:paraId="5BA34A01" w14:textId="77777777" w:rsidR="00F879AF" w:rsidRPr="00F879AF" w:rsidRDefault="00F879AF" w:rsidP="00F879AF">
            <w:pPr>
              <w:spacing w:before="60" w:after="60" w:line="240" w:lineRule="auto"/>
              <w:rPr>
                <w:rFonts w:ascii="Helvetica" w:eastAsia="Times New Roman" w:hAnsi="Helvetica" w:cs="Helvetica"/>
                <w:b/>
                <w:color w:val="000000"/>
                <w:sz w:val="15"/>
                <w:szCs w:val="14"/>
              </w:rPr>
            </w:pPr>
            <w:r w:rsidRPr="00F879AF">
              <w:rPr>
                <w:rFonts w:ascii="Helvetica" w:eastAsia="Times New Roman" w:hAnsi="Helvetica" w:cs="Helvetica"/>
                <w:b/>
                <w:color w:val="000000"/>
                <w:sz w:val="15"/>
                <w:szCs w:val="14"/>
              </w:rPr>
              <w:t>Vestfrost, Envichill, Envifreeze, Indigochiller, Friulinox</w:t>
            </w:r>
          </w:p>
        </w:tc>
      </w:tr>
    </w:tbl>
    <w:p w14:paraId="160C753D" w14:textId="77777777" w:rsidR="0028109D" w:rsidRDefault="0028109D" w:rsidP="00F879AF">
      <w:pPr>
        <w:pStyle w:val="E3BodyText"/>
        <w:rPr>
          <w:lang w:val="en-AU"/>
        </w:rPr>
      </w:pPr>
    </w:p>
    <w:p w14:paraId="76FA696B" w14:textId="77777777" w:rsidR="00F879AF" w:rsidRDefault="00F879AF" w:rsidP="0028109D"/>
    <w:p w14:paraId="7FAB19EA" w14:textId="77777777" w:rsidR="0028109D" w:rsidRDefault="0028109D" w:rsidP="0028109D"/>
    <w:p w14:paraId="620E2383" w14:textId="77777777" w:rsidR="0028109D" w:rsidRDefault="0028109D" w:rsidP="0028109D"/>
    <w:p w14:paraId="53753C05" w14:textId="77777777" w:rsidR="0028109D" w:rsidRDefault="0028109D" w:rsidP="0028109D"/>
    <w:p w14:paraId="538C6714" w14:textId="77777777" w:rsidR="0028109D" w:rsidRDefault="0028109D" w:rsidP="0028109D"/>
    <w:p w14:paraId="4C5B4D3F" w14:textId="77777777" w:rsidR="0028109D" w:rsidRDefault="0028109D" w:rsidP="0028109D"/>
    <w:p w14:paraId="65AF41B3" w14:textId="77777777" w:rsidR="0028109D" w:rsidRDefault="0028109D" w:rsidP="0028109D"/>
    <w:p w14:paraId="0F786BBD" w14:textId="77777777" w:rsidR="0028109D" w:rsidRDefault="0028109D" w:rsidP="0028109D"/>
    <w:p w14:paraId="19C9E0DE" w14:textId="77777777" w:rsidR="0028109D" w:rsidRDefault="0028109D" w:rsidP="0028109D"/>
    <w:p w14:paraId="70C468C1" w14:textId="77777777" w:rsidR="0028109D" w:rsidRDefault="0028109D" w:rsidP="0028109D"/>
    <w:p w14:paraId="39F3B896" w14:textId="77777777" w:rsidR="0028109D" w:rsidRDefault="0028109D" w:rsidP="0028109D"/>
    <w:p w14:paraId="55FD31BA" w14:textId="77777777" w:rsidR="0028109D" w:rsidRDefault="0028109D" w:rsidP="0028109D"/>
    <w:p w14:paraId="42470FEF" w14:textId="3C082A15" w:rsidR="0028109D" w:rsidRDefault="0028109D" w:rsidP="0028109D"/>
    <w:p w14:paraId="3B3B2588" w14:textId="77777777" w:rsidR="0028109D" w:rsidRDefault="0028109D" w:rsidP="0028109D"/>
    <w:p w14:paraId="671BA6D9" w14:textId="77777777" w:rsidR="0028109D" w:rsidRDefault="0028109D" w:rsidP="0028109D"/>
    <w:p w14:paraId="2ADCC7DF" w14:textId="2F27ADCF" w:rsidR="0028109D" w:rsidRDefault="0028109D" w:rsidP="0028109D"/>
    <w:p w14:paraId="72EC8535" w14:textId="37C7DBEB" w:rsidR="0028109D" w:rsidRDefault="0028109D" w:rsidP="0028109D"/>
    <w:p w14:paraId="4C61DF26" w14:textId="4D87BBD9" w:rsidR="006F5C60" w:rsidRDefault="0028109D" w:rsidP="006F5C60">
      <w:pPr>
        <w:pStyle w:val="E3ChapterTitle"/>
      </w:pPr>
      <w:bookmarkStart w:id="496" w:name="_Toc500151849"/>
      <w:r>
        <w:rPr>
          <w:noProof/>
          <w:lang w:eastAsia="en-AU"/>
        </w:rPr>
        <w:drawing>
          <wp:anchor distT="0" distB="0" distL="114300" distR="114300" simplePos="0" relativeHeight="251658258" behindDoc="1" locked="1" layoutInCell="1" allowOverlap="1" wp14:anchorId="66EB49E6" wp14:editId="3D56F0A9">
            <wp:simplePos x="0" y="0"/>
            <wp:positionH relativeFrom="margin">
              <wp:align>left</wp:align>
            </wp:positionH>
            <wp:positionV relativeFrom="margin">
              <wp:posOffset>171450</wp:posOffset>
            </wp:positionV>
            <wp:extent cx="6124575" cy="1800225"/>
            <wp:effectExtent l="0" t="0" r="9525" b="9525"/>
            <wp:wrapNone/>
            <wp:docPr id="241"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25"/>
                    <a:stretch>
                      <a:fillRect/>
                    </a:stretch>
                  </pic:blipFill>
                  <pic:spPr>
                    <a:xfrm>
                      <a:off x="0" y="0"/>
                      <a:ext cx="6124575" cy="1800225"/>
                    </a:xfrm>
                    <a:prstGeom prst="rect">
                      <a:avLst/>
                    </a:prstGeom>
                  </pic:spPr>
                </pic:pic>
              </a:graphicData>
            </a:graphic>
          </wp:anchor>
        </w:drawing>
      </w:r>
      <w:r w:rsidR="00803448">
        <w:t>Attachment E</w:t>
      </w:r>
      <w:r w:rsidR="006F5C60">
        <w:t xml:space="preserve"> - Austral</w:t>
      </w:r>
      <w:r>
        <w:t>asian vs International Standard</w:t>
      </w:r>
      <w:r w:rsidR="006F5C60">
        <w:t>s</w:t>
      </w:r>
      <w:bookmarkEnd w:id="496"/>
    </w:p>
    <w:p w14:paraId="4BD9EECE" w14:textId="77777777" w:rsidR="006F5C60" w:rsidRDefault="006F5C60" w:rsidP="006F5C60">
      <w:pPr>
        <w:pStyle w:val="E3Heading2"/>
      </w:pPr>
      <w:bookmarkStart w:id="497" w:name="_Toc500151850"/>
      <w:bookmarkStart w:id="498" w:name="_Toc280615500"/>
      <w:r w:rsidRPr="006F5C60">
        <w:t>Current AU/NZ test and performance Standard, AS 1731</w:t>
      </w:r>
      <w:bookmarkEnd w:id="497"/>
    </w:p>
    <w:p w14:paraId="7BD9F823" w14:textId="0348C4C9" w:rsidR="006F5C60" w:rsidRPr="00AC7259" w:rsidRDefault="006F5C60" w:rsidP="00803448">
      <w:pPr>
        <w:pStyle w:val="E3BodyText"/>
        <w:jc w:val="both"/>
      </w:pPr>
      <w:r w:rsidRPr="00AC7259">
        <w:t xml:space="preserve">Most display cabinets </w:t>
      </w:r>
      <w:r>
        <w:t xml:space="preserve">in Australia and New Zealand </w:t>
      </w:r>
      <w:r w:rsidRPr="00AC7259">
        <w:t xml:space="preserve">are required to be registered and pass MEPS levels, and have been since 2004.  </w:t>
      </w:r>
      <w:r>
        <w:t xml:space="preserve">The Australian Standard </w:t>
      </w:r>
      <w:r w:rsidRPr="00AC7259">
        <w:t>AS 1731</w:t>
      </w:r>
      <w:r>
        <w:t xml:space="preserve"> </w:t>
      </w:r>
      <w:r w:rsidRPr="00AC7259">
        <w:t>defines the test procedure for display cabinets in both</w:t>
      </w:r>
      <w:r>
        <w:t xml:space="preserve"> countries</w:t>
      </w:r>
      <w:r w:rsidRPr="00AC7259">
        <w:t xml:space="preserve">. It also outlines the requirements for classification, installation and maintenance, user guides and MEPS levels. </w:t>
      </w:r>
    </w:p>
    <w:p w14:paraId="741156C4" w14:textId="77777777" w:rsidR="006F5C60" w:rsidRPr="00AC7259" w:rsidRDefault="006F5C60" w:rsidP="00803448">
      <w:pPr>
        <w:pStyle w:val="E3BodyText"/>
        <w:jc w:val="both"/>
      </w:pPr>
      <w:r w:rsidRPr="00AC7259">
        <w:t xml:space="preserve">Cabinets are defined into more than 50 different types (classes) across four operating temperatures, with different MEPS levels and test procedures. Forty four classes have MEPS levels defined. A range of cabinet sizes and configurations are regulated, from multi-door types that are several meters long for </w:t>
      </w:r>
      <w:r>
        <w:t xml:space="preserve">use in </w:t>
      </w:r>
      <w:r w:rsidRPr="00AC7259">
        <w:t xml:space="preserve">large supermarkets, to counter-top glass cabinets designed to display cakes. </w:t>
      </w:r>
    </w:p>
    <w:p w14:paraId="583A9E4E" w14:textId="77777777" w:rsidR="006F5C60" w:rsidRPr="00AC7259" w:rsidRDefault="006F5C60" w:rsidP="00803448">
      <w:pPr>
        <w:pStyle w:val="E3BodyText"/>
        <w:jc w:val="both"/>
      </w:pPr>
      <w:r w:rsidRPr="00AC7259">
        <w:t xml:space="preserve">Storage cabinets are mentioned in </w:t>
      </w:r>
      <w:r>
        <w:t xml:space="preserve">AS 1731 </w:t>
      </w:r>
      <w:r w:rsidRPr="00AC7259">
        <w:t>(</w:t>
      </w:r>
      <w:r>
        <w:t xml:space="preserve">as </w:t>
      </w:r>
      <w:r w:rsidRPr="00AC7259">
        <w:t xml:space="preserve">cabinets with solid doors) but </w:t>
      </w:r>
      <w:r>
        <w:t xml:space="preserve">they are </w:t>
      </w:r>
      <w:r w:rsidRPr="00AC7259">
        <w:t>not assigned MEPS values</w:t>
      </w:r>
      <w:r>
        <w:t>. These means they have “no value”</w:t>
      </w:r>
      <w:r w:rsidRPr="00AC7259">
        <w:t xml:space="preserve"> </w:t>
      </w:r>
      <w:r>
        <w:t xml:space="preserve">and do not </w:t>
      </w:r>
      <w:r w:rsidRPr="00AC7259">
        <w:t xml:space="preserve">have to comply with a MEPS level nor be registered.  Other cabinet types </w:t>
      </w:r>
      <w:r>
        <w:t xml:space="preserve">are </w:t>
      </w:r>
      <w:r w:rsidRPr="00AC7259">
        <w:t>not assigned MEPS values</w:t>
      </w:r>
      <w:r>
        <w:t xml:space="preserve"> under AS 1731</w:t>
      </w:r>
      <w:r w:rsidRPr="00AC7259">
        <w:t>,</w:t>
      </w:r>
      <w:r>
        <w:t xml:space="preserve"> including</w:t>
      </w:r>
      <w:r w:rsidRPr="00AC7259">
        <w:t xml:space="preserve"> ‘combination’ cabinets and wine </w:t>
      </w:r>
      <w:r>
        <w:t>cabinets. These types of fridge</w:t>
      </w:r>
      <w:r w:rsidRPr="00AC7259">
        <w:t xml:space="preserve"> </w:t>
      </w:r>
      <w:r>
        <w:t xml:space="preserve">have similar functions or characteristics to display cabinets </w:t>
      </w:r>
      <w:r w:rsidRPr="00AC7259">
        <w:t xml:space="preserve">but did not occupy much of the market share when MEPS were first devised </w:t>
      </w:r>
      <w:r>
        <w:t>(</w:t>
      </w:r>
      <w:r w:rsidRPr="00AC7259">
        <w:t>despite the fact that they use refrigeration technologies</w:t>
      </w:r>
      <w:r>
        <w:t>)</w:t>
      </w:r>
      <w:r w:rsidRPr="00AC7259">
        <w:t>.</w:t>
      </w:r>
    </w:p>
    <w:p w14:paraId="5BD7EEFA" w14:textId="77777777" w:rsidR="006F5C60" w:rsidRPr="00AC7259" w:rsidRDefault="006F5C60" w:rsidP="00803448">
      <w:pPr>
        <w:pStyle w:val="E3BodyText"/>
        <w:jc w:val="both"/>
      </w:pPr>
      <w:r w:rsidRPr="00AC7259">
        <w:t xml:space="preserve">Tests for the energy performance of cabinets are carried </w:t>
      </w:r>
      <w:r>
        <w:t>out in a controlled environment such as</w:t>
      </w:r>
      <w:r w:rsidRPr="00AC7259">
        <w:t xml:space="preserve"> a laboratory or </w:t>
      </w:r>
      <w:r>
        <w:t xml:space="preserve">a </w:t>
      </w:r>
      <w:r w:rsidRPr="00AC7259">
        <w:t>company’s private test room. Climate classes are defined whereby certain cabinets must perform to specific efficiency levels depending on their intended situation of use –</w:t>
      </w:r>
      <w:r>
        <w:t xml:space="preserve"> </w:t>
      </w:r>
      <w:r w:rsidRPr="00AC7259">
        <w:t>in a kitchen they must keep food cold despite the warm kitchen environment. Cabinets are pre-loaded with specific heat-holding packages that simulate a cabinet’s contents. Energy consumption is monitored and a formula is used to calculate the efficiency, with factors that vary the score depending on characteristics that affect how well the internal chill is retained and maintained.</w:t>
      </w:r>
    </w:p>
    <w:p w14:paraId="05F7C218" w14:textId="77777777" w:rsidR="006F5C60" w:rsidRDefault="006F5C60" w:rsidP="00803448">
      <w:pPr>
        <w:jc w:val="both"/>
        <w:rPr>
          <w:sz w:val="24"/>
        </w:rPr>
      </w:pPr>
      <w:r>
        <w:rPr>
          <w:sz w:val="24"/>
        </w:rPr>
        <w:t>The s</w:t>
      </w:r>
      <w:r w:rsidRPr="00AC7259">
        <w:rPr>
          <w:sz w:val="24"/>
        </w:rPr>
        <w:t>tandard AS 1731 has bee</w:t>
      </w:r>
      <w:r>
        <w:rPr>
          <w:sz w:val="24"/>
        </w:rPr>
        <w:t>n around in industry since 1966. It was</w:t>
      </w:r>
      <w:r w:rsidRPr="00AC7259">
        <w:rPr>
          <w:sz w:val="24"/>
        </w:rPr>
        <w:t xml:space="preserve"> revised in 1975, 1983 and 2000, </w:t>
      </w:r>
      <w:r>
        <w:rPr>
          <w:sz w:val="24"/>
        </w:rPr>
        <w:t xml:space="preserve">then updated and </w:t>
      </w:r>
      <w:r w:rsidRPr="00AC7259">
        <w:rPr>
          <w:sz w:val="24"/>
        </w:rPr>
        <w:t>published in 2003 as AS 1731: 2003</w:t>
      </w:r>
      <w:r>
        <w:rPr>
          <w:sz w:val="24"/>
        </w:rPr>
        <w:t>.</w:t>
      </w:r>
      <w:r w:rsidRPr="00AC7259">
        <w:rPr>
          <w:sz w:val="24"/>
        </w:rPr>
        <w:t xml:space="preserve"> </w:t>
      </w:r>
      <w:r>
        <w:rPr>
          <w:sz w:val="24"/>
        </w:rPr>
        <w:t xml:space="preserve">It </w:t>
      </w:r>
      <w:r w:rsidRPr="00AC7259">
        <w:rPr>
          <w:sz w:val="24"/>
        </w:rPr>
        <w:t xml:space="preserve">came into force in 2004 under the joint E3 program in both countries. Only minor amendments have occurred since. Up until then it kept pace with improvements in the original European standard EN 441. </w:t>
      </w:r>
      <w:r w:rsidRPr="00AC7259">
        <w:rPr>
          <w:sz w:val="24"/>
        </w:rPr>
        <w:lastRenderedPageBreak/>
        <w:t xml:space="preserve">This was a pre-cursor to the much simpler, ISO two part standard that E3 is looking to align with (23953 </w:t>
      </w:r>
      <w:r w:rsidRPr="00AC7259">
        <w:rPr>
          <w:i/>
          <w:sz w:val="24"/>
        </w:rPr>
        <w:t>Refrigerated Display Cabinets.</w:t>
      </w:r>
      <w:r w:rsidRPr="00AC7259">
        <w:rPr>
          <w:sz w:val="24"/>
        </w:rPr>
        <w:t xml:space="preserve">) </w:t>
      </w:r>
    </w:p>
    <w:p w14:paraId="0CDDBAF5" w14:textId="77777777" w:rsidR="006F5C60" w:rsidRPr="00AC7259" w:rsidRDefault="006F5C60" w:rsidP="00803448">
      <w:pPr>
        <w:jc w:val="both"/>
        <w:rPr>
          <w:sz w:val="24"/>
        </w:rPr>
      </w:pPr>
      <w:r w:rsidRPr="00AC7259">
        <w:rPr>
          <w:sz w:val="24"/>
        </w:rPr>
        <w:t>AS 1731 still</w:t>
      </w:r>
      <w:r>
        <w:rPr>
          <w:sz w:val="24"/>
        </w:rPr>
        <w:t xml:space="preserve"> has 14 parts (sold separately) which</w:t>
      </w:r>
      <w:r w:rsidRPr="00AC7259">
        <w:rPr>
          <w:sz w:val="24"/>
        </w:rPr>
        <w:t xml:space="preserve"> are shown below. The relevant energy efficiency Parts are shown in bold.</w:t>
      </w:r>
    </w:p>
    <w:p w14:paraId="315A113C" w14:textId="77777777" w:rsidR="006F5C60" w:rsidRPr="00CA455C" w:rsidRDefault="006F5C60" w:rsidP="00803448">
      <w:pPr>
        <w:jc w:val="both"/>
        <w:rPr>
          <w:sz w:val="24"/>
        </w:rPr>
      </w:pPr>
    </w:p>
    <w:p w14:paraId="67540888" w14:textId="77777777" w:rsidR="006F5C60" w:rsidRPr="00CA455C" w:rsidRDefault="006F5C60" w:rsidP="00803448">
      <w:pPr>
        <w:pStyle w:val="E3Bullets"/>
        <w:spacing w:line="276" w:lineRule="auto"/>
        <w:jc w:val="both"/>
      </w:pPr>
      <w:r w:rsidRPr="00CA455C">
        <w:t>Part 1: Terms and definitions</w:t>
      </w:r>
    </w:p>
    <w:p w14:paraId="1DD82C2A" w14:textId="77777777" w:rsidR="006F5C60" w:rsidRPr="00CA455C" w:rsidRDefault="006F5C60" w:rsidP="00803448">
      <w:pPr>
        <w:pStyle w:val="E3Bullets"/>
        <w:spacing w:line="276" w:lineRule="auto"/>
        <w:jc w:val="both"/>
      </w:pPr>
      <w:r w:rsidRPr="00CA455C">
        <w:t>Part 2: General mechanical and physical requirements</w:t>
      </w:r>
    </w:p>
    <w:p w14:paraId="09230A2C" w14:textId="77777777" w:rsidR="006F5C60" w:rsidRPr="00CA455C" w:rsidRDefault="006F5C60" w:rsidP="00803448">
      <w:pPr>
        <w:pStyle w:val="E3Bullets"/>
        <w:spacing w:line="276" w:lineRule="auto"/>
        <w:jc w:val="both"/>
      </w:pPr>
      <w:r w:rsidRPr="00CA455C">
        <w:t>Part 3: Linear dimensions, areas and volumes</w:t>
      </w:r>
    </w:p>
    <w:p w14:paraId="2049F554" w14:textId="77777777" w:rsidR="006F5C60" w:rsidRPr="00CA455C" w:rsidRDefault="006F5C60" w:rsidP="00803448">
      <w:pPr>
        <w:pStyle w:val="E3Bullets"/>
        <w:spacing w:line="276" w:lineRule="auto"/>
        <w:jc w:val="both"/>
        <w:rPr>
          <w:b/>
        </w:rPr>
      </w:pPr>
      <w:r w:rsidRPr="00CA455C">
        <w:rPr>
          <w:b/>
        </w:rPr>
        <w:t>Part 4: General test conditions</w:t>
      </w:r>
    </w:p>
    <w:p w14:paraId="50556BF6" w14:textId="77777777" w:rsidR="006F5C60" w:rsidRPr="00CA455C" w:rsidRDefault="006F5C60" w:rsidP="00803448">
      <w:pPr>
        <w:pStyle w:val="E3Bullets"/>
        <w:spacing w:line="276" w:lineRule="auto"/>
        <w:jc w:val="both"/>
        <w:rPr>
          <w:b/>
        </w:rPr>
      </w:pPr>
      <w:r w:rsidRPr="00CA455C">
        <w:rPr>
          <w:b/>
        </w:rPr>
        <w:t>Part 5: Temperature test</w:t>
      </w:r>
    </w:p>
    <w:p w14:paraId="781B8B0A" w14:textId="77777777" w:rsidR="006F5C60" w:rsidRPr="00CA455C" w:rsidRDefault="006F5C60" w:rsidP="00803448">
      <w:pPr>
        <w:pStyle w:val="E3Bullets"/>
        <w:spacing w:line="276" w:lineRule="auto"/>
        <w:jc w:val="both"/>
        <w:rPr>
          <w:b/>
        </w:rPr>
      </w:pPr>
      <w:r w:rsidRPr="00CA455C">
        <w:rPr>
          <w:b/>
        </w:rPr>
        <w:t>Part 6: Classification according to temperatures</w:t>
      </w:r>
    </w:p>
    <w:p w14:paraId="53B1F432" w14:textId="77777777" w:rsidR="006F5C60" w:rsidRPr="00CA455C" w:rsidRDefault="006F5C60" w:rsidP="00803448">
      <w:pPr>
        <w:pStyle w:val="E3Bullets"/>
        <w:spacing w:line="276" w:lineRule="auto"/>
        <w:jc w:val="both"/>
      </w:pPr>
      <w:r w:rsidRPr="00CA455C">
        <w:t>Part 7: Defrosting test</w:t>
      </w:r>
    </w:p>
    <w:p w14:paraId="6CF1FBDA" w14:textId="77777777" w:rsidR="006F5C60" w:rsidRPr="00CA455C" w:rsidRDefault="006F5C60" w:rsidP="00803448">
      <w:pPr>
        <w:pStyle w:val="E3Bullets"/>
        <w:spacing w:line="276" w:lineRule="auto"/>
        <w:jc w:val="both"/>
      </w:pPr>
      <w:r w:rsidRPr="00CA455C">
        <w:t>Part 8: Water vapour condensation test</w:t>
      </w:r>
    </w:p>
    <w:p w14:paraId="1A57C44C" w14:textId="77777777" w:rsidR="006F5C60" w:rsidRPr="00CA455C" w:rsidRDefault="006F5C60" w:rsidP="00803448">
      <w:pPr>
        <w:pStyle w:val="E3Bullets"/>
        <w:spacing w:line="276" w:lineRule="auto"/>
        <w:jc w:val="both"/>
        <w:rPr>
          <w:b/>
        </w:rPr>
      </w:pPr>
      <w:r w:rsidRPr="00CA455C">
        <w:rPr>
          <w:b/>
        </w:rPr>
        <w:t>Part 9: Electrical energy consumption test</w:t>
      </w:r>
    </w:p>
    <w:p w14:paraId="341252E1" w14:textId="77777777" w:rsidR="006F5C60" w:rsidRPr="00CA455C" w:rsidRDefault="006F5C60" w:rsidP="00803448">
      <w:pPr>
        <w:pStyle w:val="E3Bullets"/>
        <w:spacing w:line="276" w:lineRule="auto"/>
        <w:jc w:val="both"/>
      </w:pPr>
      <w:r w:rsidRPr="00CA455C">
        <w:t>Part 10: Test of absence of odour and taste</w:t>
      </w:r>
    </w:p>
    <w:p w14:paraId="3E024F37" w14:textId="77777777" w:rsidR="006F5C60" w:rsidRPr="00CA455C" w:rsidRDefault="006F5C60" w:rsidP="00803448">
      <w:pPr>
        <w:pStyle w:val="E3Bullets"/>
        <w:spacing w:line="276" w:lineRule="auto"/>
        <w:jc w:val="both"/>
      </w:pPr>
      <w:r w:rsidRPr="00CA455C">
        <w:t>Part 11: Installation, maintenance and user guide</w:t>
      </w:r>
    </w:p>
    <w:p w14:paraId="79A5C3C6" w14:textId="77777777" w:rsidR="006F5C60" w:rsidRPr="00CA455C" w:rsidRDefault="006F5C60" w:rsidP="00803448">
      <w:pPr>
        <w:pStyle w:val="E3Bullets"/>
        <w:spacing w:line="276" w:lineRule="auto"/>
        <w:jc w:val="both"/>
      </w:pPr>
      <w:r w:rsidRPr="00CA455C">
        <w:t>Part 12: Measurement of the heat extraction rate of the cabinets when the condensing unit is remote from the cabinet</w:t>
      </w:r>
    </w:p>
    <w:p w14:paraId="6754781E" w14:textId="77777777" w:rsidR="006F5C60" w:rsidRPr="00CA455C" w:rsidRDefault="006F5C60" w:rsidP="00803448">
      <w:pPr>
        <w:pStyle w:val="E3Bullets"/>
        <w:spacing w:line="276" w:lineRule="auto"/>
        <w:jc w:val="both"/>
      </w:pPr>
      <w:r w:rsidRPr="00CA455C">
        <w:t>Part 13: Test report</w:t>
      </w:r>
    </w:p>
    <w:p w14:paraId="2E90F409" w14:textId="77777777" w:rsidR="006F5C60" w:rsidRPr="00AC7259" w:rsidRDefault="006F5C60" w:rsidP="00803448">
      <w:pPr>
        <w:pStyle w:val="E3Bullets"/>
        <w:spacing w:line="276" w:lineRule="auto"/>
        <w:jc w:val="both"/>
        <w:rPr>
          <w:b/>
        </w:rPr>
      </w:pPr>
      <w:r w:rsidRPr="00CA455C">
        <w:rPr>
          <w:b/>
        </w:rPr>
        <w:t>Part 14: MEPS and HEPS requirements and the appropriate methods for determination of display areas of a number of common varieties of display cabinet</w:t>
      </w:r>
      <w:r w:rsidRPr="00AC7259">
        <w:rPr>
          <w:b/>
        </w:rPr>
        <w:t>s</w:t>
      </w:r>
    </w:p>
    <w:p w14:paraId="09EECEA5" w14:textId="77777777" w:rsidR="006F5C60" w:rsidRPr="00CA455C" w:rsidRDefault="006F5C60" w:rsidP="00803448">
      <w:pPr>
        <w:pStyle w:val="E3Heading2"/>
        <w:spacing w:line="360" w:lineRule="auto"/>
        <w:jc w:val="both"/>
        <w:rPr>
          <w:rFonts w:ascii="Georgia" w:hAnsi="Georgia"/>
          <w:color w:val="auto"/>
          <w:sz w:val="24"/>
        </w:rPr>
      </w:pPr>
      <w:bookmarkStart w:id="499" w:name="_Toc449708813"/>
      <w:bookmarkStart w:id="500" w:name="_Toc494898004"/>
      <w:bookmarkStart w:id="501" w:name="_Toc494955796"/>
      <w:bookmarkStart w:id="502" w:name="_Toc494959604"/>
      <w:bookmarkStart w:id="503" w:name="_Toc494972730"/>
      <w:bookmarkStart w:id="504" w:name="_Toc494973917"/>
      <w:bookmarkStart w:id="505" w:name="_Toc494974606"/>
      <w:bookmarkStart w:id="506" w:name="_Toc500151851"/>
      <w:r w:rsidRPr="00CA455C">
        <w:rPr>
          <w:rFonts w:ascii="Georgia" w:hAnsi="Georgia"/>
          <w:color w:val="auto"/>
          <w:sz w:val="24"/>
        </w:rPr>
        <w:t>Europe</w:t>
      </w:r>
      <w:bookmarkEnd w:id="499"/>
      <w:bookmarkEnd w:id="500"/>
      <w:bookmarkEnd w:id="501"/>
      <w:bookmarkEnd w:id="502"/>
      <w:bookmarkEnd w:id="503"/>
      <w:bookmarkEnd w:id="504"/>
      <w:bookmarkEnd w:id="505"/>
      <w:bookmarkEnd w:id="506"/>
    </w:p>
    <w:p w14:paraId="297A4D76" w14:textId="77777777" w:rsidR="006F5C60" w:rsidRPr="00AC7259" w:rsidRDefault="006F5C60" w:rsidP="00803448">
      <w:pPr>
        <w:pStyle w:val="E3BodyText"/>
        <w:jc w:val="both"/>
      </w:pPr>
      <w:r w:rsidRPr="00AC7259">
        <w:t>The European Commission is implementing a regulated efficiency regime that covers display and storage cabinets. This is a two part scheme of mandatory efficiency grades (based on results of specific methods of tests)</w:t>
      </w:r>
      <w:r>
        <w:t>.</w:t>
      </w:r>
      <w:r w:rsidRPr="00AC7259">
        <w:t xml:space="preserve"> </w:t>
      </w:r>
    </w:p>
    <w:p w14:paraId="53FA6036" w14:textId="77777777" w:rsidR="006F5C60" w:rsidRPr="00AC7259" w:rsidRDefault="006F5C60" w:rsidP="00803448">
      <w:pPr>
        <w:pStyle w:val="E3BodyText"/>
        <w:jc w:val="both"/>
      </w:pPr>
      <w:r w:rsidRPr="00AC7259">
        <w:t>The mandatory energy test involves comparing actual energy consumption measured under test conditions with a “standard” energy consumption amount – and the result is re-worked into an index score called an Energy Efficiency Index. A cabinet that used electricity exactly equal to the “standard” efficiency would have an efficiency index equal to 100% and a product that used half of the standard energy would have an EEI of 50%. For labelling, the efficiency index score is slotted into a number of efficiency grades, depending on different cabinet types and sizes. The efficiency grade must be marked on each product (EC 2014a) and in literature.</w:t>
      </w:r>
    </w:p>
    <w:p w14:paraId="4749E83C" w14:textId="77777777" w:rsidR="006F5C60" w:rsidRPr="00AC7259" w:rsidRDefault="006F5C60" w:rsidP="00803448">
      <w:pPr>
        <w:pStyle w:val="E3BodyText"/>
        <w:jc w:val="both"/>
      </w:pPr>
      <w:r w:rsidRPr="00AC7259">
        <w:t>Over time, the least efficient grades of cabinets will be phased out.</w:t>
      </w:r>
    </w:p>
    <w:p w14:paraId="795F1FDC" w14:textId="77777777" w:rsidR="006F5C60" w:rsidRPr="00CA455C" w:rsidRDefault="006F5C60" w:rsidP="00803448">
      <w:pPr>
        <w:pStyle w:val="E3Heading4"/>
        <w:jc w:val="both"/>
      </w:pPr>
      <w:bookmarkStart w:id="507" w:name="_Toc447533644"/>
      <w:r w:rsidRPr="00CA455C">
        <w:t>ISO 23953 – Refrigerated Display Cabinets</w:t>
      </w:r>
      <w:bookmarkEnd w:id="507"/>
    </w:p>
    <w:p w14:paraId="5156217F" w14:textId="77777777" w:rsidR="006F5C60" w:rsidRPr="00AC7259" w:rsidRDefault="006F5C60" w:rsidP="00803448">
      <w:pPr>
        <w:pStyle w:val="E3BodyText"/>
        <w:jc w:val="both"/>
      </w:pPr>
      <w:r w:rsidRPr="00AC7259">
        <w:t xml:space="preserve">ISO 23953 </w:t>
      </w:r>
      <w:r w:rsidRPr="00AC7259">
        <w:rPr>
          <w:i/>
        </w:rPr>
        <w:t xml:space="preserve">Refrigerated Display Cabinets </w:t>
      </w:r>
      <w:r w:rsidRPr="00AC7259">
        <w:t xml:space="preserve">is widely used in Europe as the preferred </w:t>
      </w:r>
      <w:r>
        <w:t xml:space="preserve">test </w:t>
      </w:r>
      <w:r w:rsidRPr="00AC7259">
        <w:t>method for display cabinets, including open cabinets and those with glass doors. Amendments were made to it in 2012 to accommodate different test packages (e.g. the Australian filler packs).</w:t>
      </w:r>
    </w:p>
    <w:p w14:paraId="704FF899" w14:textId="77777777" w:rsidR="006F5C60" w:rsidRPr="00AC7259" w:rsidRDefault="006F5C60" w:rsidP="00803448">
      <w:pPr>
        <w:pStyle w:val="E3BodyText"/>
        <w:jc w:val="both"/>
      </w:pPr>
      <w:r w:rsidRPr="00AC7259">
        <w:lastRenderedPageBreak/>
        <w:t>MEPS levels are being developed separately by the European Commission and will become local (European) regulations.</w:t>
      </w:r>
    </w:p>
    <w:p w14:paraId="47010243" w14:textId="77777777" w:rsidR="006F5C60" w:rsidRPr="00AC7259" w:rsidRDefault="006F5C60" w:rsidP="00803448">
      <w:pPr>
        <w:pStyle w:val="E3BodyText"/>
        <w:jc w:val="both"/>
      </w:pPr>
      <w:r w:rsidRPr="00AC7259">
        <w:t>The technical details of AS 1731 and ISO 23953 are essentially the same. The operating temperature classifications are similar with some</w:t>
      </w:r>
      <w:r>
        <w:t xml:space="preserve"> extra temperatures defined by ISO 23953 (t</w:t>
      </w:r>
      <w:r w:rsidRPr="00AC7259">
        <w:t>hese will not affect the parameters for determining the cabinet efficiency</w:t>
      </w:r>
      <w:r>
        <w:t>).</w:t>
      </w:r>
    </w:p>
    <w:p w14:paraId="0CC0A7C6" w14:textId="77777777" w:rsidR="006F5C60" w:rsidRPr="00AC7259" w:rsidRDefault="006F5C60" w:rsidP="00803448">
      <w:pPr>
        <w:pStyle w:val="E3BodyText"/>
        <w:jc w:val="both"/>
      </w:pPr>
      <w:r w:rsidRPr="00AC7259">
        <w:t xml:space="preserve">There are several minor technical points of difference from AS 1731 that slightly affect the energy efficiency test. </w:t>
      </w:r>
    </w:p>
    <w:p w14:paraId="55F10BD4" w14:textId="77777777" w:rsidR="006F5C60" w:rsidRPr="00AC7259" w:rsidRDefault="006F5C60" w:rsidP="00510214">
      <w:pPr>
        <w:pStyle w:val="E3BodyText"/>
        <w:jc w:val="both"/>
      </w:pPr>
      <w:r w:rsidRPr="00AC7259">
        <w:t xml:space="preserve">ISO 23953 does not include storage cabinets because these will be treated separately </w:t>
      </w:r>
      <w:r>
        <w:t xml:space="preserve">under the </w:t>
      </w:r>
      <w:r w:rsidRPr="00AC7259">
        <w:t xml:space="preserve">storage cabinet </w:t>
      </w:r>
      <w:r>
        <w:t xml:space="preserve">test </w:t>
      </w:r>
      <w:r w:rsidRPr="00AC7259">
        <w:t xml:space="preserve">method </w:t>
      </w:r>
      <w:r>
        <w:t>EN 16825</w:t>
      </w:r>
      <w:r w:rsidRPr="00AC7259">
        <w:t xml:space="preserve">. </w:t>
      </w:r>
      <w:r>
        <w:t xml:space="preserve">It </w:t>
      </w:r>
      <w:r w:rsidRPr="00AC7259">
        <w:t xml:space="preserve">also </w:t>
      </w:r>
      <w:r>
        <w:t xml:space="preserve">covers </w:t>
      </w:r>
      <w:r w:rsidRPr="00AC7259">
        <w:t xml:space="preserve">a few more cabinet types </w:t>
      </w:r>
      <w:r>
        <w:t>than AS 1731 and only a couple are excluded (</w:t>
      </w:r>
      <w:r w:rsidRPr="00AC7259">
        <w:t xml:space="preserve">presumably </w:t>
      </w:r>
      <w:r>
        <w:t xml:space="preserve">because there have never been any made and there have not been any </w:t>
      </w:r>
      <w:r w:rsidRPr="00AC7259">
        <w:t>registrations for them through E3</w:t>
      </w:r>
      <w:r>
        <w:t>)</w:t>
      </w:r>
      <w:r w:rsidRPr="00AC7259">
        <w:t>.</w:t>
      </w:r>
    </w:p>
    <w:p w14:paraId="1B5FA700" w14:textId="77777777" w:rsidR="006F5C60" w:rsidRPr="00CA455C" w:rsidRDefault="006F5C60" w:rsidP="00803448">
      <w:pPr>
        <w:pStyle w:val="E3Heading4"/>
        <w:jc w:val="both"/>
      </w:pPr>
      <w:bookmarkStart w:id="508" w:name="_Toc447533645"/>
      <w:r w:rsidRPr="00CA455C">
        <w:t xml:space="preserve">EN 16825 for storage cabinets </w:t>
      </w:r>
      <w:bookmarkEnd w:id="508"/>
      <w:r w:rsidRPr="00CA455C">
        <w:t>and other display cabinet standards</w:t>
      </w:r>
    </w:p>
    <w:p w14:paraId="3F965C74" w14:textId="77777777" w:rsidR="006F5C60" w:rsidRPr="00AC7259" w:rsidRDefault="006F5C60" w:rsidP="00803448">
      <w:pPr>
        <w:jc w:val="both"/>
        <w:rPr>
          <w:sz w:val="24"/>
        </w:rPr>
      </w:pPr>
      <w:r w:rsidRPr="00AC7259">
        <w:rPr>
          <w:sz w:val="24"/>
        </w:rPr>
        <w:t xml:space="preserve">Based on the ISO 23953 standard, the storage cabinet standard EN 16825 is essentially the same as for display cabinets but with a proposed modified door opening sequence (Ita 2012). This work is undertaken by CECED Italia, a membership body representing over 100 companies within the Domestic and Professional Appliance sector in Italy. The refrigerated </w:t>
      </w:r>
      <w:r w:rsidRPr="00AC7259">
        <w:rPr>
          <w:i/>
          <w:sz w:val="24"/>
        </w:rPr>
        <w:t>net volume</w:t>
      </w:r>
      <w:r w:rsidRPr="00AC7259">
        <w:rPr>
          <w:sz w:val="24"/>
        </w:rPr>
        <w:t xml:space="preserve"> is a preferred metric (not Total Display Area TDA).</w:t>
      </w:r>
    </w:p>
    <w:p w14:paraId="0665A37D" w14:textId="77777777" w:rsidR="006F5C60" w:rsidRPr="00AC7259" w:rsidRDefault="006F5C60" w:rsidP="00803448">
      <w:pPr>
        <w:jc w:val="both"/>
        <w:rPr>
          <w:sz w:val="24"/>
        </w:rPr>
      </w:pPr>
      <w:r>
        <w:rPr>
          <w:sz w:val="24"/>
        </w:rPr>
        <w:t>EN 16825 has been published and</w:t>
      </w:r>
      <w:r w:rsidRPr="00AC7259">
        <w:rPr>
          <w:sz w:val="24"/>
        </w:rPr>
        <w:t xml:space="preserve"> European “MEPS” regulations </w:t>
      </w:r>
      <w:r>
        <w:rPr>
          <w:sz w:val="24"/>
        </w:rPr>
        <w:t xml:space="preserve">were enacted </w:t>
      </w:r>
      <w:r w:rsidRPr="00AC7259">
        <w:rPr>
          <w:sz w:val="24"/>
        </w:rPr>
        <w:t xml:space="preserve">for storage cabinets </w:t>
      </w:r>
      <w:r>
        <w:rPr>
          <w:sz w:val="24"/>
        </w:rPr>
        <w:t>from July 2016.</w:t>
      </w:r>
    </w:p>
    <w:p w14:paraId="043DA19E" w14:textId="77777777" w:rsidR="006F5C60" w:rsidRPr="00AC7259" w:rsidRDefault="006F5C60" w:rsidP="00803448">
      <w:pPr>
        <w:jc w:val="both"/>
        <w:rPr>
          <w:sz w:val="24"/>
        </w:rPr>
      </w:pPr>
      <w:bookmarkStart w:id="509" w:name="_Toc447533653"/>
      <w:bookmarkEnd w:id="498"/>
      <w:r w:rsidRPr="00AC7259">
        <w:rPr>
          <w:sz w:val="24"/>
        </w:rPr>
        <w:t>For each product group the efficiency grade is determined by use of a linear equation with set coefficient values that calculate the standard consumption using a metric such as display area or volume.  A product that has a measured consumption exactly equal to the standard efficiency would have an efficiency index equal to 100% and a product that used half of the standard energy would have an EEI of 50%.</w:t>
      </w:r>
    </w:p>
    <w:p w14:paraId="4B6DEE82" w14:textId="77777777" w:rsidR="006F5C60" w:rsidRDefault="006F5C60" w:rsidP="00803448">
      <w:pPr>
        <w:pStyle w:val="E3BodyText"/>
        <w:jc w:val="both"/>
      </w:pPr>
      <w:r w:rsidRPr="00AC7259">
        <w:t>The series of efficiency grades established c</w:t>
      </w:r>
      <w:r>
        <w:t>an</w:t>
      </w:r>
      <w:r w:rsidRPr="00AC7259">
        <w:t xml:space="preserve"> then be used with MEPS regulation to phase out products that do not meet the relevant efficiency grade at any given time, with more stringent efficiency grades. This progressive introduction of more stringent MEPS means that over a specified timeframe the worst performing grades can be progressively eliminated from the market. </w:t>
      </w:r>
    </w:p>
    <w:p w14:paraId="5363CF56" w14:textId="77777777" w:rsidR="006F5C60" w:rsidRPr="00AC7259" w:rsidRDefault="006F5C60" w:rsidP="00803448">
      <w:pPr>
        <w:pStyle w:val="E3BodyText"/>
        <w:jc w:val="both"/>
      </w:pPr>
      <w:r w:rsidRPr="00AC7259">
        <w:t>In tandem with this is the mandatory labelling scheme which obligates suppliers to have a label on their products depicting the efficiency grade of the product and also stating other relevant efficiency details.</w:t>
      </w:r>
      <w:r>
        <w:t xml:space="preserve"> The online energy rating information to be added to these regulatory proposals will be based on the EEI.</w:t>
      </w:r>
    </w:p>
    <w:p w14:paraId="3715F57A" w14:textId="77777777" w:rsidR="006F5C60" w:rsidRPr="00CA455C" w:rsidRDefault="006F5C60" w:rsidP="00803448">
      <w:pPr>
        <w:pStyle w:val="E3Heading2"/>
        <w:spacing w:line="360" w:lineRule="auto"/>
        <w:jc w:val="both"/>
        <w:rPr>
          <w:rFonts w:ascii="Georgia" w:eastAsiaTheme="minorEastAsia" w:hAnsi="Georgia"/>
          <w:color w:val="auto"/>
          <w:sz w:val="24"/>
          <w:lang w:val="en-NZ" w:eastAsia="en-NZ"/>
        </w:rPr>
      </w:pPr>
      <w:bookmarkStart w:id="510" w:name="_Toc494898005"/>
      <w:bookmarkStart w:id="511" w:name="_Toc494955797"/>
      <w:bookmarkStart w:id="512" w:name="_Toc494959605"/>
      <w:bookmarkStart w:id="513" w:name="_Toc494972731"/>
      <w:bookmarkStart w:id="514" w:name="_Toc494973918"/>
      <w:bookmarkStart w:id="515" w:name="_Toc494974607"/>
      <w:bookmarkStart w:id="516" w:name="_Toc500151852"/>
      <w:r w:rsidRPr="00CA455C">
        <w:rPr>
          <w:rFonts w:ascii="Georgia" w:eastAsiaTheme="minorEastAsia" w:hAnsi="Georgia"/>
          <w:color w:val="auto"/>
          <w:sz w:val="24"/>
          <w:lang w:val="en-NZ" w:eastAsia="en-NZ"/>
        </w:rPr>
        <w:t>Refrigerated Display Cabinet MEPS</w:t>
      </w:r>
      <w:bookmarkEnd w:id="509"/>
      <w:bookmarkEnd w:id="510"/>
      <w:bookmarkEnd w:id="511"/>
      <w:bookmarkEnd w:id="512"/>
      <w:bookmarkEnd w:id="513"/>
      <w:bookmarkEnd w:id="514"/>
      <w:bookmarkEnd w:id="515"/>
      <w:bookmarkEnd w:id="516"/>
    </w:p>
    <w:p w14:paraId="60771DFD" w14:textId="7EB8FB44" w:rsidR="006F5C60" w:rsidRDefault="006F5C60" w:rsidP="00803448">
      <w:pPr>
        <w:pStyle w:val="E3BodyText"/>
        <w:jc w:val="both"/>
        <w:rPr>
          <w:lang w:val="en-NZ" w:eastAsia="en-NZ"/>
        </w:rPr>
      </w:pPr>
      <w:r>
        <w:rPr>
          <w:lang w:val="en-NZ" w:eastAsia="en-NZ"/>
        </w:rPr>
        <w:t xml:space="preserve">Refrigerated display cabinets </w:t>
      </w:r>
      <w:r w:rsidRPr="00AC7259">
        <w:rPr>
          <w:lang w:val="en-NZ" w:eastAsia="en-NZ"/>
        </w:rPr>
        <w:t>will all be required to have an Energy Effici</w:t>
      </w:r>
      <w:bookmarkStart w:id="517" w:name="_Ref450641413"/>
      <w:bookmarkStart w:id="518" w:name="_Toc449708984"/>
      <w:r w:rsidR="00317405">
        <w:rPr>
          <w:lang w:val="en-NZ" w:eastAsia="en-NZ"/>
        </w:rPr>
        <w:t>ency Index calculated and grades</w:t>
      </w:r>
      <w:r w:rsidR="00BA75DA">
        <w:rPr>
          <w:lang w:val="en-NZ" w:eastAsia="en-NZ"/>
        </w:rPr>
        <w:t>.</w:t>
      </w:r>
    </w:p>
    <w:p w14:paraId="198C5FE9" w14:textId="77777777" w:rsidR="00BA75DA" w:rsidRPr="00317405" w:rsidRDefault="00BA75DA" w:rsidP="00803448">
      <w:pPr>
        <w:pStyle w:val="E3BodyText"/>
        <w:jc w:val="both"/>
        <w:rPr>
          <w:lang w:val="en-NZ" w:eastAsia="en-NZ"/>
        </w:rPr>
      </w:pPr>
    </w:p>
    <w:p w14:paraId="57F0E29C" w14:textId="01218A08" w:rsidR="006F5C60" w:rsidRPr="00D15E51" w:rsidRDefault="006F5C60" w:rsidP="00803448">
      <w:pPr>
        <w:pStyle w:val="E3BodyText"/>
        <w:jc w:val="both"/>
        <w:rPr>
          <w:b/>
        </w:rPr>
      </w:pPr>
      <w:r w:rsidRPr="00AC7259">
        <w:rPr>
          <w:lang w:val="en-NZ" w:eastAsia="en-NZ"/>
        </w:rPr>
        <w:lastRenderedPageBreak/>
        <w:t>The EU will grade the efficiency of display cabinets into 7 groups (A – G) based on their EEI score (</w:t>
      </w:r>
      <w:r w:rsidRPr="00AC7259">
        <w:rPr>
          <w:b/>
          <w:lang w:val="en-NZ" w:eastAsia="en-NZ"/>
        </w:rPr>
        <w:fldChar w:fldCharType="begin"/>
      </w:r>
      <w:r w:rsidRPr="00BA75DA">
        <w:rPr>
          <w:b/>
          <w:lang w:val="en-NZ" w:eastAsia="en-NZ"/>
        </w:rPr>
        <w:instrText xml:space="preserve"> REF _Ref453057399 \h  \* MERGEFORMAT </w:instrText>
      </w:r>
      <w:r w:rsidRPr="00AC7259">
        <w:rPr>
          <w:b/>
          <w:lang w:val="en-NZ" w:eastAsia="en-NZ"/>
        </w:rPr>
      </w:r>
      <w:r w:rsidRPr="00AC7259">
        <w:rPr>
          <w:b/>
          <w:lang w:val="en-NZ" w:eastAsia="en-NZ"/>
        </w:rPr>
        <w:fldChar w:fldCharType="separate"/>
      </w:r>
      <w:r w:rsidR="00D51B4B" w:rsidRPr="00D51B4B">
        <w:rPr>
          <w:b/>
        </w:rPr>
        <w:t>Table</w:t>
      </w:r>
      <w:r w:rsidR="00D51B4B">
        <w:rPr>
          <w:noProof/>
        </w:rPr>
        <w:t xml:space="preserve"> </w:t>
      </w:r>
      <w:r w:rsidR="00D51B4B" w:rsidRPr="00D51B4B">
        <w:rPr>
          <w:b/>
        </w:rPr>
        <w:t xml:space="preserve">F </w:t>
      </w:r>
      <w:r w:rsidR="00D51B4B" w:rsidRPr="00D51B4B">
        <w:rPr>
          <w:b/>
          <w:noProof/>
        </w:rPr>
        <w:t>1</w:t>
      </w:r>
      <w:r w:rsidRPr="00AC7259">
        <w:rPr>
          <w:b/>
          <w:lang w:val="en-NZ" w:eastAsia="en-NZ"/>
        </w:rPr>
        <w:fldChar w:fldCharType="end"/>
      </w:r>
      <w:r w:rsidRPr="00AC7259">
        <w:rPr>
          <w:lang w:val="en-NZ" w:eastAsia="en-NZ"/>
        </w:rPr>
        <w:t xml:space="preserve"> and </w:t>
      </w:r>
      <w:r w:rsidRPr="00AC7259">
        <w:rPr>
          <w:b/>
          <w:lang w:val="en-NZ" w:eastAsia="en-NZ"/>
        </w:rPr>
        <w:fldChar w:fldCharType="begin"/>
      </w:r>
      <w:r w:rsidRPr="00AC7259">
        <w:rPr>
          <w:b/>
          <w:lang w:val="en-NZ" w:eastAsia="en-NZ"/>
        </w:rPr>
        <w:instrText xml:space="preserve"> REF _Ref450641464 \h  \* MERGEFORMAT </w:instrText>
      </w:r>
      <w:r w:rsidRPr="00AC7259">
        <w:rPr>
          <w:b/>
          <w:lang w:val="en-NZ" w:eastAsia="en-NZ"/>
        </w:rPr>
      </w:r>
      <w:r w:rsidRPr="00AC7259">
        <w:rPr>
          <w:b/>
          <w:lang w:val="en-NZ" w:eastAsia="en-NZ"/>
        </w:rPr>
        <w:fldChar w:fldCharType="separate"/>
      </w:r>
      <w:r w:rsidR="00D51B4B" w:rsidRPr="00D51B4B">
        <w:rPr>
          <w:b/>
        </w:rPr>
        <w:t xml:space="preserve">Table F </w:t>
      </w:r>
      <w:r w:rsidR="00D51B4B" w:rsidRPr="00D51B4B">
        <w:rPr>
          <w:b/>
          <w:noProof/>
        </w:rPr>
        <w:t>2</w:t>
      </w:r>
      <w:r w:rsidRPr="00AC7259">
        <w:rPr>
          <w:b/>
          <w:lang w:val="en-NZ" w:eastAsia="en-NZ"/>
        </w:rPr>
        <w:fldChar w:fldCharType="end"/>
      </w:r>
      <w:r w:rsidRPr="00AC7259">
        <w:rPr>
          <w:lang w:val="en-NZ" w:eastAsia="en-NZ"/>
        </w:rPr>
        <w:t>). Group A is the highest efficiency grade, where they achieve a score that means their energy use is 70% better than the Standard Annual Energy Consumption. The levels are currently outlined in the 2014 public drafts however may be updated once their regulations are published.</w:t>
      </w:r>
    </w:p>
    <w:p w14:paraId="4F325569" w14:textId="77777777" w:rsidR="006F5C60" w:rsidRDefault="006F5C60" w:rsidP="00803448">
      <w:pPr>
        <w:pStyle w:val="E3BodyText"/>
        <w:jc w:val="both"/>
        <w:rPr>
          <w:lang w:val="en-NZ" w:eastAsia="en-NZ"/>
        </w:rPr>
      </w:pPr>
      <w:r w:rsidRPr="00AC7259">
        <w:rPr>
          <w:lang w:val="en-NZ" w:eastAsia="en-NZ"/>
        </w:rPr>
        <w:t xml:space="preserve">Increasing stringency of MEPS is achieved by requiring that all cabinets must meet a moving efficiency score by a certain date.  These dates are shown </w:t>
      </w:r>
      <w:r>
        <w:rPr>
          <w:lang w:val="en-NZ" w:eastAsia="en-NZ"/>
        </w:rPr>
        <w:t xml:space="preserve">below (see also main document).   </w:t>
      </w:r>
    </w:p>
    <w:p w14:paraId="74C7956A" w14:textId="23D7C2F2" w:rsidR="006F5C60" w:rsidRPr="0069383A" w:rsidRDefault="006F5C60" w:rsidP="006F5C60">
      <w:pPr>
        <w:pStyle w:val="E3TableTitles"/>
        <w:rPr>
          <w:szCs w:val="16"/>
          <w:lang w:eastAsia="en-NZ"/>
        </w:rPr>
      </w:pPr>
      <w:bookmarkStart w:id="519" w:name="_Toc494142467"/>
      <w:bookmarkStart w:id="520" w:name="_Toc500159681"/>
      <w:r w:rsidRPr="0069383A">
        <w:rPr>
          <w:szCs w:val="16"/>
        </w:rPr>
        <w:t xml:space="preserve">Table </w:t>
      </w:r>
      <w:r w:rsidRPr="0069383A">
        <w:rPr>
          <w:szCs w:val="16"/>
        </w:rPr>
        <w:fldChar w:fldCharType="begin"/>
      </w:r>
      <w:r w:rsidRPr="0069383A">
        <w:rPr>
          <w:szCs w:val="16"/>
        </w:rPr>
        <w:instrText xml:space="preserve"> SEQ Table \* ARABIC </w:instrText>
      </w:r>
      <w:r w:rsidRPr="0069383A">
        <w:rPr>
          <w:szCs w:val="16"/>
        </w:rPr>
        <w:fldChar w:fldCharType="separate"/>
      </w:r>
      <w:r w:rsidR="00D51B4B">
        <w:rPr>
          <w:noProof/>
          <w:szCs w:val="16"/>
        </w:rPr>
        <w:t>9</w:t>
      </w:r>
      <w:r w:rsidRPr="0069383A">
        <w:rPr>
          <w:szCs w:val="16"/>
        </w:rPr>
        <w:fldChar w:fldCharType="end"/>
      </w:r>
      <w:r w:rsidRPr="0069383A">
        <w:rPr>
          <w:szCs w:val="16"/>
          <w:lang w:eastAsia="en-NZ"/>
        </w:rPr>
        <w:t>: European introduction dates and MEPS for storage cabinets, and draft MEPS for display cabinets.</w:t>
      </w:r>
      <w:bookmarkEnd w:id="519"/>
      <w:bookmarkEnd w:id="520"/>
      <w:r w:rsidRPr="0069383A">
        <w:rPr>
          <w:szCs w:val="16"/>
          <w:lang w:eastAsia="en-NZ"/>
        </w:rPr>
        <w:t xml:space="preserve"> </w:t>
      </w:r>
    </w:p>
    <w:tbl>
      <w:tblPr>
        <w:tblW w:w="9200" w:type="dxa"/>
        <w:tblInd w:w="103" w:type="dxa"/>
        <w:tblLook w:val="04A0" w:firstRow="1" w:lastRow="0" w:firstColumn="1" w:lastColumn="0" w:noHBand="0" w:noVBand="1"/>
      </w:tblPr>
      <w:tblGrid>
        <w:gridCol w:w="3040"/>
        <w:gridCol w:w="1540"/>
        <w:gridCol w:w="1540"/>
        <w:gridCol w:w="1540"/>
        <w:gridCol w:w="1540"/>
      </w:tblGrid>
      <w:tr w:rsidR="006F5C60" w:rsidRPr="006F5C60" w14:paraId="5D6FBB0A" w14:textId="77777777" w:rsidTr="006F5C60">
        <w:trPr>
          <w:trHeight w:val="315"/>
        </w:trPr>
        <w:tc>
          <w:tcPr>
            <w:tcW w:w="3040" w:type="dxa"/>
            <w:tcBorders>
              <w:top w:val="single" w:sz="4" w:space="0" w:color="auto"/>
              <w:left w:val="single" w:sz="4" w:space="0" w:color="auto"/>
              <w:bottom w:val="nil"/>
              <w:right w:val="single" w:sz="4" w:space="0" w:color="auto"/>
            </w:tcBorders>
            <w:shd w:val="clear" w:color="auto" w:fill="000000"/>
            <w:vAlign w:val="bottom"/>
            <w:hideMark/>
          </w:tcPr>
          <w:p w14:paraId="27BBFC98" w14:textId="77777777" w:rsidR="006F5C60" w:rsidRPr="006F5C60" w:rsidRDefault="006F5C60" w:rsidP="006F5C60">
            <w:pPr>
              <w:spacing w:before="60" w:after="60" w:line="240" w:lineRule="auto"/>
              <w:jc w:val="both"/>
              <w:rPr>
                <w:rFonts w:ascii="Helvetica" w:eastAsia="Times New Roman" w:hAnsi="Helvetica" w:cs="Helvetica"/>
                <w:b/>
                <w:color w:val="FFFFFF"/>
                <w:sz w:val="15"/>
                <w:szCs w:val="14"/>
                <w:lang w:val="en-NZ"/>
              </w:rPr>
            </w:pPr>
            <w:r w:rsidRPr="006F5C60">
              <w:rPr>
                <w:rFonts w:ascii="Helvetica" w:eastAsia="Times New Roman" w:hAnsi="Helvetica" w:cs="Helvetica"/>
                <w:b/>
                <w:color w:val="FFFFFF"/>
                <w:sz w:val="15"/>
                <w:szCs w:val="14"/>
                <w:lang w:val="en-NZ"/>
              </w:rPr>
              <w:t>Introduction date</w:t>
            </w:r>
          </w:p>
        </w:tc>
        <w:tc>
          <w:tcPr>
            <w:tcW w:w="3080" w:type="dxa"/>
            <w:gridSpan w:val="2"/>
            <w:tcBorders>
              <w:top w:val="nil"/>
              <w:left w:val="nil"/>
              <w:bottom w:val="nil"/>
              <w:right w:val="single" w:sz="4" w:space="0" w:color="000000"/>
            </w:tcBorders>
            <w:shd w:val="clear" w:color="auto" w:fill="000000"/>
            <w:vAlign w:val="center"/>
            <w:hideMark/>
          </w:tcPr>
          <w:p w14:paraId="71D61B13" w14:textId="77777777" w:rsidR="006F5C60" w:rsidRPr="006F5C60" w:rsidRDefault="006F5C60" w:rsidP="006F5C60">
            <w:pPr>
              <w:spacing w:before="60" w:after="60" w:line="240" w:lineRule="auto"/>
              <w:jc w:val="both"/>
              <w:rPr>
                <w:rFonts w:ascii="Helvetica" w:eastAsia="Times New Roman" w:hAnsi="Helvetica" w:cs="Helvetica"/>
                <w:b/>
                <w:color w:val="FFFFFF"/>
                <w:sz w:val="15"/>
                <w:szCs w:val="14"/>
                <w:lang w:val="en-NZ"/>
              </w:rPr>
            </w:pPr>
            <w:r w:rsidRPr="006F5C60">
              <w:rPr>
                <w:rFonts w:ascii="Helvetica" w:eastAsia="Times New Roman" w:hAnsi="Helvetica" w:cs="Helvetica"/>
                <w:b/>
                <w:color w:val="FFFFFF"/>
                <w:sz w:val="15"/>
                <w:szCs w:val="14"/>
                <w:lang w:val="en-NZ"/>
              </w:rPr>
              <w:t>Refrigerated storage cabinets</w:t>
            </w:r>
          </w:p>
        </w:tc>
        <w:tc>
          <w:tcPr>
            <w:tcW w:w="3080" w:type="dxa"/>
            <w:gridSpan w:val="2"/>
            <w:tcBorders>
              <w:top w:val="single" w:sz="4" w:space="0" w:color="auto"/>
              <w:left w:val="nil"/>
              <w:bottom w:val="single" w:sz="4" w:space="0" w:color="auto"/>
              <w:right w:val="single" w:sz="4" w:space="0" w:color="000000"/>
            </w:tcBorders>
            <w:shd w:val="clear" w:color="auto" w:fill="000000"/>
            <w:noWrap/>
            <w:vAlign w:val="center"/>
            <w:hideMark/>
          </w:tcPr>
          <w:p w14:paraId="3DD98929" w14:textId="77777777" w:rsidR="006F5C60" w:rsidRPr="006F5C60" w:rsidRDefault="006F5C60" w:rsidP="006F5C60">
            <w:pPr>
              <w:spacing w:before="60" w:after="60" w:line="240" w:lineRule="auto"/>
              <w:jc w:val="both"/>
              <w:rPr>
                <w:rFonts w:ascii="Helvetica" w:eastAsia="Times New Roman" w:hAnsi="Helvetica" w:cs="Helvetica"/>
                <w:b/>
                <w:color w:val="FFFFFF"/>
                <w:sz w:val="15"/>
                <w:szCs w:val="14"/>
                <w:lang w:val="en-NZ"/>
              </w:rPr>
            </w:pPr>
            <w:r w:rsidRPr="006F5C60">
              <w:rPr>
                <w:rFonts w:ascii="Helvetica" w:eastAsia="Times New Roman" w:hAnsi="Helvetica" w:cs="Helvetica"/>
                <w:b/>
                <w:color w:val="FFFFFF"/>
                <w:sz w:val="15"/>
                <w:szCs w:val="14"/>
                <w:lang w:val="en-NZ"/>
              </w:rPr>
              <w:t>Refrigerated display cabinets</w:t>
            </w:r>
          </w:p>
        </w:tc>
      </w:tr>
      <w:tr w:rsidR="006F5C60" w:rsidRPr="006F5C60" w14:paraId="6903E8E7" w14:textId="77777777" w:rsidTr="006F5C60">
        <w:trPr>
          <w:trHeight w:val="315"/>
        </w:trPr>
        <w:tc>
          <w:tcPr>
            <w:tcW w:w="30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26763F9"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From 1 July 2016</w:t>
            </w:r>
          </w:p>
        </w:tc>
        <w:tc>
          <w:tcPr>
            <w:tcW w:w="30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3730C2A"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EEI &lt; 115</w:t>
            </w:r>
          </w:p>
        </w:tc>
        <w:tc>
          <w:tcPr>
            <w:tcW w:w="1540" w:type="dxa"/>
            <w:tcBorders>
              <w:top w:val="nil"/>
              <w:left w:val="nil"/>
              <w:bottom w:val="nil"/>
              <w:right w:val="nil"/>
            </w:tcBorders>
            <w:shd w:val="clear" w:color="000000" w:fill="D9D9D9"/>
            <w:noWrap/>
            <w:vAlign w:val="bottom"/>
            <w:hideMark/>
          </w:tcPr>
          <w:p w14:paraId="1FA696C1"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 </w:t>
            </w:r>
          </w:p>
        </w:tc>
        <w:tc>
          <w:tcPr>
            <w:tcW w:w="1540" w:type="dxa"/>
            <w:tcBorders>
              <w:top w:val="nil"/>
              <w:left w:val="nil"/>
              <w:bottom w:val="nil"/>
              <w:right w:val="single" w:sz="4" w:space="0" w:color="auto"/>
            </w:tcBorders>
            <w:shd w:val="clear" w:color="000000" w:fill="D9D9D9"/>
            <w:noWrap/>
            <w:vAlign w:val="bottom"/>
            <w:hideMark/>
          </w:tcPr>
          <w:p w14:paraId="54F22861"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 </w:t>
            </w:r>
          </w:p>
        </w:tc>
      </w:tr>
      <w:tr w:rsidR="006F5C60" w:rsidRPr="006F5C60" w14:paraId="1EA4921B" w14:textId="77777777" w:rsidTr="006F5C60">
        <w:trPr>
          <w:trHeight w:val="300"/>
        </w:trPr>
        <w:tc>
          <w:tcPr>
            <w:tcW w:w="3040" w:type="dxa"/>
            <w:vMerge/>
            <w:tcBorders>
              <w:top w:val="single" w:sz="4" w:space="0" w:color="auto"/>
              <w:left w:val="single" w:sz="4" w:space="0" w:color="auto"/>
              <w:bottom w:val="single" w:sz="4" w:space="0" w:color="000000"/>
              <w:right w:val="single" w:sz="4" w:space="0" w:color="000000"/>
            </w:tcBorders>
            <w:vAlign w:val="center"/>
            <w:hideMark/>
          </w:tcPr>
          <w:p w14:paraId="560AD3B0"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p>
        </w:tc>
        <w:tc>
          <w:tcPr>
            <w:tcW w:w="3080" w:type="dxa"/>
            <w:gridSpan w:val="2"/>
            <w:vMerge/>
            <w:tcBorders>
              <w:top w:val="single" w:sz="4" w:space="0" w:color="auto"/>
              <w:left w:val="single" w:sz="4" w:space="0" w:color="auto"/>
              <w:bottom w:val="single" w:sz="4" w:space="0" w:color="000000"/>
              <w:right w:val="single" w:sz="4" w:space="0" w:color="000000"/>
            </w:tcBorders>
            <w:vAlign w:val="center"/>
            <w:hideMark/>
          </w:tcPr>
          <w:p w14:paraId="7867E4BF"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p>
        </w:tc>
        <w:tc>
          <w:tcPr>
            <w:tcW w:w="1540" w:type="dxa"/>
            <w:tcBorders>
              <w:top w:val="nil"/>
              <w:left w:val="nil"/>
              <w:bottom w:val="single" w:sz="4" w:space="0" w:color="auto"/>
              <w:right w:val="nil"/>
            </w:tcBorders>
            <w:shd w:val="clear" w:color="000000" w:fill="D9D9D9"/>
            <w:noWrap/>
            <w:vAlign w:val="bottom"/>
            <w:hideMark/>
          </w:tcPr>
          <w:p w14:paraId="44BF5D1C"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 </w:t>
            </w:r>
          </w:p>
        </w:tc>
        <w:tc>
          <w:tcPr>
            <w:tcW w:w="1540" w:type="dxa"/>
            <w:tcBorders>
              <w:top w:val="nil"/>
              <w:left w:val="nil"/>
              <w:bottom w:val="single" w:sz="4" w:space="0" w:color="auto"/>
              <w:right w:val="single" w:sz="4" w:space="0" w:color="auto"/>
            </w:tcBorders>
            <w:shd w:val="clear" w:color="000000" w:fill="D9D9D9"/>
            <w:noWrap/>
            <w:vAlign w:val="bottom"/>
            <w:hideMark/>
          </w:tcPr>
          <w:p w14:paraId="7C63E066"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 </w:t>
            </w:r>
          </w:p>
        </w:tc>
      </w:tr>
      <w:tr w:rsidR="006F5C60" w:rsidRPr="006F5C60" w14:paraId="1ECAEBA1" w14:textId="77777777" w:rsidTr="006F5C60">
        <w:trPr>
          <w:trHeight w:val="300"/>
        </w:trPr>
        <w:tc>
          <w:tcPr>
            <w:tcW w:w="30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A85E2C3"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From 1 January 2018*</w:t>
            </w:r>
          </w:p>
        </w:tc>
        <w:tc>
          <w:tcPr>
            <w:tcW w:w="1540" w:type="dxa"/>
            <w:tcBorders>
              <w:top w:val="nil"/>
              <w:left w:val="nil"/>
              <w:bottom w:val="nil"/>
              <w:right w:val="nil"/>
            </w:tcBorders>
            <w:shd w:val="clear" w:color="000000" w:fill="D9D9D9"/>
            <w:noWrap/>
            <w:vAlign w:val="bottom"/>
            <w:hideMark/>
          </w:tcPr>
          <w:p w14:paraId="6D591B38"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 </w:t>
            </w:r>
          </w:p>
        </w:tc>
        <w:tc>
          <w:tcPr>
            <w:tcW w:w="1540" w:type="dxa"/>
            <w:tcBorders>
              <w:top w:val="nil"/>
              <w:left w:val="nil"/>
              <w:bottom w:val="nil"/>
              <w:right w:val="single" w:sz="4" w:space="0" w:color="auto"/>
            </w:tcBorders>
            <w:shd w:val="clear" w:color="000000" w:fill="D9D9D9"/>
            <w:noWrap/>
            <w:vAlign w:val="bottom"/>
            <w:hideMark/>
          </w:tcPr>
          <w:p w14:paraId="0E761F05"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 </w:t>
            </w:r>
          </w:p>
        </w:tc>
        <w:tc>
          <w:tcPr>
            <w:tcW w:w="30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490B70A"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EEI &lt; 150</w:t>
            </w:r>
          </w:p>
        </w:tc>
      </w:tr>
      <w:tr w:rsidR="006F5C60" w:rsidRPr="006F5C60" w14:paraId="59D8471D" w14:textId="77777777" w:rsidTr="006F5C60">
        <w:trPr>
          <w:trHeight w:val="300"/>
        </w:trPr>
        <w:tc>
          <w:tcPr>
            <w:tcW w:w="3040" w:type="dxa"/>
            <w:vMerge/>
            <w:tcBorders>
              <w:top w:val="single" w:sz="4" w:space="0" w:color="auto"/>
              <w:left w:val="single" w:sz="4" w:space="0" w:color="auto"/>
              <w:bottom w:val="single" w:sz="4" w:space="0" w:color="000000"/>
              <w:right w:val="single" w:sz="4" w:space="0" w:color="000000"/>
            </w:tcBorders>
            <w:vAlign w:val="center"/>
            <w:hideMark/>
          </w:tcPr>
          <w:p w14:paraId="69BE2FAA"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p>
        </w:tc>
        <w:tc>
          <w:tcPr>
            <w:tcW w:w="1540" w:type="dxa"/>
            <w:tcBorders>
              <w:top w:val="nil"/>
              <w:left w:val="nil"/>
              <w:bottom w:val="single" w:sz="4" w:space="0" w:color="auto"/>
              <w:right w:val="nil"/>
            </w:tcBorders>
            <w:shd w:val="clear" w:color="000000" w:fill="D9D9D9"/>
            <w:noWrap/>
            <w:vAlign w:val="bottom"/>
            <w:hideMark/>
          </w:tcPr>
          <w:p w14:paraId="40378518"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 </w:t>
            </w:r>
          </w:p>
        </w:tc>
        <w:tc>
          <w:tcPr>
            <w:tcW w:w="1540" w:type="dxa"/>
            <w:tcBorders>
              <w:top w:val="nil"/>
              <w:left w:val="nil"/>
              <w:bottom w:val="single" w:sz="4" w:space="0" w:color="auto"/>
              <w:right w:val="single" w:sz="4" w:space="0" w:color="auto"/>
            </w:tcBorders>
            <w:shd w:val="clear" w:color="000000" w:fill="D9D9D9"/>
            <w:noWrap/>
            <w:vAlign w:val="bottom"/>
            <w:hideMark/>
          </w:tcPr>
          <w:p w14:paraId="2CF9B89F"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 </w:t>
            </w:r>
          </w:p>
        </w:tc>
        <w:tc>
          <w:tcPr>
            <w:tcW w:w="3080" w:type="dxa"/>
            <w:gridSpan w:val="2"/>
            <w:vMerge/>
            <w:tcBorders>
              <w:top w:val="nil"/>
              <w:left w:val="nil"/>
              <w:bottom w:val="single" w:sz="4" w:space="0" w:color="auto"/>
              <w:right w:val="single" w:sz="4" w:space="0" w:color="auto"/>
            </w:tcBorders>
            <w:vAlign w:val="center"/>
            <w:hideMark/>
          </w:tcPr>
          <w:p w14:paraId="032C6982"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p>
        </w:tc>
      </w:tr>
      <w:tr w:rsidR="006F5C60" w:rsidRPr="006F5C60" w14:paraId="71D9E89C" w14:textId="77777777" w:rsidTr="006F5C60">
        <w:trPr>
          <w:trHeight w:val="300"/>
        </w:trPr>
        <w:tc>
          <w:tcPr>
            <w:tcW w:w="30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92D07CA"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From 1 January 2018</w:t>
            </w:r>
          </w:p>
        </w:tc>
        <w:tc>
          <w:tcPr>
            <w:tcW w:w="30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F90C293"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EEI &lt; 95</w:t>
            </w:r>
          </w:p>
        </w:tc>
        <w:tc>
          <w:tcPr>
            <w:tcW w:w="1540" w:type="dxa"/>
            <w:tcBorders>
              <w:top w:val="nil"/>
              <w:left w:val="nil"/>
              <w:bottom w:val="nil"/>
              <w:right w:val="nil"/>
            </w:tcBorders>
            <w:shd w:val="clear" w:color="000000" w:fill="D9D9D9"/>
            <w:noWrap/>
            <w:vAlign w:val="bottom"/>
            <w:hideMark/>
          </w:tcPr>
          <w:p w14:paraId="5F855459"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 </w:t>
            </w:r>
          </w:p>
        </w:tc>
        <w:tc>
          <w:tcPr>
            <w:tcW w:w="1540" w:type="dxa"/>
            <w:tcBorders>
              <w:top w:val="nil"/>
              <w:left w:val="nil"/>
              <w:bottom w:val="nil"/>
              <w:right w:val="single" w:sz="4" w:space="0" w:color="auto"/>
            </w:tcBorders>
            <w:shd w:val="clear" w:color="000000" w:fill="D9D9D9"/>
            <w:noWrap/>
            <w:vAlign w:val="bottom"/>
            <w:hideMark/>
          </w:tcPr>
          <w:p w14:paraId="1901B719"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 </w:t>
            </w:r>
          </w:p>
        </w:tc>
      </w:tr>
      <w:tr w:rsidR="006F5C60" w:rsidRPr="006F5C60" w14:paraId="6A66A6A4" w14:textId="77777777" w:rsidTr="006F5C60">
        <w:trPr>
          <w:trHeight w:val="300"/>
        </w:trPr>
        <w:tc>
          <w:tcPr>
            <w:tcW w:w="3040" w:type="dxa"/>
            <w:vMerge/>
            <w:tcBorders>
              <w:top w:val="single" w:sz="4" w:space="0" w:color="auto"/>
              <w:left w:val="single" w:sz="4" w:space="0" w:color="auto"/>
              <w:bottom w:val="single" w:sz="4" w:space="0" w:color="000000"/>
              <w:right w:val="single" w:sz="4" w:space="0" w:color="000000"/>
            </w:tcBorders>
            <w:vAlign w:val="center"/>
            <w:hideMark/>
          </w:tcPr>
          <w:p w14:paraId="4FBDA128"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p>
        </w:tc>
        <w:tc>
          <w:tcPr>
            <w:tcW w:w="3080" w:type="dxa"/>
            <w:gridSpan w:val="2"/>
            <w:vMerge/>
            <w:tcBorders>
              <w:top w:val="single" w:sz="4" w:space="0" w:color="auto"/>
              <w:left w:val="single" w:sz="4" w:space="0" w:color="auto"/>
              <w:bottom w:val="single" w:sz="4" w:space="0" w:color="000000"/>
              <w:right w:val="single" w:sz="4" w:space="0" w:color="000000"/>
            </w:tcBorders>
            <w:vAlign w:val="center"/>
            <w:hideMark/>
          </w:tcPr>
          <w:p w14:paraId="38DC585E"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p>
        </w:tc>
        <w:tc>
          <w:tcPr>
            <w:tcW w:w="1540" w:type="dxa"/>
            <w:tcBorders>
              <w:top w:val="nil"/>
              <w:left w:val="nil"/>
              <w:bottom w:val="single" w:sz="4" w:space="0" w:color="auto"/>
              <w:right w:val="nil"/>
            </w:tcBorders>
            <w:shd w:val="clear" w:color="000000" w:fill="D9D9D9"/>
            <w:noWrap/>
            <w:vAlign w:val="bottom"/>
            <w:hideMark/>
          </w:tcPr>
          <w:p w14:paraId="7836EA02"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 </w:t>
            </w:r>
          </w:p>
        </w:tc>
        <w:tc>
          <w:tcPr>
            <w:tcW w:w="1540" w:type="dxa"/>
            <w:tcBorders>
              <w:top w:val="nil"/>
              <w:left w:val="nil"/>
              <w:bottom w:val="single" w:sz="4" w:space="0" w:color="auto"/>
              <w:right w:val="single" w:sz="4" w:space="0" w:color="auto"/>
            </w:tcBorders>
            <w:shd w:val="clear" w:color="000000" w:fill="D9D9D9"/>
            <w:noWrap/>
            <w:vAlign w:val="bottom"/>
            <w:hideMark/>
          </w:tcPr>
          <w:p w14:paraId="6DBC4316"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 </w:t>
            </w:r>
          </w:p>
        </w:tc>
      </w:tr>
      <w:tr w:rsidR="006F5C60" w:rsidRPr="006F5C60" w14:paraId="65369F82" w14:textId="77777777" w:rsidTr="006F5C60">
        <w:trPr>
          <w:trHeight w:val="300"/>
        </w:trPr>
        <w:tc>
          <w:tcPr>
            <w:tcW w:w="30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F13C0F5"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From 1 January 2019*</w:t>
            </w:r>
          </w:p>
        </w:tc>
        <w:tc>
          <w:tcPr>
            <w:tcW w:w="1540" w:type="dxa"/>
            <w:tcBorders>
              <w:top w:val="nil"/>
              <w:left w:val="nil"/>
              <w:bottom w:val="nil"/>
              <w:right w:val="nil"/>
            </w:tcBorders>
            <w:shd w:val="clear" w:color="000000" w:fill="D9D9D9"/>
            <w:noWrap/>
            <w:vAlign w:val="bottom"/>
            <w:hideMark/>
          </w:tcPr>
          <w:p w14:paraId="33DE7FF9"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 </w:t>
            </w:r>
          </w:p>
        </w:tc>
        <w:tc>
          <w:tcPr>
            <w:tcW w:w="1540" w:type="dxa"/>
            <w:tcBorders>
              <w:top w:val="nil"/>
              <w:left w:val="nil"/>
              <w:bottom w:val="nil"/>
              <w:right w:val="single" w:sz="4" w:space="0" w:color="auto"/>
            </w:tcBorders>
            <w:shd w:val="clear" w:color="000000" w:fill="D9D9D9"/>
            <w:noWrap/>
            <w:vAlign w:val="bottom"/>
            <w:hideMark/>
          </w:tcPr>
          <w:p w14:paraId="79E04ECB"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 </w:t>
            </w:r>
          </w:p>
        </w:tc>
        <w:tc>
          <w:tcPr>
            <w:tcW w:w="30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D3BABB2"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EEI &lt; 130</w:t>
            </w:r>
          </w:p>
        </w:tc>
      </w:tr>
      <w:tr w:rsidR="006F5C60" w:rsidRPr="006F5C60" w14:paraId="3F7D6ACE" w14:textId="77777777" w:rsidTr="006F5C60">
        <w:trPr>
          <w:trHeight w:val="300"/>
        </w:trPr>
        <w:tc>
          <w:tcPr>
            <w:tcW w:w="3040" w:type="dxa"/>
            <w:vMerge/>
            <w:tcBorders>
              <w:top w:val="single" w:sz="4" w:space="0" w:color="auto"/>
              <w:left w:val="single" w:sz="4" w:space="0" w:color="auto"/>
              <w:bottom w:val="single" w:sz="4" w:space="0" w:color="000000"/>
              <w:right w:val="single" w:sz="4" w:space="0" w:color="000000"/>
            </w:tcBorders>
            <w:vAlign w:val="center"/>
            <w:hideMark/>
          </w:tcPr>
          <w:p w14:paraId="7B9221E1"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p>
        </w:tc>
        <w:tc>
          <w:tcPr>
            <w:tcW w:w="1540" w:type="dxa"/>
            <w:tcBorders>
              <w:top w:val="nil"/>
              <w:left w:val="nil"/>
              <w:bottom w:val="single" w:sz="4" w:space="0" w:color="auto"/>
              <w:right w:val="nil"/>
            </w:tcBorders>
            <w:shd w:val="clear" w:color="000000" w:fill="D9D9D9"/>
            <w:noWrap/>
            <w:vAlign w:val="bottom"/>
            <w:hideMark/>
          </w:tcPr>
          <w:p w14:paraId="302AA4E8"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 </w:t>
            </w:r>
          </w:p>
        </w:tc>
        <w:tc>
          <w:tcPr>
            <w:tcW w:w="1540" w:type="dxa"/>
            <w:tcBorders>
              <w:top w:val="nil"/>
              <w:left w:val="nil"/>
              <w:bottom w:val="single" w:sz="4" w:space="0" w:color="auto"/>
              <w:right w:val="single" w:sz="4" w:space="0" w:color="auto"/>
            </w:tcBorders>
            <w:shd w:val="clear" w:color="000000" w:fill="D9D9D9"/>
            <w:noWrap/>
            <w:vAlign w:val="bottom"/>
            <w:hideMark/>
          </w:tcPr>
          <w:p w14:paraId="6F052EF9"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 </w:t>
            </w:r>
          </w:p>
        </w:tc>
        <w:tc>
          <w:tcPr>
            <w:tcW w:w="3080" w:type="dxa"/>
            <w:gridSpan w:val="2"/>
            <w:vMerge/>
            <w:tcBorders>
              <w:top w:val="nil"/>
              <w:left w:val="nil"/>
              <w:bottom w:val="single" w:sz="4" w:space="0" w:color="auto"/>
              <w:right w:val="single" w:sz="4" w:space="0" w:color="auto"/>
            </w:tcBorders>
            <w:vAlign w:val="center"/>
            <w:hideMark/>
          </w:tcPr>
          <w:p w14:paraId="34E7E65E"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p>
        </w:tc>
      </w:tr>
      <w:tr w:rsidR="006F5C60" w:rsidRPr="006F5C60" w14:paraId="45C27C2E" w14:textId="77777777" w:rsidTr="006F5C60">
        <w:trPr>
          <w:trHeight w:val="300"/>
        </w:trPr>
        <w:tc>
          <w:tcPr>
            <w:tcW w:w="30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97745B0"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From 1 July 2019</w:t>
            </w:r>
          </w:p>
        </w:tc>
        <w:tc>
          <w:tcPr>
            <w:tcW w:w="30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FB95D81"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EEI &lt; 85</w:t>
            </w:r>
          </w:p>
        </w:tc>
        <w:tc>
          <w:tcPr>
            <w:tcW w:w="1540" w:type="dxa"/>
            <w:tcBorders>
              <w:top w:val="nil"/>
              <w:left w:val="nil"/>
              <w:bottom w:val="nil"/>
              <w:right w:val="nil"/>
            </w:tcBorders>
            <w:shd w:val="clear" w:color="000000" w:fill="D9D9D9"/>
            <w:noWrap/>
            <w:vAlign w:val="bottom"/>
            <w:hideMark/>
          </w:tcPr>
          <w:p w14:paraId="054525A3"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 </w:t>
            </w:r>
          </w:p>
        </w:tc>
        <w:tc>
          <w:tcPr>
            <w:tcW w:w="1540" w:type="dxa"/>
            <w:tcBorders>
              <w:top w:val="nil"/>
              <w:left w:val="nil"/>
              <w:bottom w:val="nil"/>
              <w:right w:val="single" w:sz="4" w:space="0" w:color="auto"/>
            </w:tcBorders>
            <w:shd w:val="clear" w:color="000000" w:fill="D9D9D9"/>
            <w:noWrap/>
            <w:vAlign w:val="bottom"/>
            <w:hideMark/>
          </w:tcPr>
          <w:p w14:paraId="48C196C9"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 </w:t>
            </w:r>
          </w:p>
        </w:tc>
      </w:tr>
      <w:tr w:rsidR="006F5C60" w:rsidRPr="006F5C60" w14:paraId="7B921D08" w14:textId="77777777" w:rsidTr="006F5C60">
        <w:trPr>
          <w:trHeight w:val="300"/>
        </w:trPr>
        <w:tc>
          <w:tcPr>
            <w:tcW w:w="3040" w:type="dxa"/>
            <w:vMerge/>
            <w:tcBorders>
              <w:top w:val="single" w:sz="4" w:space="0" w:color="auto"/>
              <w:left w:val="single" w:sz="4" w:space="0" w:color="auto"/>
              <w:bottom w:val="single" w:sz="4" w:space="0" w:color="000000"/>
              <w:right w:val="single" w:sz="4" w:space="0" w:color="000000"/>
            </w:tcBorders>
            <w:vAlign w:val="center"/>
            <w:hideMark/>
          </w:tcPr>
          <w:p w14:paraId="5122BE69"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p>
        </w:tc>
        <w:tc>
          <w:tcPr>
            <w:tcW w:w="3080" w:type="dxa"/>
            <w:gridSpan w:val="2"/>
            <w:vMerge/>
            <w:tcBorders>
              <w:top w:val="single" w:sz="4" w:space="0" w:color="auto"/>
              <w:left w:val="single" w:sz="4" w:space="0" w:color="auto"/>
              <w:bottom w:val="single" w:sz="4" w:space="0" w:color="000000"/>
              <w:right w:val="single" w:sz="4" w:space="0" w:color="000000"/>
            </w:tcBorders>
            <w:vAlign w:val="center"/>
            <w:hideMark/>
          </w:tcPr>
          <w:p w14:paraId="3CEFA9D9"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p>
        </w:tc>
        <w:tc>
          <w:tcPr>
            <w:tcW w:w="1540" w:type="dxa"/>
            <w:tcBorders>
              <w:top w:val="nil"/>
              <w:left w:val="nil"/>
              <w:bottom w:val="single" w:sz="4" w:space="0" w:color="auto"/>
              <w:right w:val="nil"/>
            </w:tcBorders>
            <w:shd w:val="clear" w:color="000000" w:fill="D9D9D9"/>
            <w:noWrap/>
            <w:vAlign w:val="bottom"/>
            <w:hideMark/>
          </w:tcPr>
          <w:p w14:paraId="5153AC4B"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 </w:t>
            </w:r>
          </w:p>
        </w:tc>
        <w:tc>
          <w:tcPr>
            <w:tcW w:w="1540" w:type="dxa"/>
            <w:tcBorders>
              <w:top w:val="nil"/>
              <w:left w:val="nil"/>
              <w:bottom w:val="single" w:sz="4" w:space="0" w:color="auto"/>
              <w:right w:val="single" w:sz="4" w:space="0" w:color="auto"/>
            </w:tcBorders>
            <w:shd w:val="clear" w:color="000000" w:fill="D9D9D9"/>
            <w:noWrap/>
            <w:vAlign w:val="bottom"/>
            <w:hideMark/>
          </w:tcPr>
          <w:p w14:paraId="12059782"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 </w:t>
            </w:r>
          </w:p>
        </w:tc>
      </w:tr>
      <w:tr w:rsidR="006F5C60" w:rsidRPr="006F5C60" w14:paraId="46168E82" w14:textId="77777777" w:rsidTr="006F5C60">
        <w:trPr>
          <w:trHeight w:val="300"/>
        </w:trPr>
        <w:tc>
          <w:tcPr>
            <w:tcW w:w="30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F70AEB3"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From 1 January 2021*</w:t>
            </w:r>
          </w:p>
        </w:tc>
        <w:tc>
          <w:tcPr>
            <w:tcW w:w="1540" w:type="dxa"/>
            <w:tcBorders>
              <w:top w:val="nil"/>
              <w:left w:val="nil"/>
              <w:bottom w:val="nil"/>
              <w:right w:val="nil"/>
            </w:tcBorders>
            <w:shd w:val="clear" w:color="000000" w:fill="D9D9D9"/>
            <w:noWrap/>
            <w:vAlign w:val="bottom"/>
            <w:hideMark/>
          </w:tcPr>
          <w:p w14:paraId="10EAC6FF"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 </w:t>
            </w:r>
          </w:p>
        </w:tc>
        <w:tc>
          <w:tcPr>
            <w:tcW w:w="1540" w:type="dxa"/>
            <w:tcBorders>
              <w:top w:val="nil"/>
              <w:left w:val="nil"/>
              <w:bottom w:val="nil"/>
              <w:right w:val="single" w:sz="4" w:space="0" w:color="auto"/>
            </w:tcBorders>
            <w:shd w:val="clear" w:color="000000" w:fill="D9D9D9"/>
            <w:noWrap/>
            <w:vAlign w:val="bottom"/>
            <w:hideMark/>
          </w:tcPr>
          <w:p w14:paraId="19E0E06F"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 </w:t>
            </w:r>
          </w:p>
        </w:tc>
        <w:tc>
          <w:tcPr>
            <w:tcW w:w="30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30EB3DA"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EEI &lt; 110</w:t>
            </w:r>
          </w:p>
        </w:tc>
      </w:tr>
      <w:tr w:rsidR="006F5C60" w:rsidRPr="006F5C60" w14:paraId="1B5ED540" w14:textId="77777777" w:rsidTr="006F5C60">
        <w:trPr>
          <w:trHeight w:val="300"/>
        </w:trPr>
        <w:tc>
          <w:tcPr>
            <w:tcW w:w="3040" w:type="dxa"/>
            <w:vMerge/>
            <w:tcBorders>
              <w:top w:val="single" w:sz="4" w:space="0" w:color="auto"/>
              <w:left w:val="single" w:sz="4" w:space="0" w:color="auto"/>
              <w:bottom w:val="single" w:sz="4" w:space="0" w:color="000000"/>
              <w:right w:val="single" w:sz="4" w:space="0" w:color="000000"/>
            </w:tcBorders>
            <w:vAlign w:val="center"/>
            <w:hideMark/>
          </w:tcPr>
          <w:p w14:paraId="6A65E2AC"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p>
        </w:tc>
        <w:tc>
          <w:tcPr>
            <w:tcW w:w="1540" w:type="dxa"/>
            <w:tcBorders>
              <w:top w:val="nil"/>
              <w:left w:val="nil"/>
              <w:bottom w:val="single" w:sz="4" w:space="0" w:color="auto"/>
              <w:right w:val="nil"/>
            </w:tcBorders>
            <w:shd w:val="clear" w:color="000000" w:fill="D9D9D9"/>
            <w:noWrap/>
            <w:vAlign w:val="bottom"/>
            <w:hideMark/>
          </w:tcPr>
          <w:p w14:paraId="61B5CB55"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 </w:t>
            </w:r>
          </w:p>
        </w:tc>
        <w:tc>
          <w:tcPr>
            <w:tcW w:w="1540" w:type="dxa"/>
            <w:tcBorders>
              <w:top w:val="nil"/>
              <w:left w:val="nil"/>
              <w:bottom w:val="single" w:sz="4" w:space="0" w:color="auto"/>
              <w:right w:val="single" w:sz="4" w:space="0" w:color="auto"/>
            </w:tcBorders>
            <w:shd w:val="clear" w:color="000000" w:fill="D9D9D9"/>
            <w:noWrap/>
            <w:vAlign w:val="bottom"/>
            <w:hideMark/>
          </w:tcPr>
          <w:p w14:paraId="16465678"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r w:rsidRPr="006F5C60">
              <w:rPr>
                <w:rFonts w:ascii="Helvetica" w:eastAsia="Times New Roman" w:hAnsi="Helvetica" w:cs="Helvetica"/>
                <w:b/>
                <w:sz w:val="15"/>
                <w:szCs w:val="14"/>
                <w:lang w:val="en-NZ"/>
              </w:rPr>
              <w:t> </w:t>
            </w:r>
          </w:p>
        </w:tc>
        <w:tc>
          <w:tcPr>
            <w:tcW w:w="3080" w:type="dxa"/>
            <w:gridSpan w:val="2"/>
            <w:vMerge/>
            <w:tcBorders>
              <w:top w:val="nil"/>
              <w:left w:val="nil"/>
              <w:bottom w:val="single" w:sz="4" w:space="0" w:color="auto"/>
              <w:right w:val="single" w:sz="4" w:space="0" w:color="auto"/>
            </w:tcBorders>
            <w:vAlign w:val="center"/>
            <w:hideMark/>
          </w:tcPr>
          <w:p w14:paraId="23700439" w14:textId="77777777" w:rsidR="006F5C60" w:rsidRPr="006F5C60" w:rsidRDefault="006F5C60" w:rsidP="006F5C60">
            <w:pPr>
              <w:spacing w:before="60" w:after="60" w:line="240" w:lineRule="auto"/>
              <w:jc w:val="both"/>
              <w:rPr>
                <w:rFonts w:ascii="Helvetica" w:eastAsia="Times New Roman" w:hAnsi="Helvetica" w:cs="Helvetica"/>
                <w:b/>
                <w:sz w:val="15"/>
                <w:szCs w:val="14"/>
                <w:lang w:val="en-NZ"/>
              </w:rPr>
            </w:pPr>
          </w:p>
        </w:tc>
      </w:tr>
    </w:tbl>
    <w:p w14:paraId="24C5BECF" w14:textId="77777777" w:rsidR="006F5C60" w:rsidRDefault="006F5C60" w:rsidP="006F5C60">
      <w:pPr>
        <w:pStyle w:val="E3tabletext1"/>
        <w:jc w:val="left"/>
        <w:rPr>
          <w:sz w:val="16"/>
          <w:lang w:val="en-NZ"/>
        </w:rPr>
      </w:pPr>
    </w:p>
    <w:p w14:paraId="5135C711" w14:textId="77777777" w:rsidR="006F5C60" w:rsidRDefault="006F5C60" w:rsidP="006F5C60">
      <w:pPr>
        <w:pStyle w:val="E3tabletext1"/>
        <w:jc w:val="left"/>
        <w:rPr>
          <w:sz w:val="16"/>
          <w:lang w:val="en-NZ"/>
        </w:rPr>
      </w:pPr>
      <w:r w:rsidRPr="0069383A">
        <w:rPr>
          <w:sz w:val="16"/>
          <w:lang w:val="en-NZ"/>
        </w:rPr>
        <w:t>* Dates for cabinets other than storage cabinets, and MEPS EEI levels – are indicative only. These were taken from the April 2016 EU documents and are not publically available for comment.</w:t>
      </w:r>
    </w:p>
    <w:p w14:paraId="1722B60A" w14:textId="77777777" w:rsidR="006F5C60" w:rsidRPr="0069383A" w:rsidRDefault="006F5C60" w:rsidP="00803448">
      <w:pPr>
        <w:pStyle w:val="E3tabletext1"/>
        <w:jc w:val="left"/>
        <w:rPr>
          <w:sz w:val="16"/>
          <w:lang w:val="en-NZ"/>
        </w:rPr>
      </w:pPr>
    </w:p>
    <w:p w14:paraId="29AE4F76" w14:textId="77777777" w:rsidR="006F5C60" w:rsidRPr="0069383A" w:rsidRDefault="006F5C60" w:rsidP="00803448">
      <w:pPr>
        <w:pStyle w:val="E3BodyText"/>
        <w:rPr>
          <w:lang w:val="en-NZ" w:eastAsia="en-NZ"/>
        </w:rPr>
      </w:pPr>
      <w:r>
        <w:rPr>
          <w:lang w:val="en-NZ" w:eastAsia="en-NZ"/>
        </w:rPr>
        <w:t>At present</w:t>
      </w:r>
      <w:r w:rsidRPr="00AC7259">
        <w:rPr>
          <w:lang w:val="en-NZ" w:eastAsia="en-NZ"/>
        </w:rPr>
        <w:t xml:space="preserve">, the efficiency grade G covers all cabinets with an EEI higher than 130 or 140, depending on the type. In 2019 all cabinets will have to score an EEI </w:t>
      </w:r>
      <w:r>
        <w:rPr>
          <w:lang w:val="en-NZ" w:eastAsia="en-NZ"/>
        </w:rPr>
        <w:t xml:space="preserve">of </w:t>
      </w:r>
      <w:r w:rsidRPr="00AC7259">
        <w:rPr>
          <w:lang w:val="en-NZ" w:eastAsia="en-NZ"/>
        </w:rPr>
        <w:t>less than 130, and by 2021, all types will have to perform better than an EEI score of 110.</w:t>
      </w:r>
    </w:p>
    <w:p w14:paraId="7B8BDBFB" w14:textId="76D93311" w:rsidR="006F5C60" w:rsidRDefault="006F5C60" w:rsidP="006F5C60">
      <w:pPr>
        <w:pStyle w:val="E3TableTitles"/>
        <w:spacing w:before="240" w:after="240"/>
      </w:pPr>
      <w:bookmarkStart w:id="521" w:name="_Ref453057399"/>
      <w:bookmarkStart w:id="522" w:name="_Toc456164811"/>
      <w:bookmarkStart w:id="523" w:name="_Toc500159682"/>
      <w:r>
        <w:t xml:space="preserve">Table F </w:t>
      </w:r>
      <w:r>
        <w:fldChar w:fldCharType="begin"/>
      </w:r>
      <w:r>
        <w:instrText xml:space="preserve"> SEQ Table_F \* ARABIC </w:instrText>
      </w:r>
      <w:r>
        <w:fldChar w:fldCharType="separate"/>
      </w:r>
      <w:r w:rsidR="00D51B4B">
        <w:rPr>
          <w:noProof/>
        </w:rPr>
        <w:t>1</w:t>
      </w:r>
      <w:r>
        <w:rPr>
          <w:noProof/>
        </w:rPr>
        <w:fldChar w:fldCharType="end"/>
      </w:r>
      <w:bookmarkEnd w:id="517"/>
      <w:bookmarkEnd w:id="521"/>
      <w:r w:rsidRPr="006525A3">
        <w:t xml:space="preserve">: </w:t>
      </w:r>
      <w:r>
        <w:t xml:space="preserve">Draft </w:t>
      </w:r>
      <w:r w:rsidRPr="006525A3">
        <w:t xml:space="preserve">efficiency </w:t>
      </w:r>
      <w:r>
        <w:t xml:space="preserve">labelling </w:t>
      </w:r>
      <w:r w:rsidRPr="006525A3">
        <w:t xml:space="preserve">grades for </w:t>
      </w:r>
      <w:r>
        <w:t>r</w:t>
      </w:r>
      <w:r w:rsidRPr="006525A3">
        <w:t xml:space="preserve">efrigerated </w:t>
      </w:r>
      <w:r>
        <w:t>d</w:t>
      </w:r>
      <w:r w:rsidRPr="006525A3">
        <w:t xml:space="preserve">isplay </w:t>
      </w:r>
      <w:r>
        <w:t>c</w:t>
      </w:r>
      <w:r w:rsidRPr="006525A3">
        <w:t>abinets.</w:t>
      </w:r>
      <w:bookmarkEnd w:id="518"/>
      <w:bookmarkEnd w:id="522"/>
      <w:bookmarkEnd w:id="523"/>
    </w:p>
    <w:tbl>
      <w:tblPr>
        <w:tblW w:w="9616" w:type="dxa"/>
        <w:tblInd w:w="108" w:type="dxa"/>
        <w:tblLook w:val="04A0" w:firstRow="1" w:lastRow="0" w:firstColumn="1" w:lastColumn="0" w:noHBand="0" w:noVBand="1"/>
      </w:tblPr>
      <w:tblGrid>
        <w:gridCol w:w="1600"/>
        <w:gridCol w:w="2036"/>
        <w:gridCol w:w="1908"/>
        <w:gridCol w:w="2036"/>
        <w:gridCol w:w="2036"/>
      </w:tblGrid>
      <w:tr w:rsidR="006F5C60" w:rsidRPr="00114031" w14:paraId="1C121979" w14:textId="77777777" w:rsidTr="006F5C60">
        <w:trPr>
          <w:trHeight w:val="459"/>
        </w:trPr>
        <w:tc>
          <w:tcPr>
            <w:tcW w:w="1600" w:type="dxa"/>
            <w:tcBorders>
              <w:top w:val="single" w:sz="4" w:space="0" w:color="FFFFFF" w:themeColor="background1"/>
              <w:bottom w:val="single" w:sz="4" w:space="0" w:color="FFFFFF" w:themeColor="background1"/>
            </w:tcBorders>
            <w:shd w:val="clear" w:color="auto" w:fill="000000" w:themeFill="text1"/>
            <w:vAlign w:val="center"/>
            <w:hideMark/>
          </w:tcPr>
          <w:p w14:paraId="26EB9C79" w14:textId="77777777" w:rsidR="006F5C60" w:rsidRPr="00114031" w:rsidRDefault="006F5C60" w:rsidP="006F5C60">
            <w:pPr>
              <w:pStyle w:val="E3TableHeading"/>
              <w:jc w:val="both"/>
              <w:rPr>
                <w:lang w:val="en-NZ"/>
              </w:rPr>
            </w:pPr>
            <w:r w:rsidRPr="00114031">
              <w:rPr>
                <w:lang w:val="en-NZ"/>
              </w:rPr>
              <w:t>Energy Efficiency Class</w:t>
            </w:r>
          </w:p>
        </w:tc>
        <w:tc>
          <w:tcPr>
            <w:tcW w:w="2036" w:type="dxa"/>
            <w:tcBorders>
              <w:top w:val="single" w:sz="4" w:space="0" w:color="FFFFFF" w:themeColor="background1"/>
              <w:bottom w:val="single" w:sz="4" w:space="0" w:color="FFFFFF" w:themeColor="background1"/>
            </w:tcBorders>
            <w:shd w:val="clear" w:color="auto" w:fill="000000" w:themeFill="text1"/>
            <w:vAlign w:val="center"/>
            <w:hideMark/>
          </w:tcPr>
          <w:p w14:paraId="37DE875A" w14:textId="77777777" w:rsidR="006F5C60" w:rsidRPr="00114031" w:rsidRDefault="006F5C60" w:rsidP="006F5C60">
            <w:pPr>
              <w:pStyle w:val="E3TableHeading"/>
              <w:jc w:val="both"/>
              <w:rPr>
                <w:lang w:val="en-NZ"/>
              </w:rPr>
            </w:pPr>
            <w:r w:rsidRPr="00114031">
              <w:rPr>
                <w:lang w:val="en-NZ"/>
              </w:rPr>
              <w:t>Commercial Display Cabinets</w:t>
            </w:r>
          </w:p>
        </w:tc>
        <w:tc>
          <w:tcPr>
            <w:tcW w:w="1908" w:type="dxa"/>
            <w:tcBorders>
              <w:top w:val="single" w:sz="4" w:space="0" w:color="FFFFFF" w:themeColor="background1"/>
              <w:bottom w:val="single" w:sz="4" w:space="0" w:color="FFFFFF" w:themeColor="background1"/>
            </w:tcBorders>
            <w:shd w:val="clear" w:color="auto" w:fill="000000" w:themeFill="text1"/>
            <w:noWrap/>
            <w:vAlign w:val="center"/>
            <w:hideMark/>
          </w:tcPr>
          <w:p w14:paraId="6EFB66C7" w14:textId="77777777" w:rsidR="006F5C60" w:rsidRPr="00114031" w:rsidRDefault="006F5C60" w:rsidP="006F5C60">
            <w:pPr>
              <w:pStyle w:val="E3TableHeading"/>
              <w:jc w:val="both"/>
              <w:rPr>
                <w:lang w:val="en-NZ"/>
              </w:rPr>
            </w:pPr>
            <w:r w:rsidRPr="00114031">
              <w:rPr>
                <w:lang w:val="en-NZ"/>
              </w:rPr>
              <w:t>Beverage Coolers</w:t>
            </w:r>
          </w:p>
        </w:tc>
        <w:tc>
          <w:tcPr>
            <w:tcW w:w="2036" w:type="dxa"/>
            <w:tcBorders>
              <w:top w:val="single" w:sz="4" w:space="0" w:color="FFFFFF" w:themeColor="background1"/>
              <w:bottom w:val="single" w:sz="4" w:space="0" w:color="FFFFFF" w:themeColor="background1"/>
            </w:tcBorders>
            <w:shd w:val="clear" w:color="auto" w:fill="000000" w:themeFill="text1"/>
            <w:vAlign w:val="center"/>
            <w:hideMark/>
          </w:tcPr>
          <w:p w14:paraId="3DA2CD64" w14:textId="77777777" w:rsidR="006F5C60" w:rsidRPr="00114031" w:rsidRDefault="006F5C60" w:rsidP="006F5C60">
            <w:pPr>
              <w:pStyle w:val="E3TableHeading"/>
              <w:jc w:val="both"/>
              <w:rPr>
                <w:lang w:val="en-NZ"/>
              </w:rPr>
            </w:pPr>
            <w:r w:rsidRPr="00114031">
              <w:rPr>
                <w:lang w:val="en-NZ"/>
              </w:rPr>
              <w:t>Small Ice-cream freezers</w:t>
            </w:r>
          </w:p>
        </w:tc>
        <w:tc>
          <w:tcPr>
            <w:tcW w:w="2036" w:type="dxa"/>
            <w:tcBorders>
              <w:top w:val="single" w:sz="4" w:space="0" w:color="FFFFFF" w:themeColor="background1"/>
              <w:bottom w:val="single" w:sz="4" w:space="0" w:color="FFFFFF" w:themeColor="background1"/>
            </w:tcBorders>
            <w:shd w:val="clear" w:color="auto" w:fill="000000" w:themeFill="text1"/>
            <w:vAlign w:val="center"/>
            <w:hideMark/>
          </w:tcPr>
          <w:p w14:paraId="29AE3ACA" w14:textId="77777777" w:rsidR="006F5C60" w:rsidRPr="00114031" w:rsidRDefault="006F5C60" w:rsidP="006F5C60">
            <w:pPr>
              <w:pStyle w:val="E3TableHeading"/>
              <w:jc w:val="both"/>
              <w:rPr>
                <w:lang w:val="en-NZ"/>
              </w:rPr>
            </w:pPr>
            <w:r w:rsidRPr="00114031">
              <w:rPr>
                <w:lang w:val="en-NZ"/>
              </w:rPr>
              <w:t>Soft scoop ice cream cabinets</w:t>
            </w:r>
          </w:p>
        </w:tc>
      </w:tr>
      <w:tr w:rsidR="006F5C60" w:rsidRPr="00114031" w14:paraId="478335D9" w14:textId="77777777" w:rsidTr="006F5C60">
        <w:trPr>
          <w:trHeight w:val="300"/>
        </w:trPr>
        <w:tc>
          <w:tcPr>
            <w:tcW w:w="1600" w:type="dxa"/>
            <w:tcBorders>
              <w:top w:val="single" w:sz="4" w:space="0" w:color="FFFFFF" w:themeColor="background1"/>
              <w:left w:val="single" w:sz="4" w:space="0" w:color="auto"/>
              <w:bottom w:val="single" w:sz="4" w:space="0" w:color="auto"/>
              <w:right w:val="single" w:sz="4" w:space="0" w:color="auto"/>
            </w:tcBorders>
            <w:shd w:val="clear" w:color="auto" w:fill="auto"/>
            <w:noWrap/>
            <w:vAlign w:val="bottom"/>
            <w:hideMark/>
          </w:tcPr>
          <w:p w14:paraId="7D67F25F" w14:textId="77777777" w:rsidR="006F5C60" w:rsidRPr="0069383A" w:rsidRDefault="006F5C60" w:rsidP="006F5C60">
            <w:pPr>
              <w:pStyle w:val="E3tabletext1"/>
              <w:jc w:val="both"/>
              <w:rPr>
                <w:rFonts w:ascii="Helvetica" w:hAnsi="Helvetica" w:cs="Helvetica"/>
                <w:lang w:val="en-NZ"/>
              </w:rPr>
            </w:pPr>
            <w:r w:rsidRPr="0069383A">
              <w:rPr>
                <w:rFonts w:ascii="Helvetica" w:hAnsi="Helvetica" w:cs="Helvetica"/>
                <w:lang w:val="en-NZ"/>
              </w:rPr>
              <w:t>A</w:t>
            </w:r>
          </w:p>
        </w:tc>
        <w:tc>
          <w:tcPr>
            <w:tcW w:w="2036"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17CA284A" w14:textId="77777777" w:rsidR="006F5C60" w:rsidRPr="00114031" w:rsidRDefault="006F5C60" w:rsidP="006F5C60">
            <w:pPr>
              <w:pStyle w:val="E3tabletext1"/>
              <w:jc w:val="both"/>
              <w:rPr>
                <w:lang w:val="en-NZ"/>
              </w:rPr>
            </w:pPr>
            <w:r w:rsidRPr="00114031">
              <w:rPr>
                <w:lang w:val="en-NZ"/>
              </w:rPr>
              <w:t>EEI &lt; 30</w:t>
            </w:r>
          </w:p>
        </w:tc>
        <w:tc>
          <w:tcPr>
            <w:tcW w:w="1908"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41786970" w14:textId="77777777" w:rsidR="006F5C60" w:rsidRPr="00114031" w:rsidRDefault="006F5C60" w:rsidP="006F5C60">
            <w:pPr>
              <w:pStyle w:val="E3tabletext1"/>
              <w:jc w:val="both"/>
              <w:rPr>
                <w:lang w:val="en-NZ"/>
              </w:rPr>
            </w:pPr>
            <w:r w:rsidRPr="00114031">
              <w:rPr>
                <w:lang w:val="en-NZ"/>
              </w:rPr>
              <w:t>EEI &lt; 30</w:t>
            </w:r>
          </w:p>
        </w:tc>
        <w:tc>
          <w:tcPr>
            <w:tcW w:w="2036"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4371BD43" w14:textId="77777777" w:rsidR="006F5C60" w:rsidRPr="00114031" w:rsidRDefault="006F5C60" w:rsidP="006F5C60">
            <w:pPr>
              <w:pStyle w:val="E3tabletext1"/>
              <w:jc w:val="both"/>
              <w:rPr>
                <w:lang w:val="en-NZ"/>
              </w:rPr>
            </w:pPr>
            <w:r w:rsidRPr="00114031">
              <w:rPr>
                <w:lang w:val="en-NZ"/>
              </w:rPr>
              <w:t>EEI &lt; 40</w:t>
            </w:r>
          </w:p>
        </w:tc>
        <w:tc>
          <w:tcPr>
            <w:tcW w:w="2036"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7D76896E" w14:textId="77777777" w:rsidR="006F5C60" w:rsidRPr="00114031" w:rsidRDefault="006F5C60" w:rsidP="006F5C60">
            <w:pPr>
              <w:pStyle w:val="E3tabletext1"/>
              <w:jc w:val="both"/>
              <w:rPr>
                <w:lang w:val="en-NZ"/>
              </w:rPr>
            </w:pPr>
            <w:r w:rsidRPr="00114031">
              <w:rPr>
                <w:lang w:val="en-NZ"/>
              </w:rPr>
              <w:t>EEI &lt; 40</w:t>
            </w:r>
          </w:p>
        </w:tc>
      </w:tr>
      <w:tr w:rsidR="006F5C60" w:rsidRPr="00114031" w14:paraId="062B4508" w14:textId="77777777" w:rsidTr="006F5C60">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FB5AD76" w14:textId="77777777" w:rsidR="006F5C60" w:rsidRPr="0069383A" w:rsidRDefault="006F5C60" w:rsidP="006F5C60">
            <w:pPr>
              <w:pStyle w:val="E3tabletext1"/>
              <w:jc w:val="both"/>
              <w:rPr>
                <w:rFonts w:ascii="Helvetica" w:hAnsi="Helvetica" w:cs="Helvetica"/>
                <w:lang w:val="en-NZ"/>
              </w:rPr>
            </w:pPr>
            <w:r w:rsidRPr="0069383A">
              <w:rPr>
                <w:rFonts w:ascii="Helvetica" w:hAnsi="Helvetica" w:cs="Helvetica"/>
                <w:lang w:val="en-NZ"/>
              </w:rPr>
              <w:t>B</w:t>
            </w:r>
          </w:p>
        </w:tc>
        <w:tc>
          <w:tcPr>
            <w:tcW w:w="2036" w:type="dxa"/>
            <w:tcBorders>
              <w:top w:val="nil"/>
              <w:left w:val="nil"/>
              <w:bottom w:val="single" w:sz="4" w:space="0" w:color="auto"/>
              <w:right w:val="single" w:sz="4" w:space="0" w:color="auto"/>
            </w:tcBorders>
            <w:shd w:val="clear" w:color="auto" w:fill="auto"/>
            <w:noWrap/>
            <w:vAlign w:val="bottom"/>
            <w:hideMark/>
          </w:tcPr>
          <w:p w14:paraId="47CC435C" w14:textId="77777777" w:rsidR="006F5C60" w:rsidRPr="00114031" w:rsidRDefault="006F5C60" w:rsidP="006F5C60">
            <w:pPr>
              <w:pStyle w:val="E3tabletext1"/>
              <w:jc w:val="both"/>
              <w:rPr>
                <w:lang w:val="en-NZ"/>
              </w:rPr>
            </w:pPr>
            <w:r w:rsidRPr="00114031">
              <w:rPr>
                <w:lang w:val="en-NZ"/>
              </w:rPr>
              <w:t xml:space="preserve">30 </w:t>
            </w:r>
            <w:r w:rsidRPr="00114031">
              <w:rPr>
                <w:rFonts w:ascii="Symbol" w:hAnsi="Symbol"/>
                <w:lang w:val="en-NZ"/>
              </w:rPr>
              <w:t></w:t>
            </w:r>
            <w:r w:rsidRPr="00114031">
              <w:rPr>
                <w:lang w:val="en-NZ"/>
              </w:rPr>
              <w:t xml:space="preserve"> EEI &lt; 50</w:t>
            </w:r>
          </w:p>
        </w:tc>
        <w:tc>
          <w:tcPr>
            <w:tcW w:w="1908" w:type="dxa"/>
            <w:tcBorders>
              <w:top w:val="nil"/>
              <w:left w:val="nil"/>
              <w:bottom w:val="single" w:sz="4" w:space="0" w:color="auto"/>
              <w:right w:val="single" w:sz="4" w:space="0" w:color="auto"/>
            </w:tcBorders>
            <w:shd w:val="clear" w:color="auto" w:fill="auto"/>
            <w:noWrap/>
            <w:vAlign w:val="bottom"/>
            <w:hideMark/>
          </w:tcPr>
          <w:p w14:paraId="024102CF" w14:textId="77777777" w:rsidR="006F5C60" w:rsidRPr="00114031" w:rsidRDefault="006F5C60" w:rsidP="006F5C60">
            <w:pPr>
              <w:pStyle w:val="E3tabletext1"/>
              <w:jc w:val="both"/>
              <w:rPr>
                <w:lang w:val="en-NZ"/>
              </w:rPr>
            </w:pPr>
            <w:r w:rsidRPr="00114031">
              <w:rPr>
                <w:lang w:val="en-NZ"/>
              </w:rPr>
              <w:t xml:space="preserve">30 </w:t>
            </w:r>
            <w:r w:rsidRPr="00114031">
              <w:rPr>
                <w:rFonts w:ascii="Symbol" w:hAnsi="Symbol"/>
                <w:lang w:val="en-NZ"/>
              </w:rPr>
              <w:t></w:t>
            </w:r>
            <w:r w:rsidRPr="00114031">
              <w:rPr>
                <w:lang w:val="en-NZ"/>
              </w:rPr>
              <w:t xml:space="preserve"> EEI &lt;  50</w:t>
            </w:r>
          </w:p>
        </w:tc>
        <w:tc>
          <w:tcPr>
            <w:tcW w:w="2036" w:type="dxa"/>
            <w:tcBorders>
              <w:top w:val="nil"/>
              <w:left w:val="nil"/>
              <w:bottom w:val="single" w:sz="4" w:space="0" w:color="auto"/>
              <w:right w:val="single" w:sz="4" w:space="0" w:color="auto"/>
            </w:tcBorders>
            <w:shd w:val="clear" w:color="auto" w:fill="auto"/>
            <w:noWrap/>
            <w:vAlign w:val="bottom"/>
            <w:hideMark/>
          </w:tcPr>
          <w:p w14:paraId="13155F46" w14:textId="77777777" w:rsidR="006F5C60" w:rsidRPr="00114031" w:rsidRDefault="006F5C60" w:rsidP="006F5C60">
            <w:pPr>
              <w:pStyle w:val="E3tabletext1"/>
              <w:jc w:val="both"/>
              <w:rPr>
                <w:lang w:val="en-NZ"/>
              </w:rPr>
            </w:pPr>
            <w:r w:rsidRPr="00114031">
              <w:rPr>
                <w:lang w:val="en-NZ"/>
              </w:rPr>
              <w:t xml:space="preserve">40 </w:t>
            </w:r>
            <w:r w:rsidRPr="00114031">
              <w:rPr>
                <w:rFonts w:ascii="Symbol" w:hAnsi="Symbol"/>
                <w:lang w:val="en-NZ"/>
              </w:rPr>
              <w:t></w:t>
            </w:r>
            <w:r w:rsidRPr="00114031">
              <w:rPr>
                <w:lang w:val="en-NZ"/>
              </w:rPr>
              <w:t xml:space="preserve"> EEI &lt; 70</w:t>
            </w:r>
          </w:p>
        </w:tc>
        <w:tc>
          <w:tcPr>
            <w:tcW w:w="2036" w:type="dxa"/>
            <w:tcBorders>
              <w:top w:val="nil"/>
              <w:left w:val="nil"/>
              <w:bottom w:val="single" w:sz="4" w:space="0" w:color="auto"/>
              <w:right w:val="single" w:sz="4" w:space="0" w:color="auto"/>
            </w:tcBorders>
            <w:shd w:val="clear" w:color="auto" w:fill="auto"/>
            <w:noWrap/>
            <w:vAlign w:val="bottom"/>
            <w:hideMark/>
          </w:tcPr>
          <w:p w14:paraId="35F4AA05" w14:textId="77777777" w:rsidR="006F5C60" w:rsidRPr="00114031" w:rsidRDefault="006F5C60" w:rsidP="006F5C60">
            <w:pPr>
              <w:pStyle w:val="E3tabletext1"/>
              <w:jc w:val="both"/>
              <w:rPr>
                <w:lang w:val="en-NZ"/>
              </w:rPr>
            </w:pPr>
            <w:r w:rsidRPr="00114031">
              <w:rPr>
                <w:lang w:val="en-NZ"/>
              </w:rPr>
              <w:t xml:space="preserve">40 </w:t>
            </w:r>
            <w:r w:rsidRPr="00114031">
              <w:rPr>
                <w:rFonts w:ascii="Symbol" w:hAnsi="Symbol"/>
                <w:lang w:val="en-NZ"/>
              </w:rPr>
              <w:t></w:t>
            </w:r>
            <w:r w:rsidRPr="00114031">
              <w:rPr>
                <w:lang w:val="en-NZ"/>
              </w:rPr>
              <w:t xml:space="preserve"> EEI &lt; 60</w:t>
            </w:r>
          </w:p>
        </w:tc>
      </w:tr>
      <w:tr w:rsidR="006F5C60" w:rsidRPr="00114031" w14:paraId="4C54CD01" w14:textId="77777777" w:rsidTr="006F5C60">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4503F4C2" w14:textId="77777777" w:rsidR="006F5C60" w:rsidRPr="0069383A" w:rsidRDefault="006F5C60" w:rsidP="006F5C60">
            <w:pPr>
              <w:pStyle w:val="E3tabletext1"/>
              <w:jc w:val="both"/>
              <w:rPr>
                <w:rFonts w:ascii="Helvetica" w:hAnsi="Helvetica" w:cs="Helvetica"/>
                <w:lang w:val="en-NZ"/>
              </w:rPr>
            </w:pPr>
            <w:r w:rsidRPr="0069383A">
              <w:rPr>
                <w:rFonts w:ascii="Helvetica" w:hAnsi="Helvetica" w:cs="Helvetica"/>
                <w:lang w:val="en-NZ"/>
              </w:rPr>
              <w:t>C</w:t>
            </w:r>
          </w:p>
        </w:tc>
        <w:tc>
          <w:tcPr>
            <w:tcW w:w="2036" w:type="dxa"/>
            <w:tcBorders>
              <w:top w:val="nil"/>
              <w:left w:val="nil"/>
              <w:bottom w:val="single" w:sz="4" w:space="0" w:color="auto"/>
              <w:right w:val="single" w:sz="4" w:space="0" w:color="auto"/>
            </w:tcBorders>
            <w:shd w:val="clear" w:color="auto" w:fill="auto"/>
            <w:noWrap/>
            <w:vAlign w:val="bottom"/>
            <w:hideMark/>
          </w:tcPr>
          <w:p w14:paraId="43D1A0CD" w14:textId="77777777" w:rsidR="006F5C60" w:rsidRPr="00114031" w:rsidRDefault="006F5C60" w:rsidP="006F5C60">
            <w:pPr>
              <w:pStyle w:val="E3tabletext1"/>
              <w:jc w:val="both"/>
              <w:rPr>
                <w:lang w:val="en-NZ"/>
              </w:rPr>
            </w:pPr>
            <w:r w:rsidRPr="00114031">
              <w:rPr>
                <w:lang w:val="en-NZ"/>
              </w:rPr>
              <w:t xml:space="preserve">50 </w:t>
            </w:r>
            <w:r w:rsidRPr="00114031">
              <w:rPr>
                <w:rFonts w:ascii="Symbol" w:hAnsi="Symbol"/>
                <w:lang w:val="en-NZ"/>
              </w:rPr>
              <w:t></w:t>
            </w:r>
            <w:r w:rsidRPr="00114031">
              <w:rPr>
                <w:lang w:val="en-NZ"/>
              </w:rPr>
              <w:t xml:space="preserve"> EEI &lt; 80</w:t>
            </w:r>
          </w:p>
        </w:tc>
        <w:tc>
          <w:tcPr>
            <w:tcW w:w="1908" w:type="dxa"/>
            <w:tcBorders>
              <w:top w:val="nil"/>
              <w:left w:val="nil"/>
              <w:bottom w:val="single" w:sz="4" w:space="0" w:color="auto"/>
              <w:right w:val="single" w:sz="4" w:space="0" w:color="auto"/>
            </w:tcBorders>
            <w:shd w:val="clear" w:color="auto" w:fill="auto"/>
            <w:noWrap/>
            <w:vAlign w:val="bottom"/>
            <w:hideMark/>
          </w:tcPr>
          <w:p w14:paraId="5C12A8A5" w14:textId="77777777" w:rsidR="006F5C60" w:rsidRPr="00114031" w:rsidRDefault="006F5C60" w:rsidP="006F5C60">
            <w:pPr>
              <w:pStyle w:val="E3tabletext1"/>
              <w:jc w:val="both"/>
              <w:rPr>
                <w:lang w:val="en-NZ"/>
              </w:rPr>
            </w:pPr>
            <w:r w:rsidRPr="00114031">
              <w:rPr>
                <w:lang w:val="en-NZ"/>
              </w:rPr>
              <w:t xml:space="preserve">50 </w:t>
            </w:r>
            <w:r w:rsidRPr="00114031">
              <w:rPr>
                <w:rFonts w:ascii="Symbol" w:hAnsi="Symbol"/>
                <w:lang w:val="en-NZ"/>
              </w:rPr>
              <w:t></w:t>
            </w:r>
            <w:r w:rsidRPr="00114031">
              <w:rPr>
                <w:lang w:val="en-NZ"/>
              </w:rPr>
              <w:t xml:space="preserve"> EEI &lt; 80</w:t>
            </w:r>
          </w:p>
        </w:tc>
        <w:tc>
          <w:tcPr>
            <w:tcW w:w="2036" w:type="dxa"/>
            <w:tcBorders>
              <w:top w:val="nil"/>
              <w:left w:val="nil"/>
              <w:bottom w:val="single" w:sz="4" w:space="0" w:color="auto"/>
              <w:right w:val="single" w:sz="4" w:space="0" w:color="auto"/>
            </w:tcBorders>
            <w:shd w:val="clear" w:color="auto" w:fill="auto"/>
            <w:noWrap/>
            <w:vAlign w:val="bottom"/>
            <w:hideMark/>
          </w:tcPr>
          <w:p w14:paraId="52DCA96B" w14:textId="77777777" w:rsidR="006F5C60" w:rsidRPr="00114031" w:rsidRDefault="006F5C60" w:rsidP="006F5C60">
            <w:pPr>
              <w:pStyle w:val="E3tabletext1"/>
              <w:jc w:val="both"/>
              <w:rPr>
                <w:lang w:val="en-NZ"/>
              </w:rPr>
            </w:pPr>
            <w:r w:rsidRPr="00114031">
              <w:rPr>
                <w:lang w:val="en-NZ"/>
              </w:rPr>
              <w:t xml:space="preserve">70 </w:t>
            </w:r>
            <w:r w:rsidRPr="00114031">
              <w:rPr>
                <w:rFonts w:ascii="Symbol" w:hAnsi="Symbol"/>
                <w:lang w:val="en-NZ"/>
              </w:rPr>
              <w:t></w:t>
            </w:r>
            <w:r w:rsidRPr="00114031">
              <w:rPr>
                <w:lang w:val="en-NZ"/>
              </w:rPr>
              <w:t xml:space="preserve"> EEI &lt; 90</w:t>
            </w:r>
          </w:p>
        </w:tc>
        <w:tc>
          <w:tcPr>
            <w:tcW w:w="2036" w:type="dxa"/>
            <w:tcBorders>
              <w:top w:val="nil"/>
              <w:left w:val="nil"/>
              <w:bottom w:val="single" w:sz="4" w:space="0" w:color="auto"/>
              <w:right w:val="single" w:sz="4" w:space="0" w:color="auto"/>
            </w:tcBorders>
            <w:shd w:val="clear" w:color="auto" w:fill="auto"/>
            <w:noWrap/>
            <w:vAlign w:val="bottom"/>
            <w:hideMark/>
          </w:tcPr>
          <w:p w14:paraId="765C41CA" w14:textId="77777777" w:rsidR="006F5C60" w:rsidRPr="00114031" w:rsidRDefault="006F5C60" w:rsidP="006F5C60">
            <w:pPr>
              <w:pStyle w:val="E3tabletext1"/>
              <w:jc w:val="both"/>
              <w:rPr>
                <w:lang w:val="en-NZ"/>
              </w:rPr>
            </w:pPr>
            <w:r w:rsidRPr="00114031">
              <w:rPr>
                <w:lang w:val="en-NZ"/>
              </w:rPr>
              <w:t xml:space="preserve">60 </w:t>
            </w:r>
            <w:r w:rsidRPr="00114031">
              <w:rPr>
                <w:rFonts w:ascii="Symbol" w:hAnsi="Symbol"/>
                <w:lang w:val="en-NZ"/>
              </w:rPr>
              <w:t></w:t>
            </w:r>
            <w:r w:rsidRPr="00114031">
              <w:rPr>
                <w:lang w:val="en-NZ"/>
              </w:rPr>
              <w:t xml:space="preserve"> EEI &lt; 80</w:t>
            </w:r>
          </w:p>
        </w:tc>
      </w:tr>
      <w:tr w:rsidR="006F5C60" w:rsidRPr="00114031" w14:paraId="2FCBBFB9" w14:textId="77777777" w:rsidTr="006F5C60">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C498B7C" w14:textId="77777777" w:rsidR="006F5C60" w:rsidRPr="0069383A" w:rsidRDefault="006F5C60" w:rsidP="006F5C60">
            <w:pPr>
              <w:pStyle w:val="E3tabletext1"/>
              <w:jc w:val="both"/>
              <w:rPr>
                <w:rFonts w:ascii="Helvetica" w:hAnsi="Helvetica" w:cs="Helvetica"/>
                <w:lang w:val="en-NZ"/>
              </w:rPr>
            </w:pPr>
            <w:r w:rsidRPr="0069383A">
              <w:rPr>
                <w:rFonts w:ascii="Helvetica" w:hAnsi="Helvetica" w:cs="Helvetica"/>
                <w:lang w:val="en-NZ"/>
              </w:rPr>
              <w:t>D</w:t>
            </w:r>
          </w:p>
        </w:tc>
        <w:tc>
          <w:tcPr>
            <w:tcW w:w="2036" w:type="dxa"/>
            <w:tcBorders>
              <w:top w:val="nil"/>
              <w:left w:val="nil"/>
              <w:bottom w:val="single" w:sz="4" w:space="0" w:color="auto"/>
              <w:right w:val="single" w:sz="4" w:space="0" w:color="auto"/>
            </w:tcBorders>
            <w:shd w:val="clear" w:color="auto" w:fill="auto"/>
            <w:noWrap/>
            <w:vAlign w:val="bottom"/>
            <w:hideMark/>
          </w:tcPr>
          <w:p w14:paraId="5C78F201" w14:textId="77777777" w:rsidR="006F5C60" w:rsidRPr="00114031" w:rsidRDefault="006F5C60" w:rsidP="006F5C60">
            <w:pPr>
              <w:pStyle w:val="E3tabletext1"/>
              <w:jc w:val="both"/>
              <w:rPr>
                <w:lang w:val="en-NZ"/>
              </w:rPr>
            </w:pPr>
            <w:r w:rsidRPr="00114031">
              <w:rPr>
                <w:lang w:val="en-NZ"/>
              </w:rPr>
              <w:t xml:space="preserve">80 </w:t>
            </w:r>
            <w:r w:rsidRPr="00114031">
              <w:rPr>
                <w:rFonts w:ascii="Symbol" w:hAnsi="Symbol"/>
                <w:lang w:val="en-NZ"/>
              </w:rPr>
              <w:t></w:t>
            </w:r>
            <w:r w:rsidRPr="00114031">
              <w:rPr>
                <w:lang w:val="en-NZ"/>
              </w:rPr>
              <w:t xml:space="preserve"> EEI &lt; 110</w:t>
            </w:r>
          </w:p>
        </w:tc>
        <w:tc>
          <w:tcPr>
            <w:tcW w:w="1908" w:type="dxa"/>
            <w:tcBorders>
              <w:top w:val="nil"/>
              <w:left w:val="nil"/>
              <w:bottom w:val="single" w:sz="4" w:space="0" w:color="auto"/>
              <w:right w:val="single" w:sz="4" w:space="0" w:color="auto"/>
            </w:tcBorders>
            <w:shd w:val="clear" w:color="auto" w:fill="auto"/>
            <w:noWrap/>
            <w:vAlign w:val="bottom"/>
            <w:hideMark/>
          </w:tcPr>
          <w:p w14:paraId="26E9082D" w14:textId="77777777" w:rsidR="006F5C60" w:rsidRPr="00114031" w:rsidRDefault="006F5C60" w:rsidP="006F5C60">
            <w:pPr>
              <w:pStyle w:val="E3tabletext1"/>
              <w:jc w:val="both"/>
              <w:rPr>
                <w:lang w:val="en-NZ"/>
              </w:rPr>
            </w:pPr>
            <w:r w:rsidRPr="00114031">
              <w:rPr>
                <w:lang w:val="en-NZ"/>
              </w:rPr>
              <w:t xml:space="preserve">80 </w:t>
            </w:r>
            <w:r w:rsidRPr="00114031">
              <w:rPr>
                <w:rFonts w:ascii="Symbol" w:hAnsi="Symbol"/>
                <w:lang w:val="en-NZ"/>
              </w:rPr>
              <w:t></w:t>
            </w:r>
            <w:r w:rsidRPr="00114031">
              <w:rPr>
                <w:lang w:val="en-NZ"/>
              </w:rPr>
              <w:t xml:space="preserve"> EEI &lt; 110</w:t>
            </w:r>
          </w:p>
        </w:tc>
        <w:tc>
          <w:tcPr>
            <w:tcW w:w="2036" w:type="dxa"/>
            <w:tcBorders>
              <w:top w:val="nil"/>
              <w:left w:val="nil"/>
              <w:bottom w:val="single" w:sz="4" w:space="0" w:color="auto"/>
              <w:right w:val="single" w:sz="4" w:space="0" w:color="auto"/>
            </w:tcBorders>
            <w:shd w:val="clear" w:color="auto" w:fill="auto"/>
            <w:noWrap/>
            <w:vAlign w:val="bottom"/>
            <w:hideMark/>
          </w:tcPr>
          <w:p w14:paraId="54EB6AD5" w14:textId="77777777" w:rsidR="006F5C60" w:rsidRPr="00114031" w:rsidRDefault="006F5C60" w:rsidP="006F5C60">
            <w:pPr>
              <w:pStyle w:val="E3tabletext1"/>
              <w:jc w:val="both"/>
              <w:rPr>
                <w:lang w:val="en-NZ"/>
              </w:rPr>
            </w:pPr>
            <w:r w:rsidRPr="00114031">
              <w:rPr>
                <w:lang w:val="en-NZ"/>
              </w:rPr>
              <w:t xml:space="preserve">90 </w:t>
            </w:r>
            <w:r w:rsidRPr="00114031">
              <w:rPr>
                <w:rFonts w:ascii="Symbol" w:hAnsi="Symbol"/>
                <w:lang w:val="en-NZ"/>
              </w:rPr>
              <w:t></w:t>
            </w:r>
            <w:r w:rsidRPr="00114031">
              <w:rPr>
                <w:lang w:val="en-NZ"/>
              </w:rPr>
              <w:t xml:space="preserve"> EEI &lt; 110</w:t>
            </w:r>
          </w:p>
        </w:tc>
        <w:tc>
          <w:tcPr>
            <w:tcW w:w="2036" w:type="dxa"/>
            <w:tcBorders>
              <w:top w:val="nil"/>
              <w:left w:val="nil"/>
              <w:bottom w:val="single" w:sz="4" w:space="0" w:color="auto"/>
              <w:right w:val="single" w:sz="4" w:space="0" w:color="auto"/>
            </w:tcBorders>
            <w:shd w:val="clear" w:color="auto" w:fill="auto"/>
            <w:noWrap/>
            <w:vAlign w:val="bottom"/>
            <w:hideMark/>
          </w:tcPr>
          <w:p w14:paraId="666E47F7" w14:textId="77777777" w:rsidR="006F5C60" w:rsidRPr="00114031" w:rsidRDefault="006F5C60" w:rsidP="006F5C60">
            <w:pPr>
              <w:pStyle w:val="E3tabletext1"/>
              <w:jc w:val="both"/>
              <w:rPr>
                <w:lang w:val="en-NZ"/>
              </w:rPr>
            </w:pPr>
            <w:r w:rsidRPr="00114031">
              <w:rPr>
                <w:lang w:val="en-NZ"/>
              </w:rPr>
              <w:t xml:space="preserve">80 </w:t>
            </w:r>
            <w:r w:rsidRPr="00114031">
              <w:rPr>
                <w:rFonts w:ascii="Symbol" w:hAnsi="Symbol"/>
                <w:lang w:val="en-NZ"/>
              </w:rPr>
              <w:t></w:t>
            </w:r>
            <w:r w:rsidRPr="00114031">
              <w:rPr>
                <w:lang w:val="en-NZ"/>
              </w:rPr>
              <w:t xml:space="preserve"> EEI &lt; 100</w:t>
            </w:r>
          </w:p>
        </w:tc>
      </w:tr>
      <w:tr w:rsidR="006F5C60" w:rsidRPr="00114031" w14:paraId="39D9781F" w14:textId="77777777" w:rsidTr="006F5C60">
        <w:trPr>
          <w:trHeight w:val="300"/>
        </w:trPr>
        <w:tc>
          <w:tcPr>
            <w:tcW w:w="1600" w:type="dxa"/>
            <w:tcBorders>
              <w:top w:val="nil"/>
              <w:left w:val="single" w:sz="4" w:space="0" w:color="auto"/>
              <w:bottom w:val="single" w:sz="4" w:space="0" w:color="auto"/>
              <w:right w:val="single" w:sz="4" w:space="0" w:color="auto"/>
            </w:tcBorders>
            <w:shd w:val="clear" w:color="000000" w:fill="D8D8D8"/>
            <w:noWrap/>
            <w:vAlign w:val="bottom"/>
            <w:hideMark/>
          </w:tcPr>
          <w:p w14:paraId="3686F2C0" w14:textId="77777777" w:rsidR="006F5C60" w:rsidRPr="0069383A" w:rsidRDefault="006F5C60" w:rsidP="006F5C60">
            <w:pPr>
              <w:pStyle w:val="E3tabletext1"/>
              <w:jc w:val="both"/>
              <w:rPr>
                <w:rFonts w:ascii="Helvetica" w:hAnsi="Helvetica" w:cs="Helvetica"/>
                <w:lang w:val="en-NZ"/>
              </w:rPr>
            </w:pPr>
            <w:r w:rsidRPr="0069383A">
              <w:rPr>
                <w:rFonts w:ascii="Helvetica" w:hAnsi="Helvetica" w:cs="Helvetica"/>
                <w:lang w:val="en-NZ"/>
              </w:rPr>
              <w:t>E</w:t>
            </w:r>
          </w:p>
        </w:tc>
        <w:tc>
          <w:tcPr>
            <w:tcW w:w="2036" w:type="dxa"/>
            <w:tcBorders>
              <w:top w:val="nil"/>
              <w:left w:val="nil"/>
              <w:bottom w:val="single" w:sz="4" w:space="0" w:color="auto"/>
              <w:right w:val="single" w:sz="4" w:space="0" w:color="auto"/>
            </w:tcBorders>
            <w:shd w:val="clear" w:color="000000" w:fill="D8D8D8"/>
            <w:noWrap/>
            <w:vAlign w:val="bottom"/>
            <w:hideMark/>
          </w:tcPr>
          <w:p w14:paraId="721B81B8" w14:textId="77777777" w:rsidR="006F5C60" w:rsidRPr="00114031" w:rsidRDefault="006F5C60" w:rsidP="006F5C60">
            <w:pPr>
              <w:pStyle w:val="E3tabletext1"/>
              <w:jc w:val="both"/>
              <w:rPr>
                <w:lang w:val="en-NZ"/>
              </w:rPr>
            </w:pPr>
            <w:r w:rsidRPr="00114031">
              <w:rPr>
                <w:lang w:val="en-NZ"/>
              </w:rPr>
              <w:t xml:space="preserve">110 </w:t>
            </w:r>
            <w:r w:rsidRPr="00114031">
              <w:rPr>
                <w:rFonts w:ascii="Symbol" w:hAnsi="Symbol"/>
                <w:lang w:val="en-NZ"/>
              </w:rPr>
              <w:t></w:t>
            </w:r>
            <w:r w:rsidRPr="00114031">
              <w:rPr>
                <w:lang w:val="en-NZ"/>
              </w:rPr>
              <w:t xml:space="preserve"> EEI &lt; 120</w:t>
            </w:r>
          </w:p>
        </w:tc>
        <w:tc>
          <w:tcPr>
            <w:tcW w:w="1908" w:type="dxa"/>
            <w:tcBorders>
              <w:top w:val="nil"/>
              <w:left w:val="nil"/>
              <w:bottom w:val="single" w:sz="4" w:space="0" w:color="auto"/>
              <w:right w:val="single" w:sz="4" w:space="0" w:color="auto"/>
            </w:tcBorders>
            <w:shd w:val="clear" w:color="000000" w:fill="D8D8D8"/>
            <w:noWrap/>
            <w:vAlign w:val="bottom"/>
            <w:hideMark/>
          </w:tcPr>
          <w:p w14:paraId="244C651C" w14:textId="77777777" w:rsidR="006F5C60" w:rsidRPr="00114031" w:rsidRDefault="006F5C60" w:rsidP="006F5C60">
            <w:pPr>
              <w:pStyle w:val="E3tabletext1"/>
              <w:jc w:val="both"/>
              <w:rPr>
                <w:lang w:val="en-NZ"/>
              </w:rPr>
            </w:pPr>
            <w:r w:rsidRPr="00114031">
              <w:rPr>
                <w:lang w:val="en-NZ"/>
              </w:rPr>
              <w:t xml:space="preserve">110 </w:t>
            </w:r>
            <w:r w:rsidRPr="00114031">
              <w:rPr>
                <w:rFonts w:ascii="Symbol" w:hAnsi="Symbol"/>
                <w:lang w:val="en-NZ"/>
              </w:rPr>
              <w:t></w:t>
            </w:r>
            <w:r w:rsidRPr="00114031">
              <w:rPr>
                <w:lang w:val="en-NZ"/>
              </w:rPr>
              <w:t xml:space="preserve"> EEI &lt; 130</w:t>
            </w:r>
          </w:p>
        </w:tc>
        <w:tc>
          <w:tcPr>
            <w:tcW w:w="2036" w:type="dxa"/>
            <w:tcBorders>
              <w:top w:val="nil"/>
              <w:left w:val="nil"/>
              <w:bottom w:val="single" w:sz="4" w:space="0" w:color="auto"/>
              <w:right w:val="single" w:sz="4" w:space="0" w:color="auto"/>
            </w:tcBorders>
            <w:shd w:val="clear" w:color="000000" w:fill="D8D8D8"/>
            <w:noWrap/>
            <w:vAlign w:val="bottom"/>
            <w:hideMark/>
          </w:tcPr>
          <w:p w14:paraId="21CFA0FD" w14:textId="77777777" w:rsidR="006F5C60" w:rsidRPr="00114031" w:rsidRDefault="006F5C60" w:rsidP="006F5C60">
            <w:pPr>
              <w:pStyle w:val="E3tabletext1"/>
              <w:jc w:val="both"/>
              <w:rPr>
                <w:lang w:val="en-NZ"/>
              </w:rPr>
            </w:pPr>
            <w:r w:rsidRPr="00114031">
              <w:rPr>
                <w:lang w:val="en-NZ"/>
              </w:rPr>
              <w:t xml:space="preserve">110 </w:t>
            </w:r>
            <w:r w:rsidRPr="00114031">
              <w:rPr>
                <w:rFonts w:ascii="Symbol" w:hAnsi="Symbol"/>
                <w:lang w:val="en-NZ"/>
              </w:rPr>
              <w:t></w:t>
            </w:r>
            <w:r w:rsidRPr="00114031">
              <w:rPr>
                <w:lang w:val="en-NZ"/>
              </w:rPr>
              <w:t xml:space="preserve"> EEI &lt; 130</w:t>
            </w:r>
          </w:p>
        </w:tc>
        <w:tc>
          <w:tcPr>
            <w:tcW w:w="2036" w:type="dxa"/>
            <w:tcBorders>
              <w:top w:val="nil"/>
              <w:left w:val="nil"/>
              <w:bottom w:val="single" w:sz="4" w:space="0" w:color="auto"/>
              <w:right w:val="single" w:sz="4" w:space="0" w:color="auto"/>
            </w:tcBorders>
            <w:shd w:val="clear" w:color="000000" w:fill="D8D8D8"/>
            <w:noWrap/>
            <w:vAlign w:val="bottom"/>
            <w:hideMark/>
          </w:tcPr>
          <w:p w14:paraId="355FDE21" w14:textId="77777777" w:rsidR="006F5C60" w:rsidRPr="00114031" w:rsidRDefault="006F5C60" w:rsidP="006F5C60">
            <w:pPr>
              <w:pStyle w:val="E3tabletext1"/>
              <w:jc w:val="both"/>
              <w:rPr>
                <w:lang w:val="en-NZ"/>
              </w:rPr>
            </w:pPr>
            <w:r w:rsidRPr="00114031">
              <w:rPr>
                <w:lang w:val="en-NZ"/>
              </w:rPr>
              <w:t xml:space="preserve">100 </w:t>
            </w:r>
            <w:r w:rsidRPr="00114031">
              <w:rPr>
                <w:rFonts w:ascii="Symbol" w:hAnsi="Symbol"/>
                <w:lang w:val="en-NZ"/>
              </w:rPr>
              <w:t></w:t>
            </w:r>
            <w:r w:rsidRPr="00114031">
              <w:rPr>
                <w:lang w:val="en-NZ"/>
              </w:rPr>
              <w:t xml:space="preserve"> EEI &lt; 120</w:t>
            </w:r>
          </w:p>
        </w:tc>
      </w:tr>
      <w:tr w:rsidR="006F5C60" w:rsidRPr="00114031" w14:paraId="747E72EC" w14:textId="77777777" w:rsidTr="006F5C60">
        <w:trPr>
          <w:trHeight w:val="300"/>
        </w:trPr>
        <w:tc>
          <w:tcPr>
            <w:tcW w:w="1600" w:type="dxa"/>
            <w:tcBorders>
              <w:top w:val="nil"/>
              <w:left w:val="single" w:sz="4" w:space="0" w:color="auto"/>
              <w:bottom w:val="single" w:sz="4" w:space="0" w:color="auto"/>
              <w:right w:val="single" w:sz="4" w:space="0" w:color="auto"/>
            </w:tcBorders>
            <w:shd w:val="clear" w:color="000000" w:fill="D8D8D8"/>
            <w:noWrap/>
            <w:vAlign w:val="bottom"/>
            <w:hideMark/>
          </w:tcPr>
          <w:p w14:paraId="66E218D2" w14:textId="77777777" w:rsidR="006F5C60" w:rsidRPr="0069383A" w:rsidRDefault="006F5C60" w:rsidP="006F5C60">
            <w:pPr>
              <w:pStyle w:val="E3tabletext1"/>
              <w:jc w:val="both"/>
              <w:rPr>
                <w:rFonts w:ascii="Helvetica" w:hAnsi="Helvetica" w:cs="Helvetica"/>
                <w:lang w:val="en-NZ"/>
              </w:rPr>
            </w:pPr>
            <w:r w:rsidRPr="0069383A">
              <w:rPr>
                <w:rFonts w:ascii="Helvetica" w:hAnsi="Helvetica" w:cs="Helvetica"/>
                <w:lang w:val="en-NZ"/>
              </w:rPr>
              <w:t>F</w:t>
            </w:r>
          </w:p>
        </w:tc>
        <w:tc>
          <w:tcPr>
            <w:tcW w:w="2036" w:type="dxa"/>
            <w:tcBorders>
              <w:top w:val="nil"/>
              <w:left w:val="nil"/>
              <w:bottom w:val="single" w:sz="4" w:space="0" w:color="auto"/>
              <w:right w:val="single" w:sz="4" w:space="0" w:color="auto"/>
            </w:tcBorders>
            <w:shd w:val="clear" w:color="000000" w:fill="D8D8D8"/>
            <w:noWrap/>
            <w:vAlign w:val="bottom"/>
            <w:hideMark/>
          </w:tcPr>
          <w:p w14:paraId="0ADF2F25" w14:textId="77777777" w:rsidR="006F5C60" w:rsidRPr="00114031" w:rsidRDefault="006F5C60" w:rsidP="006F5C60">
            <w:pPr>
              <w:pStyle w:val="E3tabletext1"/>
              <w:jc w:val="both"/>
              <w:rPr>
                <w:lang w:val="en-NZ"/>
              </w:rPr>
            </w:pPr>
            <w:r w:rsidRPr="00114031">
              <w:rPr>
                <w:lang w:val="en-NZ"/>
              </w:rPr>
              <w:t xml:space="preserve">120 </w:t>
            </w:r>
            <w:r w:rsidRPr="00114031">
              <w:rPr>
                <w:rFonts w:ascii="Symbol" w:hAnsi="Symbol"/>
                <w:lang w:val="en-NZ"/>
              </w:rPr>
              <w:t></w:t>
            </w:r>
            <w:r w:rsidRPr="00114031">
              <w:rPr>
                <w:lang w:val="en-NZ"/>
              </w:rPr>
              <w:t xml:space="preserve"> EEI &lt; 130</w:t>
            </w:r>
          </w:p>
        </w:tc>
        <w:tc>
          <w:tcPr>
            <w:tcW w:w="1908" w:type="dxa"/>
            <w:tcBorders>
              <w:top w:val="nil"/>
              <w:left w:val="nil"/>
              <w:bottom w:val="single" w:sz="4" w:space="0" w:color="auto"/>
              <w:right w:val="single" w:sz="4" w:space="0" w:color="auto"/>
            </w:tcBorders>
            <w:shd w:val="clear" w:color="000000" w:fill="D8D8D8"/>
            <w:noWrap/>
            <w:vAlign w:val="bottom"/>
            <w:hideMark/>
          </w:tcPr>
          <w:p w14:paraId="2F2065C6" w14:textId="77777777" w:rsidR="006F5C60" w:rsidRPr="00114031" w:rsidRDefault="006F5C60" w:rsidP="006F5C60">
            <w:pPr>
              <w:pStyle w:val="E3tabletext1"/>
              <w:jc w:val="both"/>
              <w:rPr>
                <w:lang w:val="en-NZ"/>
              </w:rPr>
            </w:pPr>
            <w:r w:rsidRPr="00114031">
              <w:rPr>
                <w:lang w:val="en-NZ"/>
              </w:rPr>
              <w:t xml:space="preserve">130 </w:t>
            </w:r>
            <w:r w:rsidRPr="00114031">
              <w:rPr>
                <w:rFonts w:ascii="Symbol" w:hAnsi="Symbol"/>
                <w:lang w:val="en-NZ"/>
              </w:rPr>
              <w:t></w:t>
            </w:r>
            <w:r w:rsidRPr="00114031">
              <w:rPr>
                <w:lang w:val="en-NZ"/>
              </w:rPr>
              <w:t xml:space="preserve"> EEI &lt; 140</w:t>
            </w:r>
          </w:p>
        </w:tc>
        <w:tc>
          <w:tcPr>
            <w:tcW w:w="2036" w:type="dxa"/>
            <w:tcBorders>
              <w:top w:val="nil"/>
              <w:left w:val="nil"/>
              <w:bottom w:val="single" w:sz="4" w:space="0" w:color="auto"/>
              <w:right w:val="single" w:sz="4" w:space="0" w:color="auto"/>
            </w:tcBorders>
            <w:shd w:val="clear" w:color="000000" w:fill="D8D8D8"/>
            <w:noWrap/>
            <w:vAlign w:val="bottom"/>
            <w:hideMark/>
          </w:tcPr>
          <w:p w14:paraId="08ED33C6" w14:textId="77777777" w:rsidR="006F5C60" w:rsidRPr="00114031" w:rsidRDefault="006F5C60" w:rsidP="006F5C60">
            <w:pPr>
              <w:pStyle w:val="E3tabletext1"/>
              <w:jc w:val="both"/>
              <w:rPr>
                <w:lang w:val="en-NZ"/>
              </w:rPr>
            </w:pPr>
            <w:r w:rsidRPr="00114031">
              <w:rPr>
                <w:lang w:val="en-NZ"/>
              </w:rPr>
              <w:t xml:space="preserve">130 </w:t>
            </w:r>
            <w:r w:rsidRPr="00114031">
              <w:rPr>
                <w:rFonts w:ascii="Symbol" w:hAnsi="Symbol"/>
                <w:lang w:val="en-NZ"/>
              </w:rPr>
              <w:t></w:t>
            </w:r>
            <w:r w:rsidRPr="00114031">
              <w:rPr>
                <w:lang w:val="en-NZ"/>
              </w:rPr>
              <w:t xml:space="preserve"> EEI &lt; 140</w:t>
            </w:r>
          </w:p>
        </w:tc>
        <w:tc>
          <w:tcPr>
            <w:tcW w:w="2036" w:type="dxa"/>
            <w:tcBorders>
              <w:top w:val="nil"/>
              <w:left w:val="nil"/>
              <w:bottom w:val="single" w:sz="4" w:space="0" w:color="auto"/>
              <w:right w:val="single" w:sz="4" w:space="0" w:color="auto"/>
            </w:tcBorders>
            <w:shd w:val="clear" w:color="000000" w:fill="D8D8D8"/>
            <w:noWrap/>
            <w:vAlign w:val="bottom"/>
            <w:hideMark/>
          </w:tcPr>
          <w:p w14:paraId="0EE7FA6A" w14:textId="77777777" w:rsidR="006F5C60" w:rsidRPr="00114031" w:rsidRDefault="006F5C60" w:rsidP="006F5C60">
            <w:pPr>
              <w:pStyle w:val="E3tabletext1"/>
              <w:jc w:val="both"/>
              <w:rPr>
                <w:lang w:val="en-NZ"/>
              </w:rPr>
            </w:pPr>
            <w:r w:rsidRPr="00114031">
              <w:rPr>
                <w:lang w:val="en-NZ"/>
              </w:rPr>
              <w:t xml:space="preserve">120 </w:t>
            </w:r>
            <w:r w:rsidRPr="00114031">
              <w:rPr>
                <w:rFonts w:ascii="Symbol" w:hAnsi="Symbol"/>
                <w:lang w:val="en-NZ"/>
              </w:rPr>
              <w:t></w:t>
            </w:r>
            <w:r w:rsidRPr="00114031">
              <w:rPr>
                <w:lang w:val="en-NZ"/>
              </w:rPr>
              <w:t xml:space="preserve"> EEI &lt; 140</w:t>
            </w:r>
          </w:p>
        </w:tc>
      </w:tr>
      <w:tr w:rsidR="006F5C60" w:rsidRPr="00114031" w14:paraId="48698668" w14:textId="77777777" w:rsidTr="006F5C60">
        <w:trPr>
          <w:trHeight w:val="300"/>
        </w:trPr>
        <w:tc>
          <w:tcPr>
            <w:tcW w:w="1600" w:type="dxa"/>
            <w:tcBorders>
              <w:top w:val="nil"/>
              <w:left w:val="single" w:sz="4" w:space="0" w:color="auto"/>
              <w:bottom w:val="single" w:sz="4" w:space="0" w:color="auto"/>
              <w:right w:val="single" w:sz="4" w:space="0" w:color="auto"/>
            </w:tcBorders>
            <w:shd w:val="clear" w:color="000000" w:fill="A5A5A5"/>
            <w:noWrap/>
            <w:vAlign w:val="bottom"/>
            <w:hideMark/>
          </w:tcPr>
          <w:p w14:paraId="320BAD57" w14:textId="77777777" w:rsidR="006F5C60" w:rsidRPr="0069383A" w:rsidRDefault="006F5C60" w:rsidP="006F5C60">
            <w:pPr>
              <w:pStyle w:val="E3tabletext1"/>
              <w:jc w:val="both"/>
              <w:rPr>
                <w:rFonts w:ascii="Helvetica" w:hAnsi="Helvetica" w:cs="Helvetica"/>
                <w:lang w:val="en-NZ"/>
              </w:rPr>
            </w:pPr>
            <w:r w:rsidRPr="0069383A">
              <w:rPr>
                <w:rFonts w:ascii="Helvetica" w:hAnsi="Helvetica" w:cs="Helvetica"/>
                <w:lang w:val="en-NZ"/>
              </w:rPr>
              <w:t>G</w:t>
            </w:r>
          </w:p>
        </w:tc>
        <w:tc>
          <w:tcPr>
            <w:tcW w:w="2036" w:type="dxa"/>
            <w:tcBorders>
              <w:top w:val="nil"/>
              <w:left w:val="nil"/>
              <w:bottom w:val="single" w:sz="4" w:space="0" w:color="auto"/>
              <w:right w:val="single" w:sz="4" w:space="0" w:color="auto"/>
            </w:tcBorders>
            <w:shd w:val="clear" w:color="000000" w:fill="A5A5A5"/>
            <w:noWrap/>
            <w:vAlign w:val="bottom"/>
            <w:hideMark/>
          </w:tcPr>
          <w:p w14:paraId="0505A1C6" w14:textId="77777777" w:rsidR="006F5C60" w:rsidRPr="00114031" w:rsidRDefault="006F5C60" w:rsidP="006F5C60">
            <w:pPr>
              <w:pStyle w:val="E3tabletext1"/>
              <w:jc w:val="both"/>
              <w:rPr>
                <w:lang w:val="en-NZ"/>
              </w:rPr>
            </w:pPr>
            <w:r w:rsidRPr="00114031">
              <w:rPr>
                <w:lang w:val="en-NZ"/>
              </w:rPr>
              <w:t xml:space="preserve">130 </w:t>
            </w:r>
            <w:r w:rsidRPr="00114031">
              <w:rPr>
                <w:rFonts w:ascii="Symbol" w:hAnsi="Symbol"/>
                <w:lang w:val="en-NZ"/>
              </w:rPr>
              <w:t></w:t>
            </w:r>
            <w:r w:rsidRPr="00114031">
              <w:rPr>
                <w:lang w:val="en-NZ"/>
              </w:rPr>
              <w:t xml:space="preserve"> EEI </w:t>
            </w:r>
          </w:p>
        </w:tc>
        <w:tc>
          <w:tcPr>
            <w:tcW w:w="1908" w:type="dxa"/>
            <w:tcBorders>
              <w:top w:val="nil"/>
              <w:left w:val="nil"/>
              <w:bottom w:val="single" w:sz="4" w:space="0" w:color="auto"/>
              <w:right w:val="single" w:sz="4" w:space="0" w:color="auto"/>
            </w:tcBorders>
            <w:shd w:val="clear" w:color="000000" w:fill="A5A5A5"/>
            <w:noWrap/>
            <w:vAlign w:val="bottom"/>
            <w:hideMark/>
          </w:tcPr>
          <w:p w14:paraId="441BE120" w14:textId="77777777" w:rsidR="006F5C60" w:rsidRPr="00114031" w:rsidRDefault="006F5C60" w:rsidP="006F5C60">
            <w:pPr>
              <w:pStyle w:val="E3tabletext1"/>
              <w:jc w:val="both"/>
              <w:rPr>
                <w:lang w:val="en-NZ"/>
              </w:rPr>
            </w:pPr>
            <w:r w:rsidRPr="00114031">
              <w:rPr>
                <w:lang w:val="en-NZ"/>
              </w:rPr>
              <w:t xml:space="preserve">140 </w:t>
            </w:r>
            <w:r w:rsidRPr="00114031">
              <w:rPr>
                <w:rFonts w:ascii="Symbol" w:hAnsi="Symbol"/>
                <w:lang w:val="en-NZ"/>
              </w:rPr>
              <w:t></w:t>
            </w:r>
            <w:r w:rsidRPr="00114031">
              <w:rPr>
                <w:lang w:val="en-NZ"/>
              </w:rPr>
              <w:t xml:space="preserve"> EEI </w:t>
            </w:r>
          </w:p>
        </w:tc>
        <w:tc>
          <w:tcPr>
            <w:tcW w:w="2036" w:type="dxa"/>
            <w:tcBorders>
              <w:top w:val="nil"/>
              <w:left w:val="nil"/>
              <w:bottom w:val="single" w:sz="4" w:space="0" w:color="auto"/>
              <w:right w:val="single" w:sz="4" w:space="0" w:color="auto"/>
            </w:tcBorders>
            <w:shd w:val="clear" w:color="000000" w:fill="A5A5A5"/>
            <w:noWrap/>
            <w:vAlign w:val="bottom"/>
            <w:hideMark/>
          </w:tcPr>
          <w:p w14:paraId="7C986B4D" w14:textId="77777777" w:rsidR="006F5C60" w:rsidRPr="00114031" w:rsidRDefault="006F5C60" w:rsidP="006F5C60">
            <w:pPr>
              <w:pStyle w:val="E3tabletext1"/>
              <w:jc w:val="both"/>
              <w:rPr>
                <w:lang w:val="en-NZ"/>
              </w:rPr>
            </w:pPr>
            <w:r w:rsidRPr="00114031">
              <w:rPr>
                <w:lang w:val="en-NZ"/>
              </w:rPr>
              <w:t xml:space="preserve">140 </w:t>
            </w:r>
            <w:r w:rsidRPr="00114031">
              <w:rPr>
                <w:rFonts w:ascii="Symbol" w:hAnsi="Symbol"/>
                <w:lang w:val="en-NZ"/>
              </w:rPr>
              <w:t></w:t>
            </w:r>
            <w:r w:rsidRPr="00114031">
              <w:rPr>
                <w:lang w:val="en-NZ"/>
              </w:rPr>
              <w:t xml:space="preserve"> EEI </w:t>
            </w:r>
          </w:p>
        </w:tc>
        <w:tc>
          <w:tcPr>
            <w:tcW w:w="2036" w:type="dxa"/>
            <w:tcBorders>
              <w:top w:val="nil"/>
              <w:left w:val="nil"/>
              <w:bottom w:val="single" w:sz="4" w:space="0" w:color="auto"/>
              <w:right w:val="single" w:sz="4" w:space="0" w:color="auto"/>
            </w:tcBorders>
            <w:shd w:val="clear" w:color="000000" w:fill="A5A5A5"/>
            <w:noWrap/>
            <w:vAlign w:val="bottom"/>
            <w:hideMark/>
          </w:tcPr>
          <w:p w14:paraId="7E5971A3" w14:textId="77777777" w:rsidR="006F5C60" w:rsidRPr="00114031" w:rsidRDefault="006F5C60" w:rsidP="006F5C60">
            <w:pPr>
              <w:pStyle w:val="E3tabletext1"/>
              <w:jc w:val="both"/>
              <w:rPr>
                <w:lang w:val="en-NZ"/>
              </w:rPr>
            </w:pPr>
            <w:r w:rsidRPr="00114031">
              <w:rPr>
                <w:lang w:val="en-NZ"/>
              </w:rPr>
              <w:t xml:space="preserve">140 </w:t>
            </w:r>
            <w:r w:rsidRPr="00114031">
              <w:rPr>
                <w:rFonts w:ascii="Symbol" w:hAnsi="Symbol"/>
                <w:lang w:val="en-NZ"/>
              </w:rPr>
              <w:t></w:t>
            </w:r>
            <w:r w:rsidRPr="00114031">
              <w:rPr>
                <w:lang w:val="en-NZ"/>
              </w:rPr>
              <w:t xml:space="preserve"> EEI </w:t>
            </w:r>
          </w:p>
        </w:tc>
      </w:tr>
    </w:tbl>
    <w:p w14:paraId="135617EE" w14:textId="77777777" w:rsidR="006F5C60" w:rsidRDefault="006F5C60" w:rsidP="006F5C60">
      <w:pPr>
        <w:pStyle w:val="E3TableTitles"/>
        <w:jc w:val="both"/>
        <w:rPr>
          <w:highlight w:val="yellow"/>
          <w:lang w:eastAsia="en-NZ"/>
        </w:rPr>
      </w:pPr>
    </w:p>
    <w:p w14:paraId="68E0B843" w14:textId="2CF726FD" w:rsidR="006F5C60" w:rsidRPr="00114031" w:rsidRDefault="006F5C60" w:rsidP="006F5C60">
      <w:pPr>
        <w:pStyle w:val="E3TableTitles"/>
        <w:rPr>
          <w:lang w:eastAsia="en-NZ"/>
        </w:rPr>
      </w:pPr>
      <w:bookmarkStart w:id="524" w:name="_Ref450641464"/>
      <w:bookmarkStart w:id="525" w:name="_Toc449708985"/>
      <w:bookmarkStart w:id="526" w:name="_Toc456164812"/>
      <w:bookmarkStart w:id="527" w:name="_Toc500159683"/>
      <w:r>
        <w:lastRenderedPageBreak/>
        <w:t xml:space="preserve">Table F </w:t>
      </w:r>
      <w:r>
        <w:fldChar w:fldCharType="begin"/>
      </w:r>
      <w:r>
        <w:instrText xml:space="preserve"> SEQ Table_F \* ARABIC </w:instrText>
      </w:r>
      <w:r>
        <w:fldChar w:fldCharType="separate"/>
      </w:r>
      <w:r w:rsidR="00D51B4B">
        <w:rPr>
          <w:noProof/>
        </w:rPr>
        <w:t>2</w:t>
      </w:r>
      <w:r>
        <w:rPr>
          <w:noProof/>
        </w:rPr>
        <w:fldChar w:fldCharType="end"/>
      </w:r>
      <w:bookmarkEnd w:id="524"/>
      <w:r w:rsidRPr="002705A4">
        <w:rPr>
          <w:lang w:eastAsia="en-NZ"/>
        </w:rPr>
        <w:t xml:space="preserve">: </w:t>
      </w:r>
      <w:r>
        <w:rPr>
          <w:lang w:eastAsia="en-NZ"/>
        </w:rPr>
        <w:t>Draft</w:t>
      </w:r>
      <w:r w:rsidRPr="002705A4">
        <w:rPr>
          <w:lang w:eastAsia="en-NZ"/>
        </w:rPr>
        <w:t xml:space="preserve"> “MEPS” improvement implementation dates for </w:t>
      </w:r>
      <w:r>
        <w:rPr>
          <w:lang w:eastAsia="en-NZ"/>
        </w:rPr>
        <w:t>r</w:t>
      </w:r>
      <w:r w:rsidRPr="002705A4">
        <w:rPr>
          <w:lang w:eastAsia="en-NZ"/>
        </w:rPr>
        <w:t xml:space="preserve">efrigerated </w:t>
      </w:r>
      <w:r>
        <w:rPr>
          <w:lang w:eastAsia="en-NZ"/>
        </w:rPr>
        <w:t>d</w:t>
      </w:r>
      <w:r w:rsidRPr="002705A4">
        <w:rPr>
          <w:lang w:eastAsia="en-NZ"/>
        </w:rPr>
        <w:t xml:space="preserve">isplay </w:t>
      </w:r>
      <w:r>
        <w:rPr>
          <w:lang w:eastAsia="en-NZ"/>
        </w:rPr>
        <w:t>c</w:t>
      </w:r>
      <w:r w:rsidRPr="002705A4">
        <w:rPr>
          <w:lang w:eastAsia="en-NZ"/>
        </w:rPr>
        <w:t>abinets</w:t>
      </w:r>
      <w:bookmarkEnd w:id="525"/>
      <w:bookmarkEnd w:id="526"/>
      <w:r>
        <w:rPr>
          <w:lang w:eastAsia="en-NZ"/>
        </w:rPr>
        <w:t>.</w:t>
      </w:r>
      <w:bookmarkEnd w:id="527"/>
    </w:p>
    <w:tbl>
      <w:tblPr>
        <w:tblW w:w="7656" w:type="dxa"/>
        <w:tblInd w:w="108" w:type="dxa"/>
        <w:tblLook w:val="04A0" w:firstRow="1" w:lastRow="0" w:firstColumn="1" w:lastColumn="0" w:noHBand="0" w:noVBand="1"/>
      </w:tblPr>
      <w:tblGrid>
        <w:gridCol w:w="3265"/>
        <w:gridCol w:w="4391"/>
      </w:tblGrid>
      <w:tr w:rsidR="006F5C60" w:rsidRPr="00114031" w14:paraId="032D8677" w14:textId="77777777" w:rsidTr="006F5C60">
        <w:trPr>
          <w:trHeight w:val="315"/>
        </w:trPr>
        <w:tc>
          <w:tcPr>
            <w:tcW w:w="326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009C207" w14:textId="77777777" w:rsidR="006F5C60" w:rsidRPr="00114031" w:rsidRDefault="006F5C60" w:rsidP="006F5C60">
            <w:pPr>
              <w:pStyle w:val="E3TableHeading"/>
              <w:jc w:val="both"/>
              <w:rPr>
                <w:lang w:val="en-NZ"/>
              </w:rPr>
            </w:pPr>
            <w:r w:rsidRPr="00114031">
              <w:rPr>
                <w:lang w:val="en-NZ"/>
              </w:rPr>
              <w:t>Introduction</w:t>
            </w:r>
          </w:p>
        </w:tc>
        <w:tc>
          <w:tcPr>
            <w:tcW w:w="4391"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6165384B" w14:textId="77777777" w:rsidR="006F5C60" w:rsidRPr="00114031" w:rsidRDefault="006F5C60" w:rsidP="006F5C60">
            <w:pPr>
              <w:pStyle w:val="E3TableHeading"/>
              <w:jc w:val="both"/>
              <w:rPr>
                <w:lang w:val="en-NZ"/>
              </w:rPr>
            </w:pPr>
            <w:r>
              <w:rPr>
                <w:lang w:val="en-NZ"/>
              </w:rPr>
              <w:t>EEI score (“MEPS” grade)</w:t>
            </w:r>
          </w:p>
        </w:tc>
      </w:tr>
      <w:tr w:rsidR="006F5C60" w:rsidRPr="00114031" w14:paraId="00FD6D4A" w14:textId="77777777" w:rsidTr="006F5C60">
        <w:trPr>
          <w:trHeight w:val="233"/>
        </w:trPr>
        <w:tc>
          <w:tcPr>
            <w:tcW w:w="3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8C4851" w14:textId="77777777" w:rsidR="006F5C60" w:rsidRPr="00DC003B" w:rsidRDefault="006F5C60" w:rsidP="006F5C60">
            <w:pPr>
              <w:pStyle w:val="E3tabletext1"/>
              <w:jc w:val="both"/>
              <w:rPr>
                <w:rFonts w:ascii="Helvetica" w:hAnsi="Helvetica" w:cs="Helvetica"/>
                <w:sz w:val="15"/>
                <w:szCs w:val="15"/>
                <w:lang w:val="en-NZ"/>
              </w:rPr>
            </w:pPr>
            <w:r w:rsidRPr="00DC003B">
              <w:rPr>
                <w:rFonts w:ascii="Helvetica" w:hAnsi="Helvetica" w:cs="Helvetica"/>
                <w:sz w:val="15"/>
                <w:szCs w:val="15"/>
                <w:lang w:val="en-NZ"/>
              </w:rPr>
              <w:t>From 1 January 2018</w:t>
            </w:r>
          </w:p>
        </w:tc>
        <w:tc>
          <w:tcPr>
            <w:tcW w:w="43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F110A" w14:textId="77777777" w:rsidR="006F5C60" w:rsidRPr="00114031" w:rsidRDefault="006F5C60" w:rsidP="006F5C60">
            <w:pPr>
              <w:pStyle w:val="E3tabletext1"/>
              <w:jc w:val="both"/>
              <w:rPr>
                <w:lang w:val="en-NZ"/>
              </w:rPr>
            </w:pPr>
            <w:r w:rsidRPr="00114031">
              <w:rPr>
                <w:lang w:val="en-NZ"/>
              </w:rPr>
              <w:t>EEI &lt; 150</w:t>
            </w:r>
          </w:p>
        </w:tc>
      </w:tr>
      <w:tr w:rsidR="006F5C60" w:rsidRPr="00114031" w14:paraId="57206E8C" w14:textId="77777777" w:rsidTr="006F5C60">
        <w:trPr>
          <w:trHeight w:val="448"/>
        </w:trPr>
        <w:tc>
          <w:tcPr>
            <w:tcW w:w="3265" w:type="dxa"/>
            <w:vMerge/>
            <w:tcBorders>
              <w:top w:val="single" w:sz="4" w:space="0" w:color="auto"/>
              <w:left w:val="single" w:sz="4" w:space="0" w:color="auto"/>
              <w:bottom w:val="single" w:sz="4" w:space="0" w:color="auto"/>
              <w:right w:val="single" w:sz="4" w:space="0" w:color="auto"/>
            </w:tcBorders>
            <w:vAlign w:val="center"/>
            <w:hideMark/>
          </w:tcPr>
          <w:p w14:paraId="1556711C" w14:textId="77777777" w:rsidR="006F5C60" w:rsidRPr="00DC003B" w:rsidRDefault="006F5C60" w:rsidP="006F5C60">
            <w:pPr>
              <w:pStyle w:val="E3tabletext1"/>
              <w:jc w:val="both"/>
              <w:rPr>
                <w:rFonts w:ascii="Helvetica" w:hAnsi="Helvetica" w:cs="Helvetica"/>
                <w:sz w:val="15"/>
                <w:szCs w:val="15"/>
                <w:lang w:val="en-NZ"/>
              </w:rPr>
            </w:pPr>
          </w:p>
        </w:tc>
        <w:tc>
          <w:tcPr>
            <w:tcW w:w="4391" w:type="dxa"/>
            <w:vMerge/>
            <w:tcBorders>
              <w:top w:val="single" w:sz="4" w:space="0" w:color="auto"/>
              <w:left w:val="single" w:sz="4" w:space="0" w:color="auto"/>
              <w:bottom w:val="single" w:sz="4" w:space="0" w:color="auto"/>
              <w:right w:val="single" w:sz="4" w:space="0" w:color="auto"/>
            </w:tcBorders>
            <w:vAlign w:val="center"/>
            <w:hideMark/>
          </w:tcPr>
          <w:p w14:paraId="303E0A5D" w14:textId="77777777" w:rsidR="006F5C60" w:rsidRPr="00114031" w:rsidRDefault="006F5C60" w:rsidP="006F5C60">
            <w:pPr>
              <w:pStyle w:val="E3tabletext1"/>
              <w:jc w:val="both"/>
              <w:rPr>
                <w:lang w:val="en-NZ"/>
              </w:rPr>
            </w:pPr>
          </w:p>
        </w:tc>
      </w:tr>
      <w:tr w:rsidR="006F5C60" w:rsidRPr="00114031" w14:paraId="13648DA3" w14:textId="77777777" w:rsidTr="006F5C60">
        <w:trPr>
          <w:trHeight w:val="233"/>
        </w:trPr>
        <w:tc>
          <w:tcPr>
            <w:tcW w:w="3265"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14:paraId="123DC5C2" w14:textId="77777777" w:rsidR="006F5C60" w:rsidRPr="00DC003B" w:rsidRDefault="006F5C60" w:rsidP="006F5C60">
            <w:pPr>
              <w:pStyle w:val="E3tabletext1"/>
              <w:jc w:val="both"/>
              <w:rPr>
                <w:rFonts w:ascii="Helvetica" w:hAnsi="Helvetica" w:cs="Helvetica"/>
                <w:sz w:val="15"/>
                <w:szCs w:val="15"/>
                <w:lang w:val="en-NZ"/>
              </w:rPr>
            </w:pPr>
            <w:r w:rsidRPr="00DC003B">
              <w:rPr>
                <w:rFonts w:ascii="Helvetica" w:hAnsi="Helvetica" w:cs="Helvetica"/>
                <w:sz w:val="15"/>
                <w:szCs w:val="15"/>
                <w:lang w:val="en-NZ"/>
              </w:rPr>
              <w:t>From 1 January 2019</w:t>
            </w:r>
          </w:p>
        </w:tc>
        <w:tc>
          <w:tcPr>
            <w:tcW w:w="4391"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66D84F3C" w14:textId="77777777" w:rsidR="006F5C60" w:rsidRPr="00114031" w:rsidRDefault="006F5C60" w:rsidP="006F5C60">
            <w:pPr>
              <w:pStyle w:val="E3tabletext1"/>
              <w:jc w:val="both"/>
              <w:rPr>
                <w:lang w:val="en-NZ"/>
              </w:rPr>
            </w:pPr>
            <w:r w:rsidRPr="00114031">
              <w:rPr>
                <w:lang w:val="en-NZ"/>
              </w:rPr>
              <w:t>EEI &lt; 130</w:t>
            </w:r>
          </w:p>
        </w:tc>
      </w:tr>
      <w:tr w:rsidR="006F5C60" w:rsidRPr="00114031" w14:paraId="2FB8D0E5" w14:textId="77777777" w:rsidTr="006F5C60">
        <w:trPr>
          <w:trHeight w:val="448"/>
        </w:trPr>
        <w:tc>
          <w:tcPr>
            <w:tcW w:w="3265" w:type="dxa"/>
            <w:vMerge/>
            <w:tcBorders>
              <w:top w:val="single" w:sz="4" w:space="0" w:color="auto"/>
              <w:left w:val="single" w:sz="4" w:space="0" w:color="auto"/>
              <w:bottom w:val="single" w:sz="4" w:space="0" w:color="auto"/>
              <w:right w:val="single" w:sz="4" w:space="0" w:color="auto"/>
            </w:tcBorders>
            <w:vAlign w:val="center"/>
            <w:hideMark/>
          </w:tcPr>
          <w:p w14:paraId="139A5BB7" w14:textId="77777777" w:rsidR="006F5C60" w:rsidRPr="00DC003B" w:rsidRDefault="006F5C60" w:rsidP="006F5C60">
            <w:pPr>
              <w:pStyle w:val="E3tabletext1"/>
              <w:jc w:val="both"/>
              <w:rPr>
                <w:rFonts w:ascii="Helvetica" w:hAnsi="Helvetica" w:cs="Helvetica"/>
                <w:sz w:val="15"/>
                <w:szCs w:val="15"/>
                <w:lang w:val="en-NZ"/>
              </w:rPr>
            </w:pPr>
          </w:p>
        </w:tc>
        <w:tc>
          <w:tcPr>
            <w:tcW w:w="4391" w:type="dxa"/>
            <w:vMerge/>
            <w:tcBorders>
              <w:top w:val="single" w:sz="4" w:space="0" w:color="auto"/>
              <w:left w:val="single" w:sz="4" w:space="0" w:color="auto"/>
              <w:bottom w:val="single" w:sz="4" w:space="0" w:color="auto"/>
              <w:right w:val="single" w:sz="4" w:space="0" w:color="auto"/>
            </w:tcBorders>
            <w:vAlign w:val="center"/>
            <w:hideMark/>
          </w:tcPr>
          <w:p w14:paraId="23BD497C" w14:textId="77777777" w:rsidR="006F5C60" w:rsidRPr="00114031" w:rsidRDefault="006F5C60" w:rsidP="006F5C60">
            <w:pPr>
              <w:pStyle w:val="E3tabletext1"/>
              <w:jc w:val="both"/>
              <w:rPr>
                <w:lang w:val="en-NZ"/>
              </w:rPr>
            </w:pPr>
          </w:p>
        </w:tc>
      </w:tr>
      <w:tr w:rsidR="006F5C60" w:rsidRPr="00114031" w14:paraId="67360857" w14:textId="77777777" w:rsidTr="006F5C60">
        <w:trPr>
          <w:trHeight w:val="429"/>
        </w:trPr>
        <w:tc>
          <w:tcPr>
            <w:tcW w:w="326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032B988" w14:textId="77777777" w:rsidR="006F5C60" w:rsidRPr="00DC003B" w:rsidRDefault="006F5C60" w:rsidP="006F5C60">
            <w:pPr>
              <w:pStyle w:val="E3tabletext1"/>
              <w:jc w:val="both"/>
              <w:rPr>
                <w:rFonts w:ascii="Helvetica" w:hAnsi="Helvetica" w:cs="Helvetica"/>
                <w:sz w:val="15"/>
                <w:szCs w:val="15"/>
                <w:lang w:val="en-NZ"/>
              </w:rPr>
            </w:pPr>
            <w:r w:rsidRPr="00DC003B">
              <w:rPr>
                <w:rFonts w:ascii="Helvetica" w:hAnsi="Helvetica" w:cs="Helvetica"/>
                <w:sz w:val="15"/>
                <w:szCs w:val="15"/>
                <w:lang w:val="en-NZ"/>
              </w:rPr>
              <w:t>From 1 January 2021</w:t>
            </w:r>
          </w:p>
        </w:tc>
        <w:tc>
          <w:tcPr>
            <w:tcW w:w="439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504762B" w14:textId="77777777" w:rsidR="006F5C60" w:rsidRPr="00114031" w:rsidRDefault="006F5C60" w:rsidP="006F5C60">
            <w:pPr>
              <w:pStyle w:val="E3tabletext1"/>
              <w:jc w:val="both"/>
              <w:rPr>
                <w:lang w:val="en-NZ"/>
              </w:rPr>
            </w:pPr>
            <w:r w:rsidRPr="00114031">
              <w:rPr>
                <w:lang w:val="en-NZ"/>
              </w:rPr>
              <w:t>EEI &lt; 110</w:t>
            </w:r>
          </w:p>
        </w:tc>
      </w:tr>
    </w:tbl>
    <w:p w14:paraId="1EEADEB4" w14:textId="77777777" w:rsidR="006F5C60" w:rsidRDefault="006F5C60" w:rsidP="006F5C60">
      <w:pPr>
        <w:pStyle w:val="E3BodyText"/>
        <w:rPr>
          <w:lang w:val="en-NZ" w:eastAsia="en-NZ"/>
        </w:rPr>
      </w:pPr>
    </w:p>
    <w:p w14:paraId="336E64DA" w14:textId="77777777" w:rsidR="006F5C60" w:rsidRPr="00317405" w:rsidRDefault="006F5C60" w:rsidP="00317405">
      <w:pPr>
        <w:pStyle w:val="E3BodyText"/>
        <w:rPr>
          <w:lang w:val="en-NZ" w:eastAsia="en-NZ"/>
        </w:rPr>
      </w:pPr>
      <w:r>
        <w:rPr>
          <w:lang w:val="en-NZ" w:eastAsia="en-NZ"/>
        </w:rPr>
        <w:t xml:space="preserve">The </w:t>
      </w:r>
      <w:r w:rsidRPr="00AC7259">
        <w:rPr>
          <w:lang w:val="en-NZ" w:eastAsia="en-NZ"/>
        </w:rPr>
        <w:t xml:space="preserve">“MEPS” EEI levels and labelling grades for display cabinets are still in draft and </w:t>
      </w:r>
      <w:r>
        <w:rPr>
          <w:lang w:val="en-NZ" w:eastAsia="en-NZ"/>
        </w:rPr>
        <w:t xml:space="preserve">are </w:t>
      </w:r>
      <w:r w:rsidRPr="00AC7259">
        <w:rPr>
          <w:lang w:val="en-NZ" w:eastAsia="en-NZ"/>
        </w:rPr>
        <w:t>likely to change pending the outcome of the European Labelling review (</w:t>
      </w:r>
      <w:r>
        <w:rPr>
          <w:lang w:val="en-NZ" w:eastAsia="en-NZ"/>
        </w:rPr>
        <w:t xml:space="preserve">this will </w:t>
      </w:r>
      <w:r w:rsidRPr="00AC7259">
        <w:rPr>
          <w:lang w:val="en-NZ" w:eastAsia="en-NZ"/>
        </w:rPr>
        <w:t>potentia</w:t>
      </w:r>
      <w:bookmarkStart w:id="528" w:name="_Toc442877456"/>
      <w:bookmarkStart w:id="529" w:name="_Toc447533654"/>
      <w:r w:rsidR="00317405">
        <w:rPr>
          <w:lang w:val="en-NZ" w:eastAsia="en-NZ"/>
        </w:rPr>
        <w:t>lly be known by December 2017).</w:t>
      </w:r>
    </w:p>
    <w:p w14:paraId="2D1FC149" w14:textId="77777777" w:rsidR="006F5C60" w:rsidRPr="00DC003B" w:rsidRDefault="006F5C60" w:rsidP="00317405">
      <w:pPr>
        <w:pStyle w:val="E3Heading4"/>
        <w:rPr>
          <w:lang w:eastAsia="en-NZ"/>
        </w:rPr>
      </w:pPr>
      <w:r w:rsidRPr="00DC003B">
        <w:rPr>
          <w:lang w:eastAsia="en-NZ"/>
        </w:rPr>
        <w:t xml:space="preserve">Draft equation to calculate the </w:t>
      </w:r>
      <w:r w:rsidRPr="00DC003B">
        <w:rPr>
          <w:rFonts w:eastAsiaTheme="minorEastAsia"/>
          <w:lang w:eastAsia="en-NZ"/>
        </w:rPr>
        <w:t xml:space="preserve">EEI of </w:t>
      </w:r>
      <w:r w:rsidRPr="00DC003B">
        <w:rPr>
          <w:lang w:eastAsia="en-NZ"/>
        </w:rPr>
        <w:t>display cabinets</w:t>
      </w:r>
      <w:bookmarkEnd w:id="528"/>
      <w:bookmarkEnd w:id="529"/>
      <w:r w:rsidRPr="00DC003B">
        <w:rPr>
          <w:lang w:eastAsia="en-NZ"/>
        </w:rPr>
        <w:t xml:space="preserve"> </w:t>
      </w:r>
    </w:p>
    <w:p w14:paraId="3646C8F0" w14:textId="77777777" w:rsidR="006F5C60" w:rsidRPr="00AC7259" w:rsidRDefault="006F5C60" w:rsidP="006F5C60">
      <w:pPr>
        <w:pStyle w:val="E3Heading4"/>
        <w:spacing w:line="360" w:lineRule="auto"/>
        <w:jc w:val="both"/>
        <w:rPr>
          <w:lang w:val="en-NZ" w:eastAsia="en-NZ"/>
        </w:rPr>
      </w:pPr>
      <w:r w:rsidRPr="00AC7259">
        <w:rPr>
          <w:lang w:val="en-NZ" w:eastAsia="en-NZ"/>
        </w:rPr>
        <w:t>For most display cabinets (not beverage coolers &amp; small ice-cream freezers):</w:t>
      </w:r>
    </w:p>
    <w:p w14:paraId="54977A99" w14:textId="77777777" w:rsidR="006F5C60" w:rsidRPr="00AC7259" w:rsidRDefault="006F5C60" w:rsidP="006F5C60">
      <w:pPr>
        <w:pStyle w:val="E3BodyText"/>
        <w:rPr>
          <w:lang w:val="en-NZ" w:eastAsia="en-NZ"/>
        </w:rPr>
      </w:pPr>
      <w:r w:rsidRPr="00AC7259">
        <w:rPr>
          <w:lang w:val="en-NZ" w:eastAsia="en-NZ"/>
        </w:rPr>
        <w:t>The EEI of display cabinets is a ratio of their Annual Energy Consumption compared to a Standard Annual Energy Consumption, to 1 decimal place:</w:t>
      </w:r>
      <w:r w:rsidRPr="00DC003B">
        <w:rPr>
          <w:rStyle w:val="FootnoteReference"/>
          <w:lang w:val="en-NZ" w:eastAsia="en-NZ"/>
        </w:rPr>
        <w:t xml:space="preserve"> </w:t>
      </w:r>
      <w:r w:rsidRPr="00DC003B">
        <w:rPr>
          <w:rStyle w:val="FootnoteReference"/>
          <w:lang w:val="en-NZ" w:eastAsia="en-NZ"/>
        </w:rPr>
        <w:footnoteReference w:id="58"/>
      </w:r>
    </w:p>
    <w:p w14:paraId="101C6E14" w14:textId="77777777" w:rsidR="006F5C60" w:rsidRPr="00AC7259" w:rsidRDefault="006F5C60" w:rsidP="006F5C60">
      <w:pPr>
        <w:pStyle w:val="E3BodyText"/>
        <w:rPr>
          <w:lang w:val="pt-PT" w:eastAsia="en-NZ"/>
        </w:rPr>
      </w:pPr>
      <w:r w:rsidRPr="00AC7259">
        <w:rPr>
          <w:lang w:val="pt-PT" w:eastAsia="en-NZ"/>
        </w:rPr>
        <w:t>EEI = (AEC/SAEC) × 100</w:t>
      </w:r>
    </w:p>
    <w:p w14:paraId="2DB7A4FF" w14:textId="77777777" w:rsidR="006F5C60" w:rsidRPr="00AC7259" w:rsidRDefault="006F5C60" w:rsidP="006F5C60">
      <w:pPr>
        <w:pStyle w:val="E3BodyText"/>
        <w:rPr>
          <w:lang w:val="en-NZ" w:eastAsia="en-NZ"/>
        </w:rPr>
      </w:pPr>
      <w:r w:rsidRPr="00AC7259">
        <w:rPr>
          <w:lang w:val="en-NZ" w:eastAsia="en-NZ"/>
        </w:rPr>
        <w:t>Where:</w:t>
      </w:r>
    </w:p>
    <w:p w14:paraId="79419929" w14:textId="77777777" w:rsidR="006F5C60" w:rsidRPr="00AC7259" w:rsidRDefault="006F5C60" w:rsidP="006F5C60">
      <w:pPr>
        <w:pStyle w:val="E3BodyText"/>
        <w:rPr>
          <w:lang w:val="en-GB" w:eastAsia="en-NZ"/>
        </w:rPr>
      </w:pPr>
      <w:r w:rsidRPr="00AC7259">
        <w:rPr>
          <w:lang w:val="en-GB" w:eastAsia="en-NZ"/>
        </w:rPr>
        <w:t>AEC=E24h × 365</w:t>
      </w:r>
    </w:p>
    <w:p w14:paraId="649DA185" w14:textId="77777777" w:rsidR="006F5C60" w:rsidRPr="00AC7259" w:rsidRDefault="006F5C60" w:rsidP="006F5C60">
      <w:pPr>
        <w:pStyle w:val="E3Bullets"/>
        <w:numPr>
          <w:ilvl w:val="0"/>
          <w:numId w:val="0"/>
        </w:numPr>
        <w:ind w:left="227"/>
        <w:jc w:val="both"/>
        <w:rPr>
          <w:lang w:val="en-NZ" w:eastAsia="en-NZ"/>
        </w:rPr>
      </w:pPr>
      <w:r w:rsidRPr="00AC7259">
        <w:rPr>
          <w:lang w:val="en-NZ" w:eastAsia="en-NZ"/>
        </w:rPr>
        <w:t>AEC = Annual Energy Consumption of the cabinet in kWh/year, which is the sum of the AEC of all compartments of the cabinet,</w:t>
      </w:r>
    </w:p>
    <w:p w14:paraId="0E4A4D40" w14:textId="77777777" w:rsidR="006F5C60" w:rsidRPr="00AC7259" w:rsidRDefault="006F5C60" w:rsidP="006F5C60">
      <w:pPr>
        <w:pStyle w:val="E3Bullets"/>
        <w:numPr>
          <w:ilvl w:val="0"/>
          <w:numId w:val="0"/>
        </w:numPr>
        <w:ind w:left="227"/>
        <w:jc w:val="both"/>
        <w:rPr>
          <w:lang w:val="en-NZ" w:eastAsia="en-NZ"/>
        </w:rPr>
      </w:pPr>
      <w:r w:rsidRPr="00AC7259">
        <w:rPr>
          <w:lang w:val="en-NZ" w:eastAsia="en-NZ"/>
        </w:rPr>
        <w:t xml:space="preserve">E24h = the energy consumption of the cabinet over 24 hours) </w:t>
      </w:r>
    </w:p>
    <w:p w14:paraId="5382533C" w14:textId="77777777" w:rsidR="006F5C60" w:rsidRPr="00AC7259" w:rsidRDefault="006F5C60" w:rsidP="006F5C60">
      <w:pPr>
        <w:pStyle w:val="E3BodyText"/>
        <w:rPr>
          <w:lang w:val="en-GB" w:eastAsia="en-NZ"/>
        </w:rPr>
      </w:pPr>
      <w:r w:rsidRPr="00AC7259">
        <w:rPr>
          <w:lang w:val="en-GB" w:eastAsia="en-NZ"/>
        </w:rPr>
        <w:t>SAEC= (M + N × Y) × 365 x C</w:t>
      </w:r>
    </w:p>
    <w:p w14:paraId="49C00D79" w14:textId="77777777" w:rsidR="006F5C60" w:rsidRPr="00AC7259" w:rsidRDefault="006F5C60" w:rsidP="006F5C60">
      <w:pPr>
        <w:pStyle w:val="E3Bullets"/>
        <w:numPr>
          <w:ilvl w:val="0"/>
          <w:numId w:val="0"/>
        </w:numPr>
        <w:ind w:left="227"/>
        <w:jc w:val="both"/>
        <w:rPr>
          <w:lang w:val="en-NZ" w:eastAsia="en-NZ"/>
        </w:rPr>
      </w:pPr>
      <w:r w:rsidRPr="00AC7259">
        <w:rPr>
          <w:lang w:val="en-NZ" w:eastAsia="en-NZ"/>
        </w:rPr>
        <w:t xml:space="preserve">SAEC = Standard Annual Energy Consumption of the cabinet in kWh/year.  </w:t>
      </w:r>
    </w:p>
    <w:p w14:paraId="67D1AB47" w14:textId="77777777" w:rsidR="006F5C60" w:rsidRPr="00AC7259" w:rsidRDefault="006F5C60" w:rsidP="006F5C60">
      <w:pPr>
        <w:pStyle w:val="E3Bullets"/>
        <w:numPr>
          <w:ilvl w:val="0"/>
          <w:numId w:val="0"/>
        </w:numPr>
        <w:ind w:left="227"/>
        <w:jc w:val="both"/>
        <w:rPr>
          <w:noProof/>
          <w:lang w:val="en-NZ" w:eastAsia="en-NZ"/>
        </w:rPr>
      </w:pPr>
      <w:r w:rsidRPr="00AC7259">
        <w:rPr>
          <w:noProof/>
          <w:lang w:val="en-NZ" w:eastAsia="en-NZ"/>
        </w:rPr>
        <w:t xml:space="preserve">Y = volume of the appliance, which is the </w:t>
      </w:r>
      <w:r w:rsidRPr="00AC7259">
        <w:rPr>
          <w:i/>
          <w:noProof/>
          <w:lang w:val="en-NZ" w:eastAsia="en-NZ"/>
        </w:rPr>
        <w:t>sum of  volumes</w:t>
      </w:r>
      <w:r w:rsidRPr="00AC7259">
        <w:rPr>
          <w:noProof/>
          <w:lang w:val="en-NZ" w:eastAsia="en-NZ"/>
        </w:rPr>
        <w:t xml:space="preserve"> of all compartments of the cabinet, expressed in litres. For beverage coolers, the gross volume shall be used, for all other cabinets, the net volume. For vending machines, only those compartments are to be considered that are directly available for vending without service visit.</w:t>
      </w:r>
    </w:p>
    <w:p w14:paraId="71A4B834" w14:textId="77777777" w:rsidR="006F5C60" w:rsidRPr="00AC7259" w:rsidRDefault="006F5C60" w:rsidP="006F5C60">
      <w:pPr>
        <w:pStyle w:val="E3Bullets"/>
        <w:numPr>
          <w:ilvl w:val="0"/>
          <w:numId w:val="0"/>
        </w:numPr>
        <w:ind w:left="720"/>
        <w:jc w:val="both"/>
        <w:rPr>
          <w:noProof/>
          <w:lang w:val="en-NZ" w:eastAsia="en-NZ"/>
        </w:rPr>
      </w:pPr>
    </w:p>
    <w:p w14:paraId="573B94EE" w14:textId="77777777" w:rsidR="006F5C60" w:rsidRPr="00AC7259" w:rsidRDefault="006F5C60" w:rsidP="006F5C60">
      <w:pPr>
        <w:pStyle w:val="E3Bullets"/>
        <w:numPr>
          <w:ilvl w:val="0"/>
          <w:numId w:val="0"/>
        </w:numPr>
        <w:ind w:left="227" w:hanging="227"/>
        <w:jc w:val="both"/>
        <w:rPr>
          <w:noProof/>
          <w:lang w:val="en-NZ" w:eastAsia="en-NZ"/>
        </w:rPr>
      </w:pPr>
      <w:r w:rsidRPr="00AC7259">
        <w:rPr>
          <w:noProof/>
          <w:lang w:val="en-NZ" w:eastAsia="en-NZ"/>
        </w:rPr>
        <w:t>For all other refrigerated commercial display cabinets:</w:t>
      </w:r>
    </w:p>
    <w:p w14:paraId="23CD59FC" w14:textId="77777777" w:rsidR="006F5C60" w:rsidRPr="00AC7259" w:rsidRDefault="006F5C60" w:rsidP="006F5C60">
      <w:pPr>
        <w:pStyle w:val="E3Bullets"/>
        <w:numPr>
          <w:ilvl w:val="0"/>
          <w:numId w:val="0"/>
        </w:numPr>
        <w:ind w:left="227" w:hanging="227"/>
        <w:jc w:val="both"/>
        <w:rPr>
          <w:noProof/>
          <w:lang w:val="en-NZ" w:eastAsia="en-NZ"/>
        </w:rPr>
      </w:pPr>
      <w:r w:rsidRPr="00AC7259">
        <w:rPr>
          <w:lang w:val="en-NZ" w:eastAsia="en-NZ"/>
        </w:rPr>
        <w:t xml:space="preserve">Y </w:t>
      </w:r>
      <w:r w:rsidRPr="00AC7259">
        <w:rPr>
          <w:noProof/>
          <w:lang w:val="en-NZ" w:eastAsia="en-NZ"/>
        </w:rPr>
        <w:t>= total display area, which is the sum of the display areas of all compartments of the cabinet, expressed in squared meters (m</w:t>
      </w:r>
      <w:r w:rsidRPr="00AC7259">
        <w:rPr>
          <w:noProof/>
          <w:vertAlign w:val="superscript"/>
          <w:lang w:val="en-NZ" w:eastAsia="en-NZ"/>
        </w:rPr>
        <w:t>2</w:t>
      </w:r>
      <w:r w:rsidRPr="00AC7259">
        <w:rPr>
          <w:noProof/>
          <w:lang w:val="en-NZ" w:eastAsia="en-NZ"/>
        </w:rPr>
        <w:t xml:space="preserve">). </w:t>
      </w:r>
    </w:p>
    <w:p w14:paraId="1801E520" w14:textId="77777777" w:rsidR="006F5C60" w:rsidRPr="00AC7259" w:rsidRDefault="006F5C60" w:rsidP="006F5C60">
      <w:pPr>
        <w:pStyle w:val="E3Bullets"/>
        <w:numPr>
          <w:ilvl w:val="0"/>
          <w:numId w:val="0"/>
        </w:numPr>
        <w:ind w:left="227" w:hanging="227"/>
        <w:jc w:val="both"/>
        <w:rPr>
          <w:noProof/>
          <w:lang w:val="en-NZ" w:eastAsia="en-NZ"/>
        </w:rPr>
      </w:pPr>
      <w:r w:rsidRPr="00AC7259">
        <w:rPr>
          <w:noProof/>
          <w:lang w:val="en-NZ" w:eastAsia="en-NZ"/>
        </w:rPr>
        <w:t>M and N are defined values – see table below.</w:t>
      </w:r>
    </w:p>
    <w:p w14:paraId="1BBFC888" w14:textId="77777777" w:rsidR="006F5C60" w:rsidRPr="00AC7259" w:rsidRDefault="006F5C60" w:rsidP="006F5C60">
      <w:pPr>
        <w:pStyle w:val="E3Bullets"/>
        <w:numPr>
          <w:ilvl w:val="0"/>
          <w:numId w:val="0"/>
        </w:numPr>
        <w:ind w:left="360"/>
        <w:rPr>
          <w:noProof/>
        </w:rPr>
      </w:pPr>
    </w:p>
    <w:p w14:paraId="277CBCF5" w14:textId="77777777" w:rsidR="006F5C60" w:rsidRPr="00AC7259" w:rsidRDefault="006F5C60" w:rsidP="006F5C60">
      <w:pPr>
        <w:pStyle w:val="E3Bullets"/>
        <w:numPr>
          <w:ilvl w:val="0"/>
          <w:numId w:val="0"/>
        </w:numPr>
        <w:rPr>
          <w:noProof/>
        </w:rPr>
      </w:pPr>
      <w:r w:rsidRPr="00AC7259">
        <w:rPr>
          <w:noProof/>
        </w:rPr>
        <w:t>In the case of combined [access] cabinets, the SAEC is calculated separately for each cabinet compartment and added together to obtain  the total SAEC of the combined [access] cabinet.</w:t>
      </w:r>
    </w:p>
    <w:p w14:paraId="7769DBA4" w14:textId="77777777" w:rsidR="006F5C60" w:rsidRPr="00AC7259" w:rsidRDefault="006F5C60" w:rsidP="006F5C60">
      <w:pPr>
        <w:pStyle w:val="E3Heading4"/>
        <w:spacing w:line="360" w:lineRule="auto"/>
        <w:jc w:val="both"/>
        <w:rPr>
          <w:noProof/>
          <w:lang w:val="en-NZ" w:eastAsia="en-NZ"/>
        </w:rPr>
      </w:pPr>
      <w:r w:rsidRPr="00AC7259">
        <w:rPr>
          <w:noProof/>
          <w:lang w:val="en-NZ" w:eastAsia="en-NZ"/>
        </w:rPr>
        <w:t>Specific M and N and C coefficients for display cabinets:</w:t>
      </w:r>
    </w:p>
    <w:p w14:paraId="50E03A18" w14:textId="77777777" w:rsidR="00D51B4B" w:rsidRPr="00773A4B" w:rsidRDefault="006F5C60" w:rsidP="006F5C60">
      <w:pPr>
        <w:pStyle w:val="E3BodyText"/>
        <w:rPr>
          <w:b/>
        </w:rPr>
      </w:pPr>
      <w:r w:rsidRPr="00AC7259">
        <w:rPr>
          <w:noProof/>
          <w:lang w:val="en-NZ" w:eastAsia="en-NZ"/>
        </w:rPr>
        <w:t xml:space="preserve">The M, N and C coefficients were devised by an industry-government working group to add correction factors to the display cabinet EEIs. These are shown in </w:t>
      </w:r>
      <w:r w:rsidRPr="00AC7259">
        <w:rPr>
          <w:b/>
          <w:noProof/>
          <w:lang w:val="en-NZ" w:eastAsia="en-NZ"/>
        </w:rPr>
        <w:fldChar w:fldCharType="begin"/>
      </w:r>
      <w:r w:rsidRPr="00AC7259">
        <w:rPr>
          <w:b/>
          <w:noProof/>
          <w:lang w:val="en-NZ" w:eastAsia="en-NZ"/>
        </w:rPr>
        <w:instrText xml:space="preserve"> REF _Ref450641349 \h  \* MERGEFORMAT </w:instrText>
      </w:r>
      <w:r w:rsidRPr="00AC7259">
        <w:rPr>
          <w:b/>
          <w:noProof/>
          <w:lang w:val="en-NZ" w:eastAsia="en-NZ"/>
        </w:rPr>
      </w:r>
      <w:r w:rsidRPr="00AC7259">
        <w:rPr>
          <w:b/>
          <w:noProof/>
          <w:lang w:val="en-NZ" w:eastAsia="en-NZ"/>
        </w:rPr>
        <w:fldChar w:fldCharType="separate"/>
      </w:r>
    </w:p>
    <w:p w14:paraId="58BFCC5E" w14:textId="62B442E3" w:rsidR="006F5C60" w:rsidRPr="00773A4B" w:rsidRDefault="00D51B4B" w:rsidP="006F5C60">
      <w:pPr>
        <w:pStyle w:val="E3BodyText"/>
        <w:rPr>
          <w:b/>
        </w:rPr>
      </w:pPr>
      <w:r w:rsidRPr="00D51B4B">
        <w:rPr>
          <w:b/>
          <w:noProof/>
        </w:rPr>
        <w:t>Table</w:t>
      </w:r>
      <w:r>
        <w:t xml:space="preserve"> </w:t>
      </w:r>
      <w:r w:rsidRPr="00D51B4B">
        <w:rPr>
          <w:b/>
        </w:rPr>
        <w:t>F</w:t>
      </w:r>
      <w:r w:rsidRPr="00D51B4B">
        <w:rPr>
          <w:b/>
          <w:noProof/>
        </w:rPr>
        <w:t xml:space="preserve"> 3</w:t>
      </w:r>
      <w:r w:rsidR="006F5C60" w:rsidRPr="00AC7259">
        <w:rPr>
          <w:b/>
          <w:noProof/>
          <w:lang w:val="en-NZ" w:eastAsia="en-NZ"/>
        </w:rPr>
        <w:fldChar w:fldCharType="end"/>
      </w:r>
      <w:r w:rsidR="006F5C60" w:rsidRPr="00AC7259">
        <w:rPr>
          <w:b/>
          <w:noProof/>
          <w:lang w:val="en-NZ" w:eastAsia="en-NZ"/>
        </w:rPr>
        <w:t xml:space="preserve"> </w:t>
      </w:r>
      <w:r w:rsidR="006F5C60" w:rsidRPr="00AC7259">
        <w:rPr>
          <w:noProof/>
          <w:lang w:val="en-NZ" w:eastAsia="en-NZ"/>
        </w:rPr>
        <w:t>and</w:t>
      </w:r>
      <w:r w:rsidR="006F5C60" w:rsidRPr="00AC7259">
        <w:rPr>
          <w:b/>
          <w:noProof/>
          <w:lang w:val="en-NZ" w:eastAsia="en-NZ"/>
        </w:rPr>
        <w:t xml:space="preserve"> </w:t>
      </w:r>
      <w:r w:rsidR="006F5C60" w:rsidRPr="00AC7259">
        <w:rPr>
          <w:b/>
          <w:noProof/>
          <w:lang w:val="en-NZ" w:eastAsia="en-NZ"/>
        </w:rPr>
        <w:fldChar w:fldCharType="begin"/>
      </w:r>
      <w:r w:rsidR="006F5C60" w:rsidRPr="00AC7259">
        <w:rPr>
          <w:b/>
          <w:noProof/>
          <w:lang w:val="en-NZ" w:eastAsia="en-NZ"/>
        </w:rPr>
        <w:instrText xml:space="preserve"> REF _Ref455133208 \h  \* MERGEFORMAT </w:instrText>
      </w:r>
      <w:r w:rsidR="006F5C60" w:rsidRPr="00AC7259">
        <w:rPr>
          <w:b/>
          <w:noProof/>
          <w:lang w:val="en-NZ" w:eastAsia="en-NZ"/>
        </w:rPr>
      </w:r>
      <w:r w:rsidR="006F5C60" w:rsidRPr="00AC7259">
        <w:rPr>
          <w:b/>
          <w:noProof/>
          <w:lang w:val="en-NZ" w:eastAsia="en-NZ"/>
        </w:rPr>
        <w:fldChar w:fldCharType="separate"/>
      </w:r>
      <w:r w:rsidRPr="00D51B4B">
        <w:rPr>
          <w:b/>
        </w:rPr>
        <w:t xml:space="preserve">Table F </w:t>
      </w:r>
      <w:r w:rsidRPr="00D51B4B">
        <w:rPr>
          <w:b/>
          <w:noProof/>
        </w:rPr>
        <w:t>4</w:t>
      </w:r>
      <w:r w:rsidR="006F5C60" w:rsidRPr="00AC7259">
        <w:rPr>
          <w:b/>
          <w:noProof/>
          <w:lang w:val="en-NZ" w:eastAsia="en-NZ"/>
        </w:rPr>
        <w:fldChar w:fldCharType="end"/>
      </w:r>
      <w:r w:rsidR="006F5C60" w:rsidRPr="00AC7259">
        <w:rPr>
          <w:b/>
          <w:noProof/>
          <w:lang w:val="en-NZ" w:eastAsia="en-NZ"/>
        </w:rPr>
        <w:t>.</w:t>
      </w:r>
      <w:r w:rsidR="006F5C60" w:rsidRPr="00AC7259">
        <w:rPr>
          <w:noProof/>
          <w:lang w:val="en-NZ" w:eastAsia="en-NZ"/>
        </w:rPr>
        <w:t xml:space="preserve"> </w:t>
      </w:r>
      <w:r w:rsidR="006F5C60" w:rsidRPr="00AC7259">
        <w:rPr>
          <w:lang w:val="en-NZ" w:eastAsia="en-NZ"/>
        </w:rPr>
        <w:t>[Tables are all extracted from the draft European Commission regulations, April 2016.]</w:t>
      </w:r>
      <w:bookmarkStart w:id="530" w:name="_Ref450641349"/>
      <w:bookmarkStart w:id="531" w:name="_Toc449708983"/>
      <w:bookmarkStart w:id="532" w:name="_Toc456164813"/>
    </w:p>
    <w:p w14:paraId="1B907AE1" w14:textId="76BD8684" w:rsidR="006F5C60" w:rsidRDefault="006F5C60" w:rsidP="006F5C60">
      <w:pPr>
        <w:pStyle w:val="E3TableTitles"/>
        <w:spacing w:before="240"/>
        <w:rPr>
          <w:noProof/>
          <w:lang w:eastAsia="en-NZ"/>
        </w:rPr>
      </w:pPr>
      <w:bookmarkStart w:id="533" w:name="_Toc500159684"/>
      <w:r>
        <w:t xml:space="preserve">Table F </w:t>
      </w:r>
      <w:r>
        <w:fldChar w:fldCharType="begin"/>
      </w:r>
      <w:r>
        <w:instrText xml:space="preserve"> SEQ Table_F \* ARABIC </w:instrText>
      </w:r>
      <w:r>
        <w:fldChar w:fldCharType="separate"/>
      </w:r>
      <w:r w:rsidR="00D51B4B">
        <w:rPr>
          <w:noProof/>
        </w:rPr>
        <w:t>3</w:t>
      </w:r>
      <w:r>
        <w:rPr>
          <w:noProof/>
        </w:rPr>
        <w:fldChar w:fldCharType="end"/>
      </w:r>
      <w:bookmarkEnd w:id="530"/>
      <w:r w:rsidRPr="002705A4">
        <w:rPr>
          <w:noProof/>
          <w:lang w:eastAsia="en-NZ"/>
        </w:rPr>
        <w:t xml:space="preserve">: </w:t>
      </w:r>
      <w:r>
        <w:rPr>
          <w:noProof/>
          <w:lang w:eastAsia="en-NZ"/>
        </w:rPr>
        <w:t xml:space="preserve">Draft </w:t>
      </w:r>
      <w:r w:rsidRPr="002705A4">
        <w:rPr>
          <w:noProof/>
          <w:lang w:eastAsia="en-NZ"/>
        </w:rPr>
        <w:t xml:space="preserve">M and N coefficients for Refrigerated </w:t>
      </w:r>
      <w:r>
        <w:rPr>
          <w:noProof/>
          <w:lang w:eastAsia="en-NZ"/>
        </w:rPr>
        <w:t>d</w:t>
      </w:r>
      <w:r w:rsidRPr="002705A4">
        <w:rPr>
          <w:noProof/>
          <w:lang w:eastAsia="en-NZ"/>
        </w:rPr>
        <w:t xml:space="preserve">isplay </w:t>
      </w:r>
      <w:r>
        <w:rPr>
          <w:noProof/>
          <w:lang w:eastAsia="en-NZ"/>
        </w:rPr>
        <w:t>c</w:t>
      </w:r>
      <w:r w:rsidRPr="002705A4">
        <w:rPr>
          <w:noProof/>
          <w:lang w:eastAsia="en-NZ"/>
        </w:rPr>
        <w:t>abinets.</w:t>
      </w:r>
      <w:bookmarkEnd w:id="531"/>
      <w:bookmarkEnd w:id="532"/>
      <w:bookmarkEnd w:id="533"/>
      <w:r>
        <w:rPr>
          <w:noProof/>
          <w:lang w:eastAsia="en-NZ"/>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54"/>
        <w:gridCol w:w="1530"/>
        <w:gridCol w:w="1843"/>
      </w:tblGrid>
      <w:tr w:rsidR="006F5C60" w14:paraId="6799FC62" w14:textId="77777777" w:rsidTr="006F5C60">
        <w:tc>
          <w:tcPr>
            <w:tcW w:w="5245" w:type="dxa"/>
            <w:shd w:val="clear" w:color="auto" w:fill="000000" w:themeFill="text1"/>
          </w:tcPr>
          <w:p w14:paraId="10C6C59C" w14:textId="77777777" w:rsidR="006F5C60" w:rsidRDefault="006F5C60" w:rsidP="00907A99">
            <w:pPr>
              <w:pStyle w:val="E3TableHeading"/>
              <w:rPr>
                <w:noProof/>
                <w:lang w:val="en-NZ"/>
              </w:rPr>
            </w:pPr>
            <w:r>
              <w:rPr>
                <w:noProof/>
                <w:lang w:val="en-NZ"/>
              </w:rPr>
              <w:t>Category</w:t>
            </w:r>
          </w:p>
        </w:tc>
        <w:tc>
          <w:tcPr>
            <w:tcW w:w="1984" w:type="dxa"/>
            <w:gridSpan w:val="2"/>
            <w:shd w:val="clear" w:color="auto" w:fill="000000" w:themeFill="text1"/>
          </w:tcPr>
          <w:p w14:paraId="3497AA2B" w14:textId="22819506" w:rsidR="006F5C60" w:rsidRDefault="00907A99" w:rsidP="00907A99">
            <w:pPr>
              <w:pStyle w:val="E3TableHeading"/>
              <w:jc w:val="center"/>
              <w:rPr>
                <w:noProof/>
                <w:lang w:val="en-NZ"/>
              </w:rPr>
            </w:pPr>
            <w:r>
              <w:rPr>
                <w:noProof/>
                <w:lang w:val="en-NZ"/>
              </w:rPr>
              <w:t xml:space="preserve">      </w:t>
            </w:r>
            <w:r w:rsidR="006F5C60">
              <w:rPr>
                <w:noProof/>
                <w:lang w:val="en-NZ"/>
              </w:rPr>
              <w:t>Value for M</w:t>
            </w:r>
          </w:p>
        </w:tc>
        <w:tc>
          <w:tcPr>
            <w:tcW w:w="1843" w:type="dxa"/>
            <w:shd w:val="clear" w:color="auto" w:fill="000000" w:themeFill="text1"/>
          </w:tcPr>
          <w:p w14:paraId="39680BD0" w14:textId="603EC5E5" w:rsidR="006F5C60" w:rsidRDefault="00907A99" w:rsidP="00907A99">
            <w:pPr>
              <w:pStyle w:val="E3TableHeading"/>
              <w:rPr>
                <w:noProof/>
                <w:lang w:val="en-NZ"/>
              </w:rPr>
            </w:pPr>
            <w:r>
              <w:rPr>
                <w:noProof/>
                <w:lang w:val="en-NZ"/>
              </w:rPr>
              <w:t xml:space="preserve"> </w:t>
            </w:r>
            <w:r w:rsidR="006F5C60">
              <w:rPr>
                <w:noProof/>
                <w:lang w:val="en-NZ"/>
              </w:rPr>
              <w:t>Value for N</w:t>
            </w:r>
          </w:p>
        </w:tc>
      </w:tr>
      <w:tr w:rsidR="006F5C60" w14:paraId="4FFD534E" w14:textId="77777777" w:rsidTr="00907A99">
        <w:tc>
          <w:tcPr>
            <w:tcW w:w="5699" w:type="dxa"/>
            <w:gridSpan w:val="2"/>
          </w:tcPr>
          <w:p w14:paraId="197422EE" w14:textId="77777777" w:rsidR="006F5C60" w:rsidRPr="00907A99" w:rsidRDefault="006F5C60" w:rsidP="006F5C60">
            <w:pPr>
              <w:pStyle w:val="E3tabletext1"/>
              <w:jc w:val="both"/>
              <w:rPr>
                <w:noProof/>
                <w:sz w:val="18"/>
                <w:szCs w:val="18"/>
                <w:lang w:val="en-NZ"/>
              </w:rPr>
            </w:pPr>
            <w:r w:rsidRPr="00907A99">
              <w:rPr>
                <w:noProof/>
                <w:sz w:val="18"/>
                <w:szCs w:val="18"/>
                <w:lang w:val="en-NZ"/>
              </w:rPr>
              <w:t>Beverage Coolers</w:t>
            </w:r>
          </w:p>
        </w:tc>
        <w:tc>
          <w:tcPr>
            <w:tcW w:w="1530" w:type="dxa"/>
          </w:tcPr>
          <w:p w14:paraId="176CCA72" w14:textId="77777777" w:rsidR="006F5C60" w:rsidRPr="00907A99" w:rsidRDefault="006F5C60" w:rsidP="006F5C60">
            <w:pPr>
              <w:pStyle w:val="E3tabletext1"/>
              <w:jc w:val="both"/>
              <w:rPr>
                <w:noProof/>
                <w:sz w:val="18"/>
                <w:szCs w:val="18"/>
                <w:lang w:val="en-NZ"/>
              </w:rPr>
            </w:pPr>
            <w:r w:rsidRPr="00907A99">
              <w:rPr>
                <w:noProof/>
                <w:sz w:val="18"/>
                <w:szCs w:val="18"/>
                <w:lang w:val="en-NZ"/>
              </w:rPr>
              <w:t>1.0</w:t>
            </w:r>
          </w:p>
        </w:tc>
        <w:tc>
          <w:tcPr>
            <w:tcW w:w="1843" w:type="dxa"/>
          </w:tcPr>
          <w:p w14:paraId="439F43EA" w14:textId="77777777" w:rsidR="006F5C60" w:rsidRPr="00907A99" w:rsidRDefault="006F5C60" w:rsidP="006F5C60">
            <w:pPr>
              <w:pStyle w:val="E3tabletext1"/>
              <w:jc w:val="both"/>
              <w:rPr>
                <w:noProof/>
                <w:sz w:val="18"/>
                <w:szCs w:val="18"/>
                <w:lang w:val="en-NZ"/>
              </w:rPr>
            </w:pPr>
            <w:r w:rsidRPr="00907A99">
              <w:rPr>
                <w:noProof/>
                <w:sz w:val="18"/>
                <w:szCs w:val="18"/>
                <w:lang w:val="en-NZ"/>
              </w:rPr>
              <w:t>0.013</w:t>
            </w:r>
          </w:p>
        </w:tc>
      </w:tr>
      <w:tr w:rsidR="006F5C60" w14:paraId="5B9964D5" w14:textId="77777777" w:rsidTr="00907A99">
        <w:tc>
          <w:tcPr>
            <w:tcW w:w="5699" w:type="dxa"/>
            <w:gridSpan w:val="2"/>
          </w:tcPr>
          <w:p w14:paraId="4471B55F" w14:textId="77777777" w:rsidR="006F5C60" w:rsidRPr="00907A99" w:rsidRDefault="006F5C60" w:rsidP="006F5C60">
            <w:pPr>
              <w:pStyle w:val="E3tabletext1"/>
              <w:jc w:val="both"/>
              <w:rPr>
                <w:noProof/>
                <w:sz w:val="18"/>
                <w:szCs w:val="18"/>
                <w:lang w:val="en-NZ"/>
              </w:rPr>
            </w:pPr>
            <w:r w:rsidRPr="00907A99">
              <w:rPr>
                <w:noProof/>
                <w:sz w:val="18"/>
                <w:szCs w:val="18"/>
                <w:lang w:val="en-NZ"/>
              </w:rPr>
              <w:t>Small Ice-cream freezers</w:t>
            </w:r>
          </w:p>
        </w:tc>
        <w:tc>
          <w:tcPr>
            <w:tcW w:w="1530" w:type="dxa"/>
          </w:tcPr>
          <w:p w14:paraId="5947D5C7" w14:textId="77777777" w:rsidR="006F5C60" w:rsidRPr="00907A99" w:rsidRDefault="006F5C60" w:rsidP="006F5C60">
            <w:pPr>
              <w:pStyle w:val="E3tabletext1"/>
              <w:jc w:val="both"/>
              <w:rPr>
                <w:noProof/>
                <w:sz w:val="18"/>
                <w:szCs w:val="18"/>
                <w:lang w:val="en-NZ"/>
              </w:rPr>
            </w:pPr>
            <w:r w:rsidRPr="00907A99">
              <w:rPr>
                <w:noProof/>
                <w:sz w:val="18"/>
                <w:szCs w:val="18"/>
                <w:lang w:val="en-NZ"/>
              </w:rPr>
              <w:t>1.0</w:t>
            </w:r>
          </w:p>
        </w:tc>
        <w:tc>
          <w:tcPr>
            <w:tcW w:w="1843" w:type="dxa"/>
          </w:tcPr>
          <w:p w14:paraId="33E10C16" w14:textId="77777777" w:rsidR="006F5C60" w:rsidRPr="00907A99" w:rsidRDefault="006F5C60" w:rsidP="006F5C60">
            <w:pPr>
              <w:pStyle w:val="E3tabletext1"/>
              <w:jc w:val="both"/>
              <w:rPr>
                <w:noProof/>
                <w:sz w:val="18"/>
                <w:szCs w:val="18"/>
                <w:lang w:val="en-NZ"/>
              </w:rPr>
            </w:pPr>
            <w:r w:rsidRPr="00907A99">
              <w:rPr>
                <w:noProof/>
                <w:sz w:val="18"/>
                <w:szCs w:val="18"/>
                <w:lang w:val="en-NZ"/>
              </w:rPr>
              <w:t>0.009</w:t>
            </w:r>
          </w:p>
        </w:tc>
      </w:tr>
      <w:tr w:rsidR="006F5C60" w14:paraId="43DE6CCB" w14:textId="77777777" w:rsidTr="00907A99">
        <w:tc>
          <w:tcPr>
            <w:tcW w:w="5699" w:type="dxa"/>
            <w:gridSpan w:val="2"/>
          </w:tcPr>
          <w:p w14:paraId="26BE2C1A" w14:textId="77777777" w:rsidR="006F5C60" w:rsidRPr="00907A99" w:rsidRDefault="006F5C60" w:rsidP="006F5C60">
            <w:pPr>
              <w:pStyle w:val="E3tabletext1"/>
              <w:jc w:val="both"/>
              <w:rPr>
                <w:noProof/>
                <w:sz w:val="18"/>
                <w:szCs w:val="18"/>
                <w:lang w:val="en-NZ"/>
              </w:rPr>
            </w:pPr>
            <w:r w:rsidRPr="00907A99">
              <w:rPr>
                <w:noProof/>
                <w:sz w:val="18"/>
                <w:szCs w:val="18"/>
                <w:lang w:val="en-NZ"/>
              </w:rPr>
              <w:t>Gelato scooping ice-cream cabinets</w:t>
            </w:r>
          </w:p>
        </w:tc>
        <w:tc>
          <w:tcPr>
            <w:tcW w:w="1530" w:type="dxa"/>
          </w:tcPr>
          <w:p w14:paraId="68AEAA6C" w14:textId="77777777" w:rsidR="006F5C60" w:rsidRPr="00907A99" w:rsidRDefault="006F5C60" w:rsidP="006F5C60">
            <w:pPr>
              <w:pStyle w:val="E3tabletext1"/>
              <w:jc w:val="both"/>
              <w:rPr>
                <w:noProof/>
                <w:sz w:val="18"/>
                <w:szCs w:val="18"/>
                <w:lang w:val="en-NZ"/>
              </w:rPr>
            </w:pPr>
            <w:r w:rsidRPr="00907A99">
              <w:rPr>
                <w:noProof/>
                <w:sz w:val="18"/>
                <w:szCs w:val="18"/>
                <w:lang w:val="en-NZ"/>
              </w:rPr>
              <w:t>10.4</w:t>
            </w:r>
          </w:p>
        </w:tc>
        <w:tc>
          <w:tcPr>
            <w:tcW w:w="1843" w:type="dxa"/>
          </w:tcPr>
          <w:p w14:paraId="0FCCEE4B" w14:textId="77777777" w:rsidR="006F5C60" w:rsidRPr="00907A99" w:rsidRDefault="006F5C60" w:rsidP="006F5C60">
            <w:pPr>
              <w:pStyle w:val="E3tabletext1"/>
              <w:jc w:val="both"/>
              <w:rPr>
                <w:noProof/>
                <w:sz w:val="18"/>
                <w:szCs w:val="18"/>
                <w:lang w:val="en-NZ"/>
              </w:rPr>
            </w:pPr>
            <w:r w:rsidRPr="00907A99">
              <w:rPr>
                <w:noProof/>
                <w:sz w:val="18"/>
                <w:szCs w:val="18"/>
                <w:lang w:val="en-NZ"/>
              </w:rPr>
              <w:t>30.4</w:t>
            </w:r>
          </w:p>
        </w:tc>
      </w:tr>
      <w:tr w:rsidR="006F5C60" w14:paraId="28BEBFB3" w14:textId="77777777" w:rsidTr="00907A99">
        <w:tc>
          <w:tcPr>
            <w:tcW w:w="5699" w:type="dxa"/>
            <w:gridSpan w:val="2"/>
          </w:tcPr>
          <w:p w14:paraId="47006E67" w14:textId="77777777" w:rsidR="006F5C60" w:rsidRPr="00907A99" w:rsidRDefault="006F5C60" w:rsidP="006F5C60">
            <w:pPr>
              <w:pStyle w:val="E3tabletext1"/>
              <w:jc w:val="both"/>
              <w:rPr>
                <w:noProof/>
                <w:sz w:val="18"/>
                <w:szCs w:val="18"/>
                <w:lang w:val="en-NZ"/>
              </w:rPr>
            </w:pPr>
            <w:r w:rsidRPr="00907A99">
              <w:rPr>
                <w:noProof/>
                <w:sz w:val="18"/>
                <w:szCs w:val="18"/>
                <w:lang w:val="en-NZ"/>
              </w:rPr>
              <w:t>Vertical, semi-vertical and combined supermarket refrigerator cabinets</w:t>
            </w:r>
          </w:p>
        </w:tc>
        <w:tc>
          <w:tcPr>
            <w:tcW w:w="1530" w:type="dxa"/>
          </w:tcPr>
          <w:p w14:paraId="76984A45" w14:textId="77777777" w:rsidR="006F5C60" w:rsidRPr="00907A99" w:rsidRDefault="006F5C60" w:rsidP="006F5C60">
            <w:pPr>
              <w:pStyle w:val="E3tabletext1"/>
              <w:jc w:val="both"/>
              <w:rPr>
                <w:noProof/>
                <w:sz w:val="18"/>
                <w:szCs w:val="18"/>
                <w:lang w:val="en-NZ"/>
              </w:rPr>
            </w:pPr>
            <w:r w:rsidRPr="00907A99">
              <w:rPr>
                <w:noProof/>
                <w:sz w:val="18"/>
                <w:szCs w:val="18"/>
                <w:lang w:val="en-NZ"/>
              </w:rPr>
              <w:t>9.1</w:t>
            </w:r>
          </w:p>
        </w:tc>
        <w:tc>
          <w:tcPr>
            <w:tcW w:w="1843" w:type="dxa"/>
          </w:tcPr>
          <w:p w14:paraId="4B6625A3" w14:textId="77777777" w:rsidR="006F5C60" w:rsidRPr="00907A99" w:rsidRDefault="006F5C60" w:rsidP="006F5C60">
            <w:pPr>
              <w:pStyle w:val="E3tabletext1"/>
              <w:jc w:val="both"/>
              <w:rPr>
                <w:noProof/>
                <w:sz w:val="18"/>
                <w:szCs w:val="18"/>
                <w:lang w:val="en-NZ"/>
              </w:rPr>
            </w:pPr>
            <w:r w:rsidRPr="00907A99">
              <w:rPr>
                <w:noProof/>
                <w:sz w:val="18"/>
                <w:szCs w:val="18"/>
                <w:lang w:val="en-NZ"/>
              </w:rPr>
              <w:t>9.1</w:t>
            </w:r>
          </w:p>
        </w:tc>
      </w:tr>
      <w:tr w:rsidR="006F5C60" w14:paraId="1CEC03C4" w14:textId="77777777" w:rsidTr="00907A99">
        <w:tc>
          <w:tcPr>
            <w:tcW w:w="5699" w:type="dxa"/>
            <w:gridSpan w:val="2"/>
          </w:tcPr>
          <w:p w14:paraId="38CCF591" w14:textId="77777777" w:rsidR="006F5C60" w:rsidRPr="00907A99" w:rsidRDefault="006F5C60" w:rsidP="006F5C60">
            <w:pPr>
              <w:pStyle w:val="E3tabletext1"/>
              <w:jc w:val="both"/>
              <w:rPr>
                <w:noProof/>
                <w:sz w:val="18"/>
                <w:szCs w:val="18"/>
                <w:lang w:val="en-NZ"/>
              </w:rPr>
            </w:pPr>
            <w:r w:rsidRPr="00907A99">
              <w:rPr>
                <w:noProof/>
                <w:sz w:val="18"/>
                <w:szCs w:val="18"/>
                <w:lang w:val="en-NZ"/>
              </w:rPr>
              <w:t>Horizontal supermarket refrigerator cabinets</w:t>
            </w:r>
          </w:p>
        </w:tc>
        <w:tc>
          <w:tcPr>
            <w:tcW w:w="1530" w:type="dxa"/>
          </w:tcPr>
          <w:p w14:paraId="29F596B7" w14:textId="77777777" w:rsidR="006F5C60" w:rsidRPr="00907A99" w:rsidRDefault="006F5C60" w:rsidP="006F5C60">
            <w:pPr>
              <w:pStyle w:val="E3tabletext1"/>
              <w:jc w:val="both"/>
              <w:rPr>
                <w:noProof/>
                <w:sz w:val="18"/>
                <w:szCs w:val="18"/>
                <w:lang w:val="en-NZ"/>
              </w:rPr>
            </w:pPr>
            <w:r w:rsidRPr="00907A99">
              <w:rPr>
                <w:noProof/>
                <w:sz w:val="18"/>
                <w:szCs w:val="18"/>
                <w:lang w:val="en-NZ"/>
              </w:rPr>
              <w:t>3.7</w:t>
            </w:r>
          </w:p>
        </w:tc>
        <w:tc>
          <w:tcPr>
            <w:tcW w:w="1843" w:type="dxa"/>
          </w:tcPr>
          <w:p w14:paraId="4DA3B88E" w14:textId="77777777" w:rsidR="006F5C60" w:rsidRPr="00907A99" w:rsidRDefault="006F5C60" w:rsidP="006F5C60">
            <w:pPr>
              <w:pStyle w:val="E3tabletext1"/>
              <w:jc w:val="both"/>
              <w:rPr>
                <w:noProof/>
                <w:sz w:val="18"/>
                <w:szCs w:val="18"/>
                <w:lang w:val="en-NZ"/>
              </w:rPr>
            </w:pPr>
            <w:r w:rsidRPr="00907A99">
              <w:rPr>
                <w:noProof/>
                <w:sz w:val="18"/>
                <w:szCs w:val="18"/>
                <w:lang w:val="en-NZ"/>
              </w:rPr>
              <w:t>3.5</w:t>
            </w:r>
          </w:p>
        </w:tc>
      </w:tr>
      <w:tr w:rsidR="006F5C60" w14:paraId="5D29E4C2" w14:textId="77777777" w:rsidTr="00907A99">
        <w:tc>
          <w:tcPr>
            <w:tcW w:w="5699" w:type="dxa"/>
            <w:gridSpan w:val="2"/>
          </w:tcPr>
          <w:p w14:paraId="25594A6D" w14:textId="77777777" w:rsidR="006F5C60" w:rsidRPr="00907A99" w:rsidRDefault="006F5C60" w:rsidP="006F5C60">
            <w:pPr>
              <w:pStyle w:val="E3tabletext1"/>
              <w:jc w:val="both"/>
              <w:rPr>
                <w:noProof/>
                <w:sz w:val="18"/>
                <w:szCs w:val="18"/>
                <w:lang w:val="en-NZ"/>
              </w:rPr>
            </w:pPr>
            <w:r w:rsidRPr="00907A99">
              <w:rPr>
                <w:noProof/>
                <w:sz w:val="18"/>
                <w:szCs w:val="18"/>
                <w:lang w:val="en-NZ"/>
              </w:rPr>
              <w:t>Vertical, semi-vertical and combined supermarket freezer cabinets</w:t>
            </w:r>
          </w:p>
        </w:tc>
        <w:tc>
          <w:tcPr>
            <w:tcW w:w="1530" w:type="dxa"/>
          </w:tcPr>
          <w:p w14:paraId="6D88F15D" w14:textId="77777777" w:rsidR="006F5C60" w:rsidRPr="00907A99" w:rsidRDefault="006F5C60" w:rsidP="006F5C60">
            <w:pPr>
              <w:pStyle w:val="E3tabletext1"/>
              <w:jc w:val="both"/>
              <w:rPr>
                <w:noProof/>
                <w:sz w:val="18"/>
                <w:szCs w:val="18"/>
                <w:lang w:val="en-NZ"/>
              </w:rPr>
            </w:pPr>
            <w:r w:rsidRPr="00907A99">
              <w:rPr>
                <w:noProof/>
                <w:sz w:val="18"/>
                <w:szCs w:val="18"/>
                <w:lang w:val="en-NZ"/>
              </w:rPr>
              <w:t>1.6</w:t>
            </w:r>
          </w:p>
        </w:tc>
        <w:tc>
          <w:tcPr>
            <w:tcW w:w="1843" w:type="dxa"/>
          </w:tcPr>
          <w:p w14:paraId="39A07EB6" w14:textId="77777777" w:rsidR="006F5C60" w:rsidRPr="00907A99" w:rsidRDefault="006F5C60" w:rsidP="006F5C60">
            <w:pPr>
              <w:pStyle w:val="E3tabletext1"/>
              <w:jc w:val="both"/>
              <w:rPr>
                <w:noProof/>
                <w:sz w:val="18"/>
                <w:szCs w:val="18"/>
                <w:lang w:val="en-NZ"/>
              </w:rPr>
            </w:pPr>
            <w:r w:rsidRPr="00907A99">
              <w:rPr>
                <w:noProof/>
                <w:sz w:val="18"/>
                <w:szCs w:val="18"/>
                <w:lang w:val="en-NZ"/>
              </w:rPr>
              <w:t>19.1</w:t>
            </w:r>
          </w:p>
        </w:tc>
      </w:tr>
      <w:tr w:rsidR="006F5C60" w14:paraId="522128D0" w14:textId="77777777" w:rsidTr="00907A99">
        <w:tc>
          <w:tcPr>
            <w:tcW w:w="5699" w:type="dxa"/>
            <w:gridSpan w:val="2"/>
          </w:tcPr>
          <w:p w14:paraId="2B39BBBF" w14:textId="77777777" w:rsidR="006F5C60" w:rsidRPr="00907A99" w:rsidRDefault="006F5C60" w:rsidP="006F5C60">
            <w:pPr>
              <w:pStyle w:val="E3tabletext1"/>
              <w:jc w:val="both"/>
              <w:rPr>
                <w:noProof/>
                <w:sz w:val="18"/>
                <w:szCs w:val="18"/>
                <w:lang w:val="en-NZ"/>
              </w:rPr>
            </w:pPr>
            <w:r w:rsidRPr="00907A99">
              <w:rPr>
                <w:noProof/>
                <w:sz w:val="18"/>
                <w:szCs w:val="18"/>
                <w:lang w:val="en-NZ"/>
              </w:rPr>
              <w:t>Horizontal supermarket freezer cabinets</w:t>
            </w:r>
          </w:p>
        </w:tc>
        <w:tc>
          <w:tcPr>
            <w:tcW w:w="1530" w:type="dxa"/>
          </w:tcPr>
          <w:p w14:paraId="60E45CFC" w14:textId="77777777" w:rsidR="006F5C60" w:rsidRPr="00907A99" w:rsidRDefault="006F5C60" w:rsidP="006F5C60">
            <w:pPr>
              <w:pStyle w:val="E3tabletext1"/>
              <w:jc w:val="both"/>
              <w:rPr>
                <w:noProof/>
                <w:sz w:val="18"/>
                <w:szCs w:val="18"/>
                <w:lang w:val="en-NZ"/>
              </w:rPr>
            </w:pPr>
            <w:r w:rsidRPr="00907A99">
              <w:rPr>
                <w:noProof/>
                <w:sz w:val="18"/>
                <w:szCs w:val="18"/>
                <w:lang w:val="en-NZ"/>
              </w:rPr>
              <w:t>4.2</w:t>
            </w:r>
          </w:p>
        </w:tc>
        <w:tc>
          <w:tcPr>
            <w:tcW w:w="1843" w:type="dxa"/>
          </w:tcPr>
          <w:p w14:paraId="33D01E24" w14:textId="77777777" w:rsidR="006F5C60" w:rsidRPr="00907A99" w:rsidRDefault="006F5C60" w:rsidP="006F5C60">
            <w:pPr>
              <w:pStyle w:val="E3tabletext1"/>
              <w:jc w:val="both"/>
              <w:rPr>
                <w:noProof/>
                <w:sz w:val="18"/>
                <w:szCs w:val="18"/>
                <w:lang w:val="en-NZ"/>
              </w:rPr>
            </w:pPr>
            <w:r w:rsidRPr="00907A99">
              <w:rPr>
                <w:noProof/>
                <w:sz w:val="18"/>
                <w:szCs w:val="18"/>
                <w:lang w:val="en-NZ"/>
              </w:rPr>
              <w:t>9.8</w:t>
            </w:r>
          </w:p>
        </w:tc>
      </w:tr>
    </w:tbl>
    <w:p w14:paraId="52BE8AB3" w14:textId="3A2879BC" w:rsidR="006F5C60" w:rsidRPr="00C737A1" w:rsidRDefault="006F5C60" w:rsidP="00907A99">
      <w:pPr>
        <w:pStyle w:val="E3TableTitles"/>
        <w:spacing w:before="240"/>
        <w:rPr>
          <w:rFonts w:eastAsia="Times New Roman"/>
          <w:noProof/>
          <w:lang w:val="en-NZ"/>
        </w:rPr>
      </w:pPr>
      <w:bookmarkStart w:id="534" w:name="_Ref455133208"/>
      <w:bookmarkStart w:id="535" w:name="_Toc456164814"/>
      <w:bookmarkStart w:id="536" w:name="_Toc500159685"/>
      <w:bookmarkStart w:id="537" w:name="_Toc447533655"/>
      <w:bookmarkStart w:id="538" w:name="_Toc449708814"/>
      <w:r>
        <w:t xml:space="preserve">Table F </w:t>
      </w:r>
      <w:r>
        <w:fldChar w:fldCharType="begin"/>
      </w:r>
      <w:r>
        <w:instrText xml:space="preserve"> SEQ Table_F \* ARABIC </w:instrText>
      </w:r>
      <w:r>
        <w:fldChar w:fldCharType="separate"/>
      </w:r>
      <w:r w:rsidR="00D51B4B">
        <w:rPr>
          <w:noProof/>
        </w:rPr>
        <w:t>4</w:t>
      </w:r>
      <w:r>
        <w:rPr>
          <w:noProof/>
        </w:rPr>
        <w:fldChar w:fldCharType="end"/>
      </w:r>
      <w:bookmarkEnd w:id="534"/>
      <w:r>
        <w:rPr>
          <w:noProof/>
          <w:lang w:val="en-NZ"/>
        </w:rPr>
        <w:t>. Coefficient values.</w:t>
      </w:r>
      <w:bookmarkEnd w:id="535"/>
      <w:bookmarkEnd w:id="536"/>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of Coefficient values for display cabinets to calculate the energy efficiency index "/>
      </w:tblPr>
      <w:tblGrid>
        <w:gridCol w:w="4394"/>
        <w:gridCol w:w="4645"/>
      </w:tblGrid>
      <w:tr w:rsidR="00317405" w:rsidRPr="00317405" w14:paraId="34A74DC6" w14:textId="77777777" w:rsidTr="00F5660D">
        <w:tc>
          <w:tcPr>
            <w:tcW w:w="439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2DBD6BB" w14:textId="77777777" w:rsidR="00317405" w:rsidRPr="00317405" w:rsidRDefault="00317405" w:rsidP="00317405">
            <w:pPr>
              <w:spacing w:after="0"/>
              <w:rPr>
                <w:b/>
                <w:lang w:val="en-NZ"/>
              </w:rPr>
            </w:pPr>
            <w:r w:rsidRPr="00317405">
              <w:rPr>
                <w:b/>
                <w:lang w:val="en-NZ"/>
              </w:rPr>
              <w:t>Category</w:t>
            </w:r>
          </w:p>
        </w:tc>
        <w:tc>
          <w:tcPr>
            <w:tcW w:w="464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6C9BEBD" w14:textId="77777777" w:rsidR="00317405" w:rsidRPr="00317405" w:rsidRDefault="00317405" w:rsidP="00317405">
            <w:pPr>
              <w:spacing w:after="0"/>
              <w:rPr>
                <w:b/>
                <w:lang w:val="en-NZ"/>
              </w:rPr>
            </w:pPr>
            <w:r w:rsidRPr="00317405">
              <w:rPr>
                <w:b/>
                <w:lang w:val="en-NZ"/>
              </w:rPr>
              <w:t>Value for C</w:t>
            </w:r>
          </w:p>
        </w:tc>
      </w:tr>
      <w:tr w:rsidR="00317405" w:rsidRPr="00317405" w14:paraId="607A9857" w14:textId="77777777" w:rsidTr="00F5660D">
        <w:tc>
          <w:tcPr>
            <w:tcW w:w="4394" w:type="dxa"/>
            <w:tcBorders>
              <w:top w:val="single" w:sz="4" w:space="0" w:color="auto"/>
              <w:left w:val="single" w:sz="4" w:space="0" w:color="auto"/>
              <w:bottom w:val="single" w:sz="4" w:space="0" w:color="auto"/>
              <w:right w:val="single" w:sz="4" w:space="0" w:color="auto"/>
            </w:tcBorders>
            <w:hideMark/>
          </w:tcPr>
          <w:p w14:paraId="115F7B2D" w14:textId="77777777" w:rsidR="00317405" w:rsidRPr="00317405" w:rsidRDefault="00317405" w:rsidP="00317405">
            <w:pPr>
              <w:spacing w:after="0"/>
              <w:rPr>
                <w:b/>
                <w:lang w:val="en-NZ"/>
              </w:rPr>
            </w:pPr>
            <w:r w:rsidRPr="00317405">
              <w:rPr>
                <w:b/>
                <w:lang w:val="en-NZ"/>
              </w:rPr>
              <w:t>supermarket refrigerator</w:t>
            </w:r>
          </w:p>
        </w:tc>
        <w:tc>
          <w:tcPr>
            <w:tcW w:w="4645" w:type="dxa"/>
            <w:tcBorders>
              <w:top w:val="single" w:sz="4" w:space="0" w:color="auto"/>
              <w:left w:val="single" w:sz="4" w:space="0" w:color="auto"/>
              <w:bottom w:val="single" w:sz="4" w:space="0" w:color="auto"/>
              <w:right w:val="single" w:sz="4" w:space="0" w:color="auto"/>
            </w:tcBorders>
            <w:hideMark/>
          </w:tcPr>
          <w:p w14:paraId="17052373" w14:textId="77777777" w:rsidR="00317405" w:rsidRPr="00317405" w:rsidRDefault="00317405" w:rsidP="00317405">
            <w:pPr>
              <w:spacing w:after="0"/>
              <w:rPr>
                <w:b/>
                <w:lang w:val="en-NZ"/>
              </w:rPr>
            </w:pPr>
            <m:oMathPara>
              <m:oMath>
                <m:r>
                  <m:rPr>
                    <m:sty m:val="b"/>
                  </m:rPr>
                  <w:rPr>
                    <w:rFonts w:ascii="Cambria Math" w:hAnsi="Cambria Math"/>
                    <w:lang w:val="en-NZ"/>
                  </w:rPr>
                  <m:t>C=1+</m:t>
                </m:r>
                <m:f>
                  <m:fPr>
                    <m:ctrlPr>
                      <w:rPr>
                        <w:rFonts w:ascii="Cambria Math" w:hAnsi="Cambria Math"/>
                        <w:b/>
                        <w:lang w:val="en-NZ"/>
                      </w:rPr>
                    </m:ctrlPr>
                  </m:fPr>
                  <m:num>
                    <m:r>
                      <m:rPr>
                        <m:sty m:val="b"/>
                      </m:rPr>
                      <w:rPr>
                        <w:rFonts w:ascii="Cambria Math" w:hAnsi="Cambria Math"/>
                        <w:lang w:val="en-NZ"/>
                      </w:rPr>
                      <m:t>7-</m:t>
                    </m:r>
                    <m:sSub>
                      <m:sSubPr>
                        <m:ctrlPr>
                          <w:rPr>
                            <w:rFonts w:ascii="Cambria Math" w:hAnsi="Cambria Math"/>
                            <w:b/>
                            <w:lang w:val="en-NZ"/>
                          </w:rPr>
                        </m:ctrlPr>
                      </m:sSubPr>
                      <m:e>
                        <m:r>
                          <m:rPr>
                            <m:sty m:val="b"/>
                          </m:rPr>
                          <w:rPr>
                            <w:rFonts w:ascii="Cambria Math" w:hAnsi="Cambria Math"/>
                            <w:lang w:val="en-NZ"/>
                          </w:rPr>
                          <m:t>T</m:t>
                        </m:r>
                      </m:e>
                      <m:sub>
                        <m:r>
                          <m:rPr>
                            <m:sty m:val="b"/>
                          </m:rPr>
                          <w:rPr>
                            <w:rFonts w:ascii="Cambria Math" w:hAnsi="Cambria Math"/>
                            <w:lang w:val="en-NZ"/>
                          </w:rPr>
                          <m:t>1</m:t>
                        </m:r>
                      </m:sub>
                    </m:sSub>
                  </m:num>
                  <m:den>
                    <m:r>
                      <m:rPr>
                        <m:sty m:val="b"/>
                      </m:rPr>
                      <w:rPr>
                        <w:rFonts w:ascii="Cambria Math" w:hAnsi="Cambria Math"/>
                        <w:lang w:val="en-NZ"/>
                      </w:rPr>
                      <m:t>25</m:t>
                    </m:r>
                  </m:den>
                </m:f>
              </m:oMath>
            </m:oMathPara>
          </w:p>
        </w:tc>
      </w:tr>
      <w:tr w:rsidR="00317405" w:rsidRPr="00317405" w14:paraId="72F176B8" w14:textId="77777777" w:rsidTr="00F5660D">
        <w:tc>
          <w:tcPr>
            <w:tcW w:w="4394" w:type="dxa"/>
            <w:tcBorders>
              <w:top w:val="single" w:sz="4" w:space="0" w:color="auto"/>
              <w:left w:val="single" w:sz="4" w:space="0" w:color="auto"/>
              <w:bottom w:val="single" w:sz="4" w:space="0" w:color="auto"/>
              <w:right w:val="single" w:sz="4" w:space="0" w:color="auto"/>
            </w:tcBorders>
            <w:hideMark/>
          </w:tcPr>
          <w:p w14:paraId="5A333598" w14:textId="77777777" w:rsidR="00317405" w:rsidRPr="00317405" w:rsidRDefault="00317405" w:rsidP="00317405">
            <w:pPr>
              <w:spacing w:after="0"/>
              <w:rPr>
                <w:b/>
                <w:lang w:val="en-NZ"/>
              </w:rPr>
            </w:pPr>
            <w:r w:rsidRPr="00317405">
              <w:rPr>
                <w:b/>
                <w:lang w:val="en-NZ"/>
              </w:rPr>
              <w:t>supermarket freezer</w:t>
            </w:r>
          </w:p>
        </w:tc>
        <w:tc>
          <w:tcPr>
            <w:tcW w:w="4645" w:type="dxa"/>
            <w:tcBorders>
              <w:top w:val="single" w:sz="4" w:space="0" w:color="auto"/>
              <w:left w:val="single" w:sz="4" w:space="0" w:color="auto"/>
              <w:bottom w:val="single" w:sz="4" w:space="0" w:color="auto"/>
              <w:right w:val="single" w:sz="4" w:space="0" w:color="auto"/>
            </w:tcBorders>
            <w:hideMark/>
          </w:tcPr>
          <w:p w14:paraId="799BE8F3" w14:textId="77777777" w:rsidR="00317405" w:rsidRPr="00317405" w:rsidRDefault="00317405" w:rsidP="00317405">
            <w:pPr>
              <w:spacing w:after="0"/>
              <w:rPr>
                <w:b/>
                <w:lang w:val="en-NZ"/>
              </w:rPr>
            </w:pPr>
            <m:oMathPara>
              <m:oMath>
                <m:r>
                  <m:rPr>
                    <m:sty m:val="b"/>
                  </m:rPr>
                  <w:rPr>
                    <w:rFonts w:ascii="Cambria Math" w:hAnsi="Cambria Math"/>
                    <w:lang w:val="en-NZ"/>
                  </w:rPr>
                  <m:t>C=1+</m:t>
                </m:r>
                <m:f>
                  <m:fPr>
                    <m:ctrlPr>
                      <w:rPr>
                        <w:rFonts w:ascii="Cambria Math" w:hAnsi="Cambria Math"/>
                        <w:b/>
                        <w:lang w:val="en-NZ"/>
                      </w:rPr>
                    </m:ctrlPr>
                  </m:fPr>
                  <m:num>
                    <m:r>
                      <m:rPr>
                        <m:sty m:val="b"/>
                      </m:rPr>
                      <w:rPr>
                        <w:rFonts w:ascii="Cambria Math" w:hAnsi="Cambria Math"/>
                        <w:lang w:val="en-NZ"/>
                      </w:rPr>
                      <m:t>(-15)-</m:t>
                    </m:r>
                    <m:sSub>
                      <m:sSubPr>
                        <m:ctrlPr>
                          <w:rPr>
                            <w:rFonts w:ascii="Cambria Math" w:hAnsi="Cambria Math"/>
                            <w:b/>
                            <w:lang w:val="en-NZ"/>
                          </w:rPr>
                        </m:ctrlPr>
                      </m:sSubPr>
                      <m:e>
                        <m:r>
                          <m:rPr>
                            <m:sty m:val="b"/>
                          </m:rPr>
                          <w:rPr>
                            <w:rFonts w:ascii="Cambria Math" w:hAnsi="Cambria Math"/>
                            <w:lang w:val="en-NZ"/>
                          </w:rPr>
                          <m:t>T</m:t>
                        </m:r>
                      </m:e>
                      <m:sub>
                        <m:r>
                          <m:rPr>
                            <m:sty m:val="b"/>
                          </m:rPr>
                          <w:rPr>
                            <w:rFonts w:ascii="Cambria Math" w:hAnsi="Cambria Math"/>
                            <w:lang w:val="en-NZ"/>
                          </w:rPr>
                          <m:t>1</m:t>
                        </m:r>
                      </m:sub>
                    </m:sSub>
                  </m:num>
                  <m:den>
                    <m:r>
                      <m:rPr>
                        <m:sty m:val="b"/>
                      </m:rPr>
                      <w:rPr>
                        <w:rFonts w:ascii="Cambria Math" w:hAnsi="Cambria Math"/>
                        <w:lang w:val="en-NZ"/>
                      </w:rPr>
                      <m:t>25</m:t>
                    </m:r>
                  </m:den>
                </m:f>
              </m:oMath>
            </m:oMathPara>
          </w:p>
        </w:tc>
      </w:tr>
      <w:tr w:rsidR="00317405" w:rsidRPr="00317405" w14:paraId="7158A191" w14:textId="77777777" w:rsidTr="00F5660D">
        <w:tc>
          <w:tcPr>
            <w:tcW w:w="4394" w:type="dxa"/>
            <w:tcBorders>
              <w:top w:val="single" w:sz="4" w:space="0" w:color="auto"/>
              <w:left w:val="single" w:sz="4" w:space="0" w:color="auto"/>
              <w:bottom w:val="single" w:sz="4" w:space="0" w:color="auto"/>
              <w:right w:val="single" w:sz="4" w:space="0" w:color="auto"/>
            </w:tcBorders>
            <w:hideMark/>
          </w:tcPr>
          <w:p w14:paraId="34645519" w14:textId="77777777" w:rsidR="00317405" w:rsidRPr="00317405" w:rsidRDefault="00317405" w:rsidP="00317405">
            <w:pPr>
              <w:spacing w:after="0"/>
              <w:rPr>
                <w:b/>
                <w:lang w:val="en-NZ"/>
              </w:rPr>
            </w:pPr>
            <w:r w:rsidRPr="00317405">
              <w:rPr>
                <w:b/>
                <w:lang w:val="en-NZ"/>
              </w:rPr>
              <w:t>beverage cooler</w:t>
            </w:r>
          </w:p>
        </w:tc>
        <w:tc>
          <w:tcPr>
            <w:tcW w:w="4645" w:type="dxa"/>
            <w:tcBorders>
              <w:top w:val="single" w:sz="4" w:space="0" w:color="auto"/>
              <w:left w:val="single" w:sz="4" w:space="0" w:color="auto"/>
              <w:bottom w:val="single" w:sz="4" w:space="0" w:color="auto"/>
              <w:right w:val="single" w:sz="4" w:space="0" w:color="auto"/>
            </w:tcBorders>
            <w:hideMark/>
          </w:tcPr>
          <w:p w14:paraId="08217B6C" w14:textId="77777777" w:rsidR="00317405" w:rsidRPr="00317405" w:rsidRDefault="00317405" w:rsidP="00317405">
            <w:pPr>
              <w:spacing w:after="0"/>
              <w:rPr>
                <w:b/>
                <w:lang w:val="en-NZ"/>
              </w:rPr>
            </w:pPr>
            <m:oMathPara>
              <m:oMath>
                <m:r>
                  <m:rPr>
                    <m:sty m:val="b"/>
                  </m:rPr>
                  <w:rPr>
                    <w:rFonts w:ascii="Cambria Math" w:hAnsi="Cambria Math"/>
                    <w:lang w:val="en-NZ"/>
                  </w:rPr>
                  <m:t>C=1+</m:t>
                </m:r>
                <m:f>
                  <m:fPr>
                    <m:ctrlPr>
                      <w:rPr>
                        <w:rFonts w:ascii="Cambria Math" w:hAnsi="Cambria Math"/>
                        <w:b/>
                        <w:lang w:val="en-NZ"/>
                      </w:rPr>
                    </m:ctrlPr>
                  </m:fPr>
                  <m:num>
                    <m:r>
                      <m:rPr>
                        <m:sty m:val="b"/>
                      </m:rPr>
                      <w:rPr>
                        <w:rFonts w:ascii="Cambria Math" w:hAnsi="Cambria Math"/>
                        <w:lang w:val="en-NZ"/>
                      </w:rPr>
                      <m:t>5-</m:t>
                    </m:r>
                    <m:sSub>
                      <m:sSubPr>
                        <m:ctrlPr>
                          <w:rPr>
                            <w:rFonts w:ascii="Cambria Math" w:hAnsi="Cambria Math"/>
                            <w:b/>
                            <w:lang w:val="en-NZ"/>
                          </w:rPr>
                        </m:ctrlPr>
                      </m:sSubPr>
                      <m:e>
                        <m:r>
                          <m:rPr>
                            <m:sty m:val="b"/>
                          </m:rPr>
                          <w:rPr>
                            <w:rFonts w:ascii="Cambria Math" w:hAnsi="Cambria Math"/>
                            <w:lang w:val="en-NZ"/>
                          </w:rPr>
                          <m:t>T</m:t>
                        </m:r>
                      </m:e>
                      <m:sub>
                        <m:r>
                          <m:rPr>
                            <m:sty m:val="b"/>
                          </m:rPr>
                          <w:rPr>
                            <w:rFonts w:ascii="Cambria Math" w:hAnsi="Cambria Math"/>
                            <w:lang w:val="en-NZ"/>
                          </w:rPr>
                          <m:t>C</m:t>
                        </m:r>
                      </m:sub>
                    </m:sSub>
                  </m:num>
                  <m:den>
                    <m:r>
                      <m:rPr>
                        <m:sty m:val="b"/>
                      </m:rPr>
                      <w:rPr>
                        <w:rFonts w:ascii="Cambria Math" w:hAnsi="Cambria Math"/>
                        <w:lang w:val="en-NZ"/>
                      </w:rPr>
                      <m:t>25</m:t>
                    </m:r>
                  </m:den>
                </m:f>
              </m:oMath>
            </m:oMathPara>
          </w:p>
        </w:tc>
      </w:tr>
      <w:tr w:rsidR="00317405" w:rsidRPr="00317405" w14:paraId="689A529F" w14:textId="77777777" w:rsidTr="00F5660D">
        <w:tc>
          <w:tcPr>
            <w:tcW w:w="4394" w:type="dxa"/>
            <w:tcBorders>
              <w:top w:val="single" w:sz="4" w:space="0" w:color="auto"/>
              <w:left w:val="single" w:sz="4" w:space="0" w:color="auto"/>
              <w:bottom w:val="single" w:sz="4" w:space="0" w:color="auto"/>
              <w:right w:val="single" w:sz="4" w:space="0" w:color="auto"/>
            </w:tcBorders>
            <w:hideMark/>
          </w:tcPr>
          <w:p w14:paraId="703B2811" w14:textId="77777777" w:rsidR="00317405" w:rsidRPr="00317405" w:rsidRDefault="00317405" w:rsidP="00317405">
            <w:pPr>
              <w:spacing w:after="0"/>
              <w:rPr>
                <w:b/>
                <w:lang w:val="en-NZ"/>
              </w:rPr>
            </w:pPr>
            <w:r w:rsidRPr="00317405">
              <w:rPr>
                <w:b/>
                <w:lang w:val="en-NZ"/>
              </w:rPr>
              <w:t>small ice-cream freezer</w:t>
            </w:r>
          </w:p>
        </w:tc>
        <w:tc>
          <w:tcPr>
            <w:tcW w:w="4645" w:type="dxa"/>
            <w:tcBorders>
              <w:top w:val="single" w:sz="4" w:space="0" w:color="auto"/>
              <w:left w:val="single" w:sz="4" w:space="0" w:color="auto"/>
              <w:bottom w:val="single" w:sz="4" w:space="0" w:color="auto"/>
              <w:right w:val="single" w:sz="4" w:space="0" w:color="auto"/>
            </w:tcBorders>
            <w:hideMark/>
          </w:tcPr>
          <w:p w14:paraId="287CFFB3" w14:textId="77777777" w:rsidR="00317405" w:rsidRPr="00317405" w:rsidRDefault="00317405" w:rsidP="00317405">
            <w:pPr>
              <w:spacing w:after="0"/>
              <w:rPr>
                <w:b/>
                <w:lang w:val="en-NZ"/>
              </w:rPr>
            </w:pPr>
            <m:oMathPara>
              <m:oMath>
                <m:r>
                  <m:rPr>
                    <m:sty m:val="b"/>
                  </m:rPr>
                  <w:rPr>
                    <w:rFonts w:ascii="Cambria Math" w:hAnsi="Cambria Math"/>
                    <w:lang w:val="en-NZ"/>
                  </w:rPr>
                  <m:t>C=1+</m:t>
                </m:r>
                <m:f>
                  <m:fPr>
                    <m:ctrlPr>
                      <w:rPr>
                        <w:rFonts w:ascii="Cambria Math" w:hAnsi="Cambria Math"/>
                        <w:b/>
                        <w:lang w:val="en-NZ"/>
                      </w:rPr>
                    </m:ctrlPr>
                  </m:fPr>
                  <m:num>
                    <m:r>
                      <m:rPr>
                        <m:sty m:val="b"/>
                      </m:rPr>
                      <w:rPr>
                        <w:rFonts w:ascii="Cambria Math" w:hAnsi="Cambria Math"/>
                        <w:lang w:val="en-NZ"/>
                      </w:rPr>
                      <m:t>(-18)-</m:t>
                    </m:r>
                    <m:sSub>
                      <m:sSubPr>
                        <m:ctrlPr>
                          <w:rPr>
                            <w:rFonts w:ascii="Cambria Math" w:hAnsi="Cambria Math"/>
                            <w:b/>
                            <w:lang w:val="en-NZ"/>
                          </w:rPr>
                        </m:ctrlPr>
                      </m:sSubPr>
                      <m:e>
                        <m:r>
                          <m:rPr>
                            <m:sty m:val="b"/>
                          </m:rPr>
                          <w:rPr>
                            <w:rFonts w:ascii="Cambria Math" w:hAnsi="Cambria Math"/>
                            <w:lang w:val="en-NZ"/>
                          </w:rPr>
                          <m:t>T</m:t>
                        </m:r>
                      </m:e>
                      <m:sub>
                        <m:r>
                          <m:rPr>
                            <m:sty m:val="b"/>
                          </m:rPr>
                          <w:rPr>
                            <w:rFonts w:ascii="Cambria Math" w:hAnsi="Cambria Math"/>
                            <w:lang w:val="en-NZ"/>
                          </w:rPr>
                          <m:t>1</m:t>
                        </m:r>
                      </m:sub>
                    </m:sSub>
                  </m:num>
                  <m:den>
                    <m:r>
                      <m:rPr>
                        <m:sty m:val="b"/>
                      </m:rPr>
                      <w:rPr>
                        <w:rFonts w:ascii="Cambria Math" w:hAnsi="Cambria Math"/>
                        <w:lang w:val="en-NZ"/>
                      </w:rPr>
                      <m:t>30</m:t>
                    </m:r>
                  </m:den>
                </m:f>
              </m:oMath>
            </m:oMathPara>
          </w:p>
        </w:tc>
      </w:tr>
      <w:tr w:rsidR="00317405" w:rsidRPr="00317405" w14:paraId="20307368" w14:textId="77777777" w:rsidTr="00F5660D">
        <w:tc>
          <w:tcPr>
            <w:tcW w:w="4394" w:type="dxa"/>
            <w:tcBorders>
              <w:top w:val="single" w:sz="4" w:space="0" w:color="auto"/>
              <w:left w:val="single" w:sz="4" w:space="0" w:color="auto"/>
              <w:bottom w:val="single" w:sz="4" w:space="0" w:color="auto"/>
              <w:right w:val="single" w:sz="4" w:space="0" w:color="auto"/>
            </w:tcBorders>
            <w:hideMark/>
          </w:tcPr>
          <w:p w14:paraId="03609068" w14:textId="77777777" w:rsidR="00317405" w:rsidRPr="00317405" w:rsidRDefault="00317405" w:rsidP="00317405">
            <w:pPr>
              <w:spacing w:after="0"/>
              <w:rPr>
                <w:b/>
                <w:lang w:val="en-NZ"/>
              </w:rPr>
            </w:pPr>
            <w:r w:rsidRPr="00317405">
              <w:rPr>
                <w:b/>
                <w:lang w:val="en-NZ"/>
              </w:rPr>
              <w:t>vending machine</w:t>
            </w:r>
          </w:p>
        </w:tc>
        <w:tc>
          <w:tcPr>
            <w:tcW w:w="4645" w:type="dxa"/>
            <w:tcBorders>
              <w:top w:val="single" w:sz="4" w:space="0" w:color="auto"/>
              <w:left w:val="single" w:sz="4" w:space="0" w:color="auto"/>
              <w:bottom w:val="single" w:sz="4" w:space="0" w:color="auto"/>
              <w:right w:val="single" w:sz="4" w:space="0" w:color="auto"/>
            </w:tcBorders>
            <w:vAlign w:val="center"/>
            <w:hideMark/>
          </w:tcPr>
          <w:p w14:paraId="2A9095D0" w14:textId="77777777" w:rsidR="00317405" w:rsidRPr="00317405" w:rsidRDefault="00317405" w:rsidP="00317405">
            <w:pPr>
              <w:spacing w:after="0"/>
              <w:rPr>
                <w:b/>
                <w:lang w:val="en-NZ"/>
              </w:rPr>
            </w:pPr>
            <m:oMathPara>
              <m:oMath>
                <m:r>
                  <m:rPr>
                    <m:sty m:val="b"/>
                  </m:rPr>
                  <w:rPr>
                    <w:rFonts w:ascii="Cambria Math" w:hAnsi="Cambria Math"/>
                    <w:lang w:val="en-NZ"/>
                  </w:rPr>
                  <m:t>C=1+</m:t>
                </m:r>
                <m:f>
                  <m:fPr>
                    <m:ctrlPr>
                      <w:rPr>
                        <w:rFonts w:ascii="Cambria Math" w:hAnsi="Cambria Math"/>
                        <w:b/>
                        <w:lang w:val="en-NZ"/>
                      </w:rPr>
                    </m:ctrlPr>
                  </m:fPr>
                  <m:num>
                    <m:r>
                      <m:rPr>
                        <m:sty m:val="b"/>
                      </m:rPr>
                      <w:rPr>
                        <w:rFonts w:ascii="Cambria Math" w:hAnsi="Cambria Math"/>
                        <w:lang w:val="en-NZ"/>
                      </w:rPr>
                      <m:t>12-</m:t>
                    </m:r>
                    <m:sSub>
                      <m:sSubPr>
                        <m:ctrlPr>
                          <w:rPr>
                            <w:rFonts w:ascii="Cambria Math" w:hAnsi="Cambria Math"/>
                            <w:b/>
                            <w:lang w:val="en-NZ"/>
                          </w:rPr>
                        </m:ctrlPr>
                      </m:sSubPr>
                      <m:e>
                        <m:r>
                          <m:rPr>
                            <m:sty m:val="b"/>
                          </m:rPr>
                          <w:rPr>
                            <w:rFonts w:ascii="Cambria Math" w:hAnsi="Cambria Math"/>
                            <w:lang w:val="en-NZ"/>
                          </w:rPr>
                          <m:t>T</m:t>
                        </m:r>
                      </m:e>
                      <m:sub>
                        <m:r>
                          <m:rPr>
                            <m:sty m:val="b"/>
                          </m:rPr>
                          <w:rPr>
                            <w:rFonts w:ascii="Cambria Math" w:hAnsi="Cambria Math"/>
                            <w:lang w:val="en-NZ"/>
                          </w:rPr>
                          <m:t>V</m:t>
                        </m:r>
                      </m:sub>
                    </m:sSub>
                  </m:num>
                  <m:den>
                    <m:r>
                      <m:rPr>
                        <m:sty m:val="b"/>
                      </m:rPr>
                      <w:rPr>
                        <w:rFonts w:ascii="Cambria Math" w:hAnsi="Cambria Math"/>
                        <w:lang w:val="en-NZ"/>
                      </w:rPr>
                      <m:t>25</m:t>
                    </m:r>
                  </m:den>
                </m:f>
              </m:oMath>
            </m:oMathPara>
          </w:p>
        </w:tc>
      </w:tr>
      <w:tr w:rsidR="00317405" w:rsidRPr="00317405" w14:paraId="09D512EA" w14:textId="77777777" w:rsidTr="00F5660D">
        <w:tc>
          <w:tcPr>
            <w:tcW w:w="4394" w:type="dxa"/>
            <w:tcBorders>
              <w:top w:val="single" w:sz="4" w:space="0" w:color="auto"/>
              <w:left w:val="single" w:sz="4" w:space="0" w:color="auto"/>
              <w:bottom w:val="single" w:sz="4" w:space="0" w:color="auto"/>
              <w:right w:val="single" w:sz="4" w:space="0" w:color="auto"/>
            </w:tcBorders>
            <w:hideMark/>
          </w:tcPr>
          <w:p w14:paraId="7DC81187" w14:textId="77777777" w:rsidR="00317405" w:rsidRPr="00317405" w:rsidRDefault="00317405" w:rsidP="00317405">
            <w:pPr>
              <w:spacing w:after="0"/>
              <w:rPr>
                <w:b/>
                <w:lang w:val="en-NZ"/>
              </w:rPr>
            </w:pPr>
            <w:r w:rsidRPr="00317405">
              <w:rPr>
                <w:b/>
                <w:lang w:val="en-NZ"/>
              </w:rPr>
              <w:t>other refrigerated commercial display cabinets</w:t>
            </w:r>
          </w:p>
        </w:tc>
        <w:tc>
          <w:tcPr>
            <w:tcW w:w="4645" w:type="dxa"/>
            <w:tcBorders>
              <w:top w:val="single" w:sz="4" w:space="0" w:color="auto"/>
              <w:left w:val="single" w:sz="4" w:space="0" w:color="auto"/>
              <w:bottom w:val="single" w:sz="4" w:space="0" w:color="auto"/>
              <w:right w:val="single" w:sz="4" w:space="0" w:color="auto"/>
            </w:tcBorders>
            <w:hideMark/>
          </w:tcPr>
          <w:p w14:paraId="7F556372" w14:textId="77777777" w:rsidR="00317405" w:rsidRPr="00317405" w:rsidRDefault="00317405" w:rsidP="00317405">
            <w:pPr>
              <w:spacing w:after="0"/>
              <w:rPr>
                <w:b/>
                <w:lang w:val="en-NZ"/>
              </w:rPr>
            </w:pPr>
            <m:oMathPara>
              <m:oMath>
                <m:r>
                  <m:rPr>
                    <m:sty m:val="b"/>
                  </m:rPr>
                  <w:rPr>
                    <w:rFonts w:ascii="Cambria Math" w:hAnsi="Cambria Math"/>
                    <w:lang w:val="en-NZ"/>
                  </w:rPr>
                  <m:t>C=1</m:t>
                </m:r>
              </m:oMath>
            </m:oMathPara>
          </w:p>
        </w:tc>
      </w:tr>
    </w:tbl>
    <w:p w14:paraId="4E435048" w14:textId="77777777" w:rsidR="006F5C60" w:rsidRDefault="006F5C60" w:rsidP="006F5C60">
      <w:pPr>
        <w:spacing w:after="0"/>
      </w:pPr>
    </w:p>
    <w:p w14:paraId="4ABCA59C" w14:textId="77777777" w:rsidR="006F5C60" w:rsidRPr="00AC7259" w:rsidRDefault="006F5C60" w:rsidP="006F5C60">
      <w:pPr>
        <w:spacing w:after="0"/>
        <w:jc w:val="both"/>
        <w:rPr>
          <w:sz w:val="24"/>
          <w:lang w:val="en-NZ" w:eastAsia="en-NZ"/>
        </w:rPr>
      </w:pPr>
      <w:r w:rsidRPr="00AC7259">
        <w:rPr>
          <w:sz w:val="24"/>
        </w:rPr>
        <w:t>Where, when testing the appliance, T</w:t>
      </w:r>
      <w:r w:rsidRPr="00AC7259">
        <w:rPr>
          <w:sz w:val="24"/>
          <w:vertAlign w:val="subscript"/>
        </w:rPr>
        <w:t xml:space="preserve">1 </w:t>
      </w:r>
      <w:r w:rsidRPr="00AC7259">
        <w:rPr>
          <w:sz w:val="24"/>
        </w:rPr>
        <w:t>is the highest temperature of the warmest test package, T</w:t>
      </w:r>
      <w:r w:rsidRPr="00AC7259">
        <w:rPr>
          <w:sz w:val="24"/>
          <w:vertAlign w:val="subscript"/>
        </w:rPr>
        <w:t>C</w:t>
      </w:r>
      <w:r w:rsidRPr="00AC7259">
        <w:rPr>
          <w:sz w:val="24"/>
        </w:rPr>
        <w:t xml:space="preserve"> the average compartment classification temperature, and T</w:t>
      </w:r>
      <w:r w:rsidRPr="00AC7259">
        <w:rPr>
          <w:sz w:val="24"/>
          <w:vertAlign w:val="subscript"/>
        </w:rPr>
        <w:t>V</w:t>
      </w:r>
      <w:r w:rsidRPr="00AC7259">
        <w:rPr>
          <w:sz w:val="24"/>
        </w:rPr>
        <w:t xml:space="preserve"> the maximum measured product temperature. For multi-temperature vending machines, T</w:t>
      </w:r>
      <w:r w:rsidRPr="00AC7259">
        <w:rPr>
          <w:sz w:val="24"/>
          <w:vertAlign w:val="subscript"/>
        </w:rPr>
        <w:t xml:space="preserve">V </w:t>
      </w:r>
      <w:r w:rsidRPr="00AC7259">
        <w:rPr>
          <w:sz w:val="24"/>
        </w:rPr>
        <w:t>shall be the average of T</w:t>
      </w:r>
      <w:r w:rsidRPr="00AC7259">
        <w:rPr>
          <w:sz w:val="24"/>
          <w:vertAlign w:val="subscript"/>
        </w:rPr>
        <w:t>V1</w:t>
      </w:r>
      <w:r w:rsidRPr="00AC7259">
        <w:rPr>
          <w:sz w:val="24"/>
        </w:rPr>
        <w:t xml:space="preserve"> (the maximum measured product temperature in the warmest compartment) and T</w:t>
      </w:r>
      <w:r w:rsidRPr="00AC7259">
        <w:rPr>
          <w:sz w:val="24"/>
          <w:vertAlign w:val="subscript"/>
        </w:rPr>
        <w:t>V2</w:t>
      </w:r>
      <w:r w:rsidRPr="00AC7259">
        <w:rPr>
          <w:sz w:val="24"/>
        </w:rPr>
        <w:t xml:space="preserve"> (the maximum measured product temperature in the coldest compartment). For other types of cabinets where compartments are set to different temperatures, the SAEC is calculated separately for each cabinet compartment and added together to obtain the total </w:t>
      </w:r>
      <w:r>
        <w:rPr>
          <w:sz w:val="24"/>
        </w:rPr>
        <w:t>SAEC of the cabinet</w:t>
      </w:r>
      <w:r w:rsidRPr="00AC7259">
        <w:rPr>
          <w:sz w:val="24"/>
          <w:lang w:val="en-NZ" w:eastAsia="en-NZ"/>
        </w:rPr>
        <w:t xml:space="preserve"> (Note the EC regulators are still investigati</w:t>
      </w:r>
      <w:r>
        <w:rPr>
          <w:sz w:val="24"/>
          <w:lang w:val="en-NZ" w:eastAsia="en-NZ"/>
        </w:rPr>
        <w:t>ng details of how to apply the coefficient values</w:t>
      </w:r>
      <w:r w:rsidRPr="00AC7259">
        <w:rPr>
          <w:sz w:val="24"/>
          <w:lang w:val="en-NZ" w:eastAsia="en-NZ"/>
        </w:rPr>
        <w:t>)</w:t>
      </w:r>
      <w:r>
        <w:rPr>
          <w:sz w:val="24"/>
          <w:lang w:val="en-NZ" w:eastAsia="en-NZ"/>
        </w:rPr>
        <w:t>.</w:t>
      </w:r>
    </w:p>
    <w:p w14:paraId="422A28E3" w14:textId="7F1F5C42" w:rsidR="006F5C60" w:rsidRPr="00DC003B" w:rsidRDefault="006F5C60" w:rsidP="006F5C60">
      <w:pPr>
        <w:pStyle w:val="E3Heading2"/>
        <w:rPr>
          <w:rFonts w:ascii="Georgia" w:eastAsiaTheme="minorEastAsia" w:hAnsi="Georgia"/>
          <w:sz w:val="24"/>
          <w:lang w:val="en-NZ" w:eastAsia="en-NZ"/>
        </w:rPr>
      </w:pPr>
      <w:bookmarkStart w:id="539" w:name="_Toc494898006"/>
      <w:bookmarkStart w:id="540" w:name="_Toc494955798"/>
      <w:bookmarkStart w:id="541" w:name="_Toc494959606"/>
      <w:bookmarkStart w:id="542" w:name="_Toc494972732"/>
      <w:bookmarkStart w:id="543" w:name="_Toc494973919"/>
      <w:bookmarkStart w:id="544" w:name="_Toc494974608"/>
      <w:bookmarkStart w:id="545" w:name="_Toc500151853"/>
      <w:r w:rsidRPr="00DC003B">
        <w:rPr>
          <w:rFonts w:ascii="Georgia" w:eastAsiaTheme="minorEastAsia" w:hAnsi="Georgia"/>
          <w:sz w:val="24"/>
          <w:lang w:val="en-NZ" w:eastAsia="en-NZ"/>
        </w:rPr>
        <w:lastRenderedPageBreak/>
        <w:t>Refrigerated Storage Cabinet MEPS</w:t>
      </w:r>
      <w:bookmarkEnd w:id="537"/>
      <w:bookmarkEnd w:id="538"/>
      <w:bookmarkEnd w:id="539"/>
      <w:bookmarkEnd w:id="540"/>
      <w:bookmarkEnd w:id="541"/>
      <w:bookmarkEnd w:id="542"/>
      <w:bookmarkEnd w:id="543"/>
      <w:bookmarkEnd w:id="544"/>
      <w:bookmarkEnd w:id="545"/>
    </w:p>
    <w:p w14:paraId="666F76C9" w14:textId="77777777" w:rsidR="006F5C60" w:rsidRPr="00AC7259" w:rsidRDefault="006F5C60" w:rsidP="00803448">
      <w:pPr>
        <w:pStyle w:val="E3BodyText"/>
        <w:jc w:val="both"/>
        <w:rPr>
          <w:lang w:val="en-NZ" w:eastAsia="en-NZ"/>
        </w:rPr>
      </w:pPr>
      <w:r w:rsidRPr="00AC7259">
        <w:rPr>
          <w:lang w:val="en-NZ" w:eastAsia="en-NZ"/>
        </w:rPr>
        <w:t xml:space="preserve">A similar approach is planned for storage cabinets, based on </w:t>
      </w:r>
      <w:r>
        <w:rPr>
          <w:lang w:val="en-NZ" w:eastAsia="en-NZ"/>
        </w:rPr>
        <w:t xml:space="preserve">the standard </w:t>
      </w:r>
      <w:r w:rsidRPr="00AC7259">
        <w:t>EN 16825.</w:t>
      </w:r>
      <w:r w:rsidRPr="00AC7259">
        <w:rPr>
          <w:lang w:val="en-NZ" w:eastAsia="en-NZ"/>
        </w:rPr>
        <w:t xml:space="preserve"> Refrigerated storage cabinets will be categorised into four main groups, representing the main characteristics of the cabinet:  vertical or horizontal (counter) and refrigerator or freezer.  This test standard includes classes/models previously defined in AS 1731 with a solid door – and multi-use (combination) cabinets. </w:t>
      </w:r>
    </w:p>
    <w:p w14:paraId="5D2CF38E" w14:textId="77777777" w:rsidR="006F5C60" w:rsidRPr="00AC7259" w:rsidRDefault="006F5C60" w:rsidP="00803448">
      <w:pPr>
        <w:pStyle w:val="E3BodyText"/>
        <w:jc w:val="both"/>
      </w:pPr>
      <w:r w:rsidRPr="00AC7259">
        <w:t>The energy efficiency levels for these types of cabinets are defined as a ratio of the theoretical (tested) energy consumed in relation to the volume.</w:t>
      </w:r>
    </w:p>
    <w:p w14:paraId="20887610" w14:textId="77777777" w:rsidR="006F5C60" w:rsidRPr="00317405" w:rsidRDefault="006F5C60" w:rsidP="00803448">
      <w:pPr>
        <w:pStyle w:val="E3BodyText"/>
        <w:jc w:val="both"/>
      </w:pPr>
      <w:r>
        <w:rPr>
          <w:lang w:val="en-NZ" w:eastAsia="en-NZ"/>
        </w:rPr>
        <w:t>The EN regulations for s</w:t>
      </w:r>
      <w:r w:rsidRPr="00AC7259">
        <w:rPr>
          <w:lang w:val="en-NZ" w:eastAsia="en-NZ"/>
        </w:rPr>
        <w:t xml:space="preserve">torage types </w:t>
      </w:r>
      <w:r>
        <w:rPr>
          <w:lang w:val="en-NZ" w:eastAsia="en-NZ"/>
        </w:rPr>
        <w:t>will not</w:t>
      </w:r>
      <w:r w:rsidRPr="00AC7259">
        <w:rPr>
          <w:lang w:val="en-NZ" w:eastAsia="en-NZ"/>
        </w:rPr>
        <w:t xml:space="preserve"> recognise cabinets with remote condensing units (because as far as we know, all storage c</w:t>
      </w:r>
      <w:r>
        <w:rPr>
          <w:lang w:val="en-NZ" w:eastAsia="en-NZ"/>
        </w:rPr>
        <w:t>abinets are integral) and</w:t>
      </w:r>
      <w:r w:rsidRPr="00AC7259">
        <w:rPr>
          <w:lang w:val="en-NZ" w:eastAsia="en-NZ"/>
        </w:rPr>
        <w:t xml:space="preserve"> open cabinets (these are considered to be display cabinets</w:t>
      </w:r>
      <w:r>
        <w:rPr>
          <w:lang w:val="en-NZ" w:eastAsia="en-NZ"/>
        </w:rPr>
        <w:t>)</w:t>
      </w:r>
      <w:r w:rsidRPr="00AC7259">
        <w:rPr>
          <w:lang w:val="en-NZ" w:eastAsia="en-NZ"/>
        </w:rPr>
        <w:t xml:space="preserve">.  </w:t>
      </w:r>
    </w:p>
    <w:p w14:paraId="2E2617BC" w14:textId="77777777" w:rsidR="006F5C60" w:rsidRPr="00492075" w:rsidRDefault="006F5C60" w:rsidP="00803448">
      <w:pPr>
        <w:pStyle w:val="E3Heading4"/>
        <w:jc w:val="both"/>
        <w:rPr>
          <w:lang w:eastAsia="en-NZ"/>
        </w:rPr>
      </w:pPr>
      <w:r w:rsidRPr="00492075">
        <w:rPr>
          <w:lang w:eastAsia="en-NZ"/>
        </w:rPr>
        <w:t>Heavy duty vs light duty operating situations:</w:t>
      </w:r>
    </w:p>
    <w:p w14:paraId="06694B8F" w14:textId="77777777" w:rsidR="006F5C60" w:rsidRPr="00AC7259" w:rsidRDefault="006F5C60" w:rsidP="00803448">
      <w:pPr>
        <w:pStyle w:val="E3BodyText"/>
        <w:jc w:val="both"/>
        <w:rPr>
          <w:lang w:val="en-NZ" w:eastAsia="en-NZ"/>
        </w:rPr>
      </w:pPr>
      <w:r w:rsidRPr="00AC7259">
        <w:rPr>
          <w:lang w:val="en-NZ" w:eastAsia="en-NZ"/>
        </w:rPr>
        <w:t>The storage c</w:t>
      </w:r>
      <w:r>
        <w:rPr>
          <w:lang w:val="en-NZ" w:eastAsia="en-NZ"/>
        </w:rPr>
        <w:t>abinet s</w:t>
      </w:r>
      <w:r w:rsidRPr="00AC7259">
        <w:rPr>
          <w:lang w:val="en-NZ" w:eastAsia="en-NZ"/>
        </w:rPr>
        <w:t xml:space="preserve">tandard </w:t>
      </w:r>
      <w:r>
        <w:rPr>
          <w:lang w:val="en-NZ" w:eastAsia="en-NZ"/>
        </w:rPr>
        <w:t xml:space="preserve">EN 16825 </w:t>
      </w:r>
      <w:r w:rsidRPr="00AC7259">
        <w:rPr>
          <w:lang w:val="en-NZ" w:eastAsia="en-NZ"/>
        </w:rPr>
        <w:t xml:space="preserve">also distinguishes between light duty and heavy duty cabinets taking into account the conditions that these cabinets can be expected to be capable of operating in.  Light duty cabinets are those that cannot operate above </w:t>
      </w:r>
      <w:r w:rsidRPr="00AC7259">
        <w:rPr>
          <w:i/>
          <w:lang w:val="en-NZ" w:eastAsia="en-NZ"/>
        </w:rPr>
        <w:t>Climate Class 3 (25</w:t>
      </w:r>
      <w:r w:rsidRPr="00AC7259">
        <w:rPr>
          <w:i/>
          <w:vertAlign w:val="superscript"/>
          <w:lang w:val="en-NZ" w:eastAsia="en-NZ"/>
        </w:rPr>
        <w:t>o</w:t>
      </w:r>
      <w:r w:rsidRPr="00AC7259">
        <w:rPr>
          <w:i/>
          <w:lang w:val="en-NZ" w:eastAsia="en-NZ"/>
        </w:rPr>
        <w:t>C and 60% RH)</w:t>
      </w:r>
      <w:r w:rsidRPr="00AC7259">
        <w:rPr>
          <w:lang w:val="en-NZ" w:eastAsia="en-NZ"/>
        </w:rPr>
        <w:t xml:space="preserve"> conditions and must be labelled as such. Heavy Duty cabinets have the ability to operate in conditions corresponding to </w:t>
      </w:r>
      <w:r w:rsidRPr="00AC7259">
        <w:rPr>
          <w:i/>
          <w:lang w:val="en-NZ" w:eastAsia="en-NZ"/>
        </w:rPr>
        <w:t>Climate Class 5 (40</w:t>
      </w:r>
      <w:r w:rsidRPr="00AC7259">
        <w:rPr>
          <w:i/>
          <w:vertAlign w:val="superscript"/>
          <w:lang w:val="en-NZ" w:eastAsia="en-NZ"/>
        </w:rPr>
        <w:t>o</w:t>
      </w:r>
      <w:r w:rsidRPr="00AC7259">
        <w:rPr>
          <w:i/>
          <w:lang w:val="en-NZ" w:eastAsia="en-NZ"/>
        </w:rPr>
        <w:t>C and 40% RH).</w:t>
      </w:r>
    </w:p>
    <w:p w14:paraId="108472A3" w14:textId="77777777" w:rsidR="006F5C60" w:rsidRPr="00AC7259" w:rsidRDefault="006F5C60" w:rsidP="00803448">
      <w:pPr>
        <w:pStyle w:val="E3BodyText"/>
        <w:jc w:val="both"/>
        <w:rPr>
          <w:lang w:val="en-NZ" w:eastAsia="en-NZ"/>
        </w:rPr>
      </w:pPr>
      <w:r w:rsidRPr="00AC7259">
        <w:rPr>
          <w:lang w:val="en-NZ" w:eastAsia="en-NZ"/>
        </w:rPr>
        <w:t xml:space="preserve">All cabinets (except light duty cabinets) are tested at </w:t>
      </w:r>
      <w:r w:rsidRPr="00AC7259">
        <w:rPr>
          <w:i/>
          <w:lang w:val="en-NZ" w:eastAsia="en-NZ"/>
        </w:rPr>
        <w:t>Climate Class 4</w:t>
      </w:r>
      <w:r w:rsidRPr="00AC7259">
        <w:rPr>
          <w:lang w:val="en-NZ" w:eastAsia="en-NZ"/>
        </w:rPr>
        <w:t xml:space="preserve"> and they are subject to the same efficiencies. For light duty cabinets, their efficiency scores are also subjected to normalising factors (adjustment factors) of 1.2 and 1.1 for refrigerators vs freezers, to take into account the less onerous test conditions.  </w:t>
      </w:r>
    </w:p>
    <w:p w14:paraId="442E87D8" w14:textId="77777777" w:rsidR="006F5C60" w:rsidRPr="00AC7259" w:rsidRDefault="006F5C60" w:rsidP="00803448">
      <w:pPr>
        <w:pStyle w:val="E3BodyText"/>
        <w:jc w:val="both"/>
        <w:rPr>
          <w:lang w:val="en-NZ" w:eastAsia="en-NZ"/>
        </w:rPr>
      </w:pPr>
      <w:r w:rsidRPr="00AC7259">
        <w:rPr>
          <w:lang w:val="en-NZ" w:eastAsia="en-NZ"/>
        </w:rPr>
        <w:t xml:space="preserve">The EEI is calculated in a similar manner as for display cabinets, requiring the Annual Energy Consumption (AEG), the Standard Annual Energy Consumption (SAEG). Instead of the Total Display Area, the </w:t>
      </w:r>
      <w:r w:rsidRPr="00AC7259">
        <w:rPr>
          <w:i/>
          <w:lang w:val="en-NZ" w:eastAsia="en-NZ"/>
        </w:rPr>
        <w:t>net Volume</w:t>
      </w:r>
      <w:r w:rsidRPr="00AC7259">
        <w:rPr>
          <w:lang w:val="en-NZ" w:eastAsia="en-NZ"/>
        </w:rPr>
        <w:t xml:space="preserve"> is used (in litres). Labelling and calculating an EEI score is also required, and similar to display cabinet MEPS – efficiencies will need to improve by certain dates, to remain viable for trade.</w:t>
      </w:r>
    </w:p>
    <w:p w14:paraId="481E3EE3" w14:textId="77777777" w:rsidR="006F5C60" w:rsidRPr="00681F91" w:rsidRDefault="006F5C60" w:rsidP="00803448">
      <w:pPr>
        <w:pStyle w:val="E3Heading4"/>
        <w:jc w:val="both"/>
        <w:rPr>
          <w:lang w:eastAsia="en-NZ"/>
        </w:rPr>
      </w:pPr>
      <w:bookmarkStart w:id="546" w:name="_Toc442877458"/>
      <w:bookmarkStart w:id="547" w:name="_Toc447533656"/>
      <w:r w:rsidRPr="00681F91">
        <w:rPr>
          <w:lang w:eastAsia="en-NZ"/>
        </w:rPr>
        <w:t>Equation to calculate the EEI of storage cabinets</w:t>
      </w:r>
      <w:bookmarkEnd w:id="546"/>
      <w:bookmarkEnd w:id="547"/>
    </w:p>
    <w:p w14:paraId="4B5F6700" w14:textId="77777777" w:rsidR="006F5C60" w:rsidRPr="0037781E" w:rsidRDefault="006F5C60" w:rsidP="00803448">
      <w:pPr>
        <w:pStyle w:val="E3BodyText"/>
        <w:jc w:val="both"/>
        <w:rPr>
          <w:lang w:val="en-NZ" w:eastAsia="en-NZ"/>
        </w:rPr>
      </w:pPr>
      <w:r w:rsidRPr="0037781E">
        <w:rPr>
          <w:lang w:val="en-NZ" w:eastAsia="en-NZ"/>
        </w:rPr>
        <w:t>The Energy Efficiency Index (EEI) is calculated as:</w:t>
      </w:r>
    </w:p>
    <w:p w14:paraId="25FF515B" w14:textId="77777777" w:rsidR="006F5C60" w:rsidRPr="0037781E" w:rsidRDefault="006F5C60" w:rsidP="00803448">
      <w:pPr>
        <w:pStyle w:val="E3BodyText"/>
        <w:jc w:val="both"/>
        <w:rPr>
          <w:lang w:val="en-NZ" w:eastAsia="en-NZ"/>
        </w:rPr>
      </w:pPr>
      <w:r w:rsidRPr="0037781E">
        <w:rPr>
          <w:rFonts w:cs="Symbol"/>
          <w:lang w:val="en-NZ" w:eastAsia="en-NZ"/>
        </w:rPr>
        <w:tab/>
        <w:t xml:space="preserve"> </w:t>
      </w:r>
      <w:r w:rsidRPr="0037781E">
        <w:rPr>
          <w:lang w:val="en-NZ" w:eastAsia="en-NZ"/>
        </w:rPr>
        <w:t>EEI = (AEC/SAEC) ×100</w:t>
      </w:r>
    </w:p>
    <w:p w14:paraId="4EE0C82E" w14:textId="77777777" w:rsidR="006F5C60" w:rsidRPr="0037781E" w:rsidRDefault="006F5C60" w:rsidP="00803448">
      <w:pPr>
        <w:pStyle w:val="E3BodyText"/>
        <w:jc w:val="both"/>
        <w:rPr>
          <w:lang w:val="en-NZ" w:eastAsia="en-NZ"/>
        </w:rPr>
      </w:pPr>
      <w:r w:rsidRPr="0037781E">
        <w:rPr>
          <w:lang w:val="en-NZ" w:eastAsia="en-NZ"/>
        </w:rPr>
        <w:t>Where:</w:t>
      </w:r>
    </w:p>
    <w:p w14:paraId="206C686D" w14:textId="77777777" w:rsidR="006F5C60" w:rsidRPr="0037781E" w:rsidRDefault="006F5C60" w:rsidP="00803448">
      <w:pPr>
        <w:pStyle w:val="E3BodyText"/>
        <w:jc w:val="both"/>
        <w:rPr>
          <w:lang w:val="en-NZ" w:eastAsia="en-NZ"/>
        </w:rPr>
      </w:pPr>
      <w:r w:rsidRPr="0037781E">
        <w:rPr>
          <w:rFonts w:cs="Symbol"/>
          <w:lang w:val="en-NZ" w:eastAsia="en-NZ"/>
        </w:rPr>
        <w:tab/>
        <w:t xml:space="preserve"> </w:t>
      </w:r>
      <w:r w:rsidRPr="0037781E">
        <w:rPr>
          <w:lang w:val="en-NZ" w:eastAsia="en-NZ"/>
        </w:rPr>
        <w:t>AEC=E24h ×</w:t>
      </w:r>
      <w:r w:rsidRPr="0037781E">
        <w:rPr>
          <w:i/>
          <w:lang w:val="en-NZ" w:eastAsia="en-NZ"/>
        </w:rPr>
        <w:t>af</w:t>
      </w:r>
      <w:r w:rsidRPr="0037781E">
        <w:rPr>
          <w:lang w:val="en-NZ" w:eastAsia="en-NZ"/>
        </w:rPr>
        <w:t xml:space="preserve"> ×365</w:t>
      </w:r>
    </w:p>
    <w:p w14:paraId="79EEDDA8" w14:textId="77777777" w:rsidR="006F5C60" w:rsidRPr="0037781E" w:rsidRDefault="006F5C60" w:rsidP="00803448">
      <w:pPr>
        <w:pStyle w:val="E3Bullets"/>
        <w:numPr>
          <w:ilvl w:val="0"/>
          <w:numId w:val="0"/>
        </w:numPr>
        <w:ind w:left="227"/>
        <w:jc w:val="both"/>
        <w:rPr>
          <w:lang w:val="en-NZ" w:eastAsia="en-NZ"/>
        </w:rPr>
      </w:pPr>
      <w:r w:rsidRPr="0037781E">
        <w:rPr>
          <w:lang w:val="en-NZ" w:eastAsia="en-NZ"/>
        </w:rPr>
        <w:t>AEC = Annual Energy Consumption of the cabinet in kWh/year</w:t>
      </w:r>
    </w:p>
    <w:p w14:paraId="5BBA81D9" w14:textId="77777777" w:rsidR="006F5C60" w:rsidRPr="0037781E" w:rsidRDefault="006F5C60" w:rsidP="00803448">
      <w:pPr>
        <w:pStyle w:val="E3Bullets"/>
        <w:numPr>
          <w:ilvl w:val="0"/>
          <w:numId w:val="0"/>
        </w:numPr>
        <w:ind w:left="227"/>
        <w:jc w:val="both"/>
        <w:rPr>
          <w:lang w:val="en-NZ" w:eastAsia="en-NZ"/>
        </w:rPr>
      </w:pPr>
      <w:r w:rsidRPr="0037781E">
        <w:rPr>
          <w:lang w:val="en-NZ" w:eastAsia="en-NZ"/>
        </w:rPr>
        <w:t>E24h = energy consumption of the cabinet over 24 hours</w:t>
      </w:r>
    </w:p>
    <w:p w14:paraId="1D143993" w14:textId="77777777" w:rsidR="006F5C60" w:rsidRPr="0037781E" w:rsidRDefault="006F5C60" w:rsidP="00803448">
      <w:pPr>
        <w:pStyle w:val="E3Bullets"/>
        <w:numPr>
          <w:ilvl w:val="0"/>
          <w:numId w:val="0"/>
        </w:numPr>
        <w:ind w:left="227"/>
        <w:jc w:val="both"/>
        <w:rPr>
          <w:lang w:val="en-NZ" w:eastAsia="en-NZ"/>
        </w:rPr>
      </w:pPr>
      <w:r w:rsidRPr="0037781E">
        <w:rPr>
          <w:i/>
          <w:lang w:val="en-NZ" w:eastAsia="en-NZ"/>
        </w:rPr>
        <w:t>af</w:t>
      </w:r>
      <w:r w:rsidRPr="0037781E">
        <w:rPr>
          <w:lang w:val="en-NZ" w:eastAsia="en-NZ"/>
        </w:rPr>
        <w:t xml:space="preserve"> = adjustment factor to be applied only for light-duty cabinets</w:t>
      </w:r>
    </w:p>
    <w:p w14:paraId="2BF18AC7" w14:textId="77777777" w:rsidR="006F5C60" w:rsidRPr="0037781E" w:rsidRDefault="006F5C60" w:rsidP="00803448">
      <w:pPr>
        <w:pStyle w:val="E3BodyText"/>
        <w:jc w:val="both"/>
        <w:rPr>
          <w:lang w:val="en-NZ" w:eastAsia="en-NZ"/>
        </w:rPr>
      </w:pPr>
      <w:r w:rsidRPr="0037781E">
        <w:rPr>
          <w:rFonts w:cs="Symbol"/>
          <w:lang w:val="en-NZ" w:eastAsia="en-NZ"/>
        </w:rPr>
        <w:tab/>
      </w:r>
      <w:r w:rsidRPr="0037781E">
        <w:rPr>
          <w:lang w:val="en-NZ" w:eastAsia="en-NZ"/>
        </w:rPr>
        <w:t>SAEC= M × Vn +N</w:t>
      </w:r>
    </w:p>
    <w:p w14:paraId="6C65CDFB" w14:textId="77777777" w:rsidR="006F5C60" w:rsidRPr="0037781E" w:rsidRDefault="006F5C60" w:rsidP="00803448">
      <w:pPr>
        <w:pStyle w:val="E3Bullets"/>
        <w:numPr>
          <w:ilvl w:val="0"/>
          <w:numId w:val="0"/>
        </w:numPr>
        <w:ind w:left="227"/>
        <w:jc w:val="both"/>
        <w:rPr>
          <w:lang w:val="en-NZ" w:eastAsia="en-NZ"/>
        </w:rPr>
      </w:pPr>
      <w:r w:rsidRPr="0037781E">
        <w:rPr>
          <w:lang w:val="en-NZ" w:eastAsia="en-NZ"/>
        </w:rPr>
        <w:t>SAEC = Standard Annual Energy Consumption of the cabinet in kWh/year</w:t>
      </w:r>
    </w:p>
    <w:p w14:paraId="189C0049" w14:textId="77777777" w:rsidR="006F5C60" w:rsidRPr="0037781E" w:rsidRDefault="006F5C60" w:rsidP="00803448">
      <w:pPr>
        <w:pStyle w:val="E3Bullets"/>
        <w:numPr>
          <w:ilvl w:val="0"/>
          <w:numId w:val="0"/>
        </w:numPr>
        <w:ind w:left="227"/>
        <w:jc w:val="both"/>
        <w:rPr>
          <w:lang w:val="en-NZ" w:eastAsia="en-NZ"/>
        </w:rPr>
      </w:pPr>
      <w:r w:rsidRPr="0037781E">
        <w:rPr>
          <w:lang w:val="en-NZ" w:eastAsia="en-NZ"/>
        </w:rPr>
        <w:lastRenderedPageBreak/>
        <w:t>Vn = net volume of the appliance, which is the sum of net volumes of all compartments of the cabinet, expressed in litres.</w:t>
      </w:r>
    </w:p>
    <w:p w14:paraId="33C3ABCA" w14:textId="77777777" w:rsidR="006F5C60" w:rsidRPr="0037781E" w:rsidRDefault="006F5C60" w:rsidP="00803448">
      <w:pPr>
        <w:spacing w:after="200" w:line="276" w:lineRule="auto"/>
        <w:jc w:val="both"/>
        <w:rPr>
          <w:b/>
          <w:noProof/>
          <w:sz w:val="24"/>
          <w:lang w:val="en-NZ" w:eastAsia="en-NZ"/>
        </w:rPr>
      </w:pPr>
      <w:r w:rsidRPr="0037781E">
        <w:rPr>
          <w:b/>
          <w:noProof/>
          <w:sz w:val="24"/>
          <w:lang w:val="en-NZ" w:eastAsia="en-NZ"/>
        </w:rPr>
        <w:t xml:space="preserve">Specific M and N coefficients: </w:t>
      </w:r>
    </w:p>
    <w:p w14:paraId="0EB6C9C4" w14:textId="77777777" w:rsidR="00D51B4B" w:rsidRPr="00253CE9" w:rsidRDefault="006F5C60" w:rsidP="00253CE9">
      <w:pPr>
        <w:pStyle w:val="E3Bullets"/>
        <w:numPr>
          <w:ilvl w:val="0"/>
          <w:numId w:val="0"/>
        </w:numPr>
        <w:ind w:left="283"/>
        <w:jc w:val="both"/>
        <w:rPr>
          <w:b/>
        </w:rPr>
      </w:pPr>
      <w:r w:rsidRPr="0037781E">
        <w:rPr>
          <w:lang w:val="en-NZ" w:eastAsia="en-NZ"/>
        </w:rPr>
        <w:t>Similar to display cabinets, storage cabinets have defined M and N coefficients for</w:t>
      </w:r>
      <w:r>
        <w:rPr>
          <w:lang w:val="en-NZ" w:eastAsia="en-NZ"/>
        </w:rPr>
        <w:t xml:space="preserve"> </w:t>
      </w:r>
      <w:r w:rsidRPr="0037781E">
        <w:rPr>
          <w:lang w:val="en-NZ" w:eastAsia="en-NZ"/>
        </w:rPr>
        <w:t xml:space="preserve">different types of cabinet– see </w:t>
      </w:r>
      <w:r w:rsidRPr="00954435">
        <w:rPr>
          <w:b/>
          <w:lang w:val="en-NZ" w:eastAsia="en-NZ"/>
        </w:rPr>
        <w:fldChar w:fldCharType="begin"/>
      </w:r>
      <w:r w:rsidRPr="00954435">
        <w:rPr>
          <w:b/>
          <w:lang w:val="en-NZ" w:eastAsia="en-NZ"/>
        </w:rPr>
        <w:instrText xml:space="preserve"> REF _Ref450641504 \h  \* MERGEFORMAT </w:instrText>
      </w:r>
      <w:r w:rsidRPr="00954435">
        <w:rPr>
          <w:b/>
          <w:lang w:val="en-NZ" w:eastAsia="en-NZ"/>
        </w:rPr>
      </w:r>
      <w:r w:rsidRPr="00954435">
        <w:rPr>
          <w:b/>
          <w:lang w:val="en-NZ" w:eastAsia="en-NZ"/>
        </w:rPr>
        <w:fldChar w:fldCharType="separate"/>
      </w:r>
    </w:p>
    <w:p w14:paraId="32C32921" w14:textId="70E0E313" w:rsidR="006F5C60" w:rsidRPr="00253CE9" w:rsidRDefault="00D51B4B" w:rsidP="00253CE9">
      <w:pPr>
        <w:pStyle w:val="E3Bullets"/>
        <w:numPr>
          <w:ilvl w:val="0"/>
          <w:numId w:val="0"/>
        </w:numPr>
        <w:ind w:left="283"/>
        <w:jc w:val="both"/>
        <w:rPr>
          <w:b/>
        </w:rPr>
      </w:pPr>
      <w:r w:rsidRPr="00D51B4B">
        <w:rPr>
          <w:b/>
        </w:rPr>
        <w:t xml:space="preserve">Table </w:t>
      </w:r>
      <w:r w:rsidRPr="00D51B4B">
        <w:rPr>
          <w:b/>
          <w:noProof/>
        </w:rPr>
        <w:t xml:space="preserve">F </w:t>
      </w:r>
      <w:r>
        <w:rPr>
          <w:noProof/>
        </w:rPr>
        <w:t>5</w:t>
      </w:r>
      <w:r w:rsidR="006F5C60" w:rsidRPr="00954435">
        <w:rPr>
          <w:b/>
          <w:lang w:val="en-NZ" w:eastAsia="en-NZ"/>
        </w:rPr>
        <w:fldChar w:fldCharType="end"/>
      </w:r>
      <w:r w:rsidR="006F5C60" w:rsidRPr="00681F91">
        <w:rPr>
          <w:b/>
          <w:lang w:val="en-NZ" w:eastAsia="en-NZ"/>
        </w:rPr>
        <w:t>.</w:t>
      </w:r>
      <w:bookmarkStart w:id="548" w:name="_Ref450641504"/>
      <w:bookmarkStart w:id="549" w:name="_Toc449708986"/>
      <w:bookmarkStart w:id="550" w:name="_Toc456164815"/>
    </w:p>
    <w:p w14:paraId="040DA43E" w14:textId="34DB0536" w:rsidR="006F5C60" w:rsidRDefault="006F5C60" w:rsidP="006F5C60">
      <w:pPr>
        <w:pStyle w:val="E3TableTitles"/>
      </w:pPr>
      <w:bookmarkStart w:id="551" w:name="_Toc500159686"/>
      <w:r>
        <w:t xml:space="preserve">Table F </w:t>
      </w:r>
      <w:r>
        <w:fldChar w:fldCharType="begin"/>
      </w:r>
      <w:r>
        <w:instrText xml:space="preserve"> SEQ Table_F \* ARABIC </w:instrText>
      </w:r>
      <w:r>
        <w:fldChar w:fldCharType="separate"/>
      </w:r>
      <w:r w:rsidR="00D51B4B">
        <w:rPr>
          <w:noProof/>
        </w:rPr>
        <w:t>5</w:t>
      </w:r>
      <w:r>
        <w:rPr>
          <w:noProof/>
        </w:rPr>
        <w:fldChar w:fldCharType="end"/>
      </w:r>
      <w:bookmarkEnd w:id="548"/>
      <w:r w:rsidRPr="002705A4">
        <w:rPr>
          <w:lang w:eastAsia="en-NZ"/>
        </w:rPr>
        <w:t>:</w:t>
      </w:r>
      <w:r w:rsidRPr="002705A4">
        <w:rPr>
          <w:noProof/>
          <w:lang w:eastAsia="en-NZ"/>
        </w:rPr>
        <w:t xml:space="preserve"> M and N coefficients for </w:t>
      </w:r>
      <w:r>
        <w:rPr>
          <w:noProof/>
          <w:lang w:eastAsia="en-NZ"/>
        </w:rPr>
        <w:t>r</w:t>
      </w:r>
      <w:r w:rsidRPr="002705A4">
        <w:rPr>
          <w:noProof/>
          <w:lang w:eastAsia="en-NZ"/>
        </w:rPr>
        <w:t xml:space="preserve">efrigerated </w:t>
      </w:r>
      <w:r>
        <w:rPr>
          <w:noProof/>
          <w:lang w:eastAsia="en-NZ"/>
        </w:rPr>
        <w:t>s</w:t>
      </w:r>
      <w:r w:rsidRPr="002705A4">
        <w:rPr>
          <w:noProof/>
          <w:lang w:eastAsia="en-NZ"/>
        </w:rPr>
        <w:t xml:space="preserve">torage </w:t>
      </w:r>
      <w:r>
        <w:rPr>
          <w:noProof/>
          <w:lang w:eastAsia="en-NZ"/>
        </w:rPr>
        <w:t>c</w:t>
      </w:r>
      <w:r w:rsidRPr="002705A4">
        <w:rPr>
          <w:noProof/>
          <w:lang w:eastAsia="en-NZ"/>
        </w:rPr>
        <w:t>abinets.</w:t>
      </w:r>
      <w:bookmarkEnd w:id="549"/>
      <w:bookmarkEnd w:id="550"/>
      <w:bookmarkEnd w:id="5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9"/>
        <w:gridCol w:w="3124"/>
        <w:gridCol w:w="3206"/>
      </w:tblGrid>
      <w:tr w:rsidR="006F5C60" w14:paraId="7C99A1C8" w14:textId="77777777" w:rsidTr="006F5C60">
        <w:tc>
          <w:tcPr>
            <w:tcW w:w="3369" w:type="dxa"/>
            <w:shd w:val="clear" w:color="auto" w:fill="000000" w:themeFill="text1"/>
          </w:tcPr>
          <w:p w14:paraId="1A629C6B" w14:textId="77777777" w:rsidR="006F5C60" w:rsidRPr="00492075" w:rsidRDefault="006F5C60" w:rsidP="006F5C60">
            <w:pPr>
              <w:pStyle w:val="E3TableHeading"/>
              <w:jc w:val="both"/>
              <w:rPr>
                <w:szCs w:val="15"/>
              </w:rPr>
            </w:pPr>
            <w:r w:rsidRPr="00492075">
              <w:rPr>
                <w:szCs w:val="15"/>
              </w:rPr>
              <w:t>Category</w:t>
            </w:r>
          </w:p>
        </w:tc>
        <w:tc>
          <w:tcPr>
            <w:tcW w:w="3201" w:type="dxa"/>
            <w:shd w:val="clear" w:color="auto" w:fill="000000" w:themeFill="text1"/>
          </w:tcPr>
          <w:p w14:paraId="541769B2" w14:textId="77777777" w:rsidR="006F5C60" w:rsidRPr="00492075" w:rsidRDefault="006F5C60" w:rsidP="006F5C60">
            <w:pPr>
              <w:pStyle w:val="E3TableHeading"/>
              <w:jc w:val="both"/>
              <w:rPr>
                <w:szCs w:val="15"/>
              </w:rPr>
            </w:pPr>
            <w:r w:rsidRPr="00492075">
              <w:rPr>
                <w:szCs w:val="15"/>
              </w:rPr>
              <w:t>Value for M</w:t>
            </w:r>
          </w:p>
        </w:tc>
        <w:tc>
          <w:tcPr>
            <w:tcW w:w="3285" w:type="dxa"/>
            <w:shd w:val="clear" w:color="auto" w:fill="000000" w:themeFill="text1"/>
          </w:tcPr>
          <w:p w14:paraId="213EADAE" w14:textId="77777777" w:rsidR="006F5C60" w:rsidRPr="00492075" w:rsidRDefault="006F5C60" w:rsidP="006F5C60">
            <w:pPr>
              <w:pStyle w:val="E3TableHeading"/>
              <w:jc w:val="both"/>
              <w:rPr>
                <w:szCs w:val="15"/>
              </w:rPr>
            </w:pPr>
            <w:r w:rsidRPr="00492075">
              <w:rPr>
                <w:szCs w:val="15"/>
              </w:rPr>
              <w:t>Value for N</w:t>
            </w:r>
          </w:p>
        </w:tc>
      </w:tr>
      <w:tr w:rsidR="006F5C60" w14:paraId="0D23DF80" w14:textId="77777777" w:rsidTr="006F5C60">
        <w:tc>
          <w:tcPr>
            <w:tcW w:w="3369" w:type="dxa"/>
          </w:tcPr>
          <w:p w14:paraId="2CE070FD" w14:textId="77777777" w:rsidR="006F5C60" w:rsidRPr="00492075" w:rsidRDefault="006F5C60" w:rsidP="006F5C60">
            <w:pPr>
              <w:pStyle w:val="E3tabletext1"/>
              <w:jc w:val="both"/>
              <w:rPr>
                <w:rFonts w:ascii="Helvetica" w:hAnsi="Helvetica" w:cs="Helvetica"/>
                <w:sz w:val="15"/>
                <w:szCs w:val="15"/>
              </w:rPr>
            </w:pPr>
            <w:r w:rsidRPr="00492075">
              <w:rPr>
                <w:rFonts w:ascii="Helvetica" w:hAnsi="Helvetica" w:cs="Helvetica"/>
                <w:sz w:val="15"/>
                <w:szCs w:val="15"/>
              </w:rPr>
              <w:t>Vertical Chiller (VC)</w:t>
            </w:r>
          </w:p>
        </w:tc>
        <w:tc>
          <w:tcPr>
            <w:tcW w:w="3201" w:type="dxa"/>
          </w:tcPr>
          <w:p w14:paraId="395B7327" w14:textId="77777777" w:rsidR="006F5C60" w:rsidRPr="00492075" w:rsidRDefault="006F5C60" w:rsidP="006F5C60">
            <w:pPr>
              <w:pStyle w:val="E3tabletext1"/>
              <w:jc w:val="both"/>
              <w:rPr>
                <w:rFonts w:ascii="Helvetica" w:hAnsi="Helvetica" w:cs="Helvetica"/>
                <w:sz w:val="15"/>
                <w:szCs w:val="15"/>
              </w:rPr>
            </w:pPr>
            <w:r w:rsidRPr="00492075">
              <w:rPr>
                <w:rFonts w:ascii="Helvetica" w:hAnsi="Helvetica" w:cs="Helvetica"/>
                <w:sz w:val="15"/>
                <w:szCs w:val="15"/>
              </w:rPr>
              <w:t>1.643</w:t>
            </w:r>
          </w:p>
        </w:tc>
        <w:tc>
          <w:tcPr>
            <w:tcW w:w="3285" w:type="dxa"/>
          </w:tcPr>
          <w:p w14:paraId="045D5F76" w14:textId="77777777" w:rsidR="006F5C60" w:rsidRPr="00492075" w:rsidRDefault="006F5C60" w:rsidP="006F5C60">
            <w:pPr>
              <w:pStyle w:val="E3tabletext1"/>
              <w:jc w:val="both"/>
              <w:rPr>
                <w:rFonts w:ascii="Helvetica" w:hAnsi="Helvetica" w:cs="Helvetica"/>
                <w:sz w:val="15"/>
                <w:szCs w:val="15"/>
              </w:rPr>
            </w:pPr>
            <w:r w:rsidRPr="00492075">
              <w:rPr>
                <w:rFonts w:ascii="Helvetica" w:hAnsi="Helvetica" w:cs="Helvetica"/>
                <w:sz w:val="15"/>
                <w:szCs w:val="15"/>
              </w:rPr>
              <w:t>609</w:t>
            </w:r>
          </w:p>
        </w:tc>
      </w:tr>
      <w:tr w:rsidR="006F5C60" w14:paraId="5DE754C2" w14:textId="77777777" w:rsidTr="006F5C60">
        <w:tc>
          <w:tcPr>
            <w:tcW w:w="3369" w:type="dxa"/>
          </w:tcPr>
          <w:p w14:paraId="3441FCBB" w14:textId="77777777" w:rsidR="006F5C60" w:rsidRPr="00492075" w:rsidRDefault="006F5C60" w:rsidP="006F5C60">
            <w:pPr>
              <w:pStyle w:val="E3tabletext1"/>
              <w:jc w:val="both"/>
              <w:rPr>
                <w:rFonts w:ascii="Helvetica" w:hAnsi="Helvetica" w:cs="Helvetica"/>
                <w:sz w:val="15"/>
                <w:szCs w:val="15"/>
              </w:rPr>
            </w:pPr>
            <w:r w:rsidRPr="00492075">
              <w:rPr>
                <w:rFonts w:ascii="Helvetica" w:hAnsi="Helvetica" w:cs="Helvetica"/>
                <w:sz w:val="15"/>
                <w:szCs w:val="15"/>
              </w:rPr>
              <w:t>Vertical Frozen (VF)</w:t>
            </w:r>
          </w:p>
        </w:tc>
        <w:tc>
          <w:tcPr>
            <w:tcW w:w="3201" w:type="dxa"/>
          </w:tcPr>
          <w:p w14:paraId="6289537E" w14:textId="77777777" w:rsidR="006F5C60" w:rsidRPr="00492075" w:rsidRDefault="006F5C60" w:rsidP="006F5C60">
            <w:pPr>
              <w:pStyle w:val="E3tabletext1"/>
              <w:jc w:val="both"/>
              <w:rPr>
                <w:rFonts w:ascii="Helvetica" w:hAnsi="Helvetica" w:cs="Helvetica"/>
                <w:sz w:val="15"/>
                <w:szCs w:val="15"/>
              </w:rPr>
            </w:pPr>
            <w:r w:rsidRPr="00492075">
              <w:rPr>
                <w:rFonts w:ascii="Helvetica" w:hAnsi="Helvetica" w:cs="Helvetica"/>
                <w:sz w:val="15"/>
                <w:szCs w:val="15"/>
              </w:rPr>
              <w:t>4.928</w:t>
            </w:r>
          </w:p>
        </w:tc>
        <w:tc>
          <w:tcPr>
            <w:tcW w:w="3285" w:type="dxa"/>
          </w:tcPr>
          <w:p w14:paraId="49550681" w14:textId="77777777" w:rsidR="006F5C60" w:rsidRPr="00492075" w:rsidRDefault="006F5C60" w:rsidP="006F5C60">
            <w:pPr>
              <w:pStyle w:val="E3tabletext1"/>
              <w:jc w:val="both"/>
              <w:rPr>
                <w:rFonts w:ascii="Helvetica" w:hAnsi="Helvetica" w:cs="Helvetica"/>
                <w:sz w:val="15"/>
                <w:szCs w:val="15"/>
              </w:rPr>
            </w:pPr>
            <w:r w:rsidRPr="00492075">
              <w:rPr>
                <w:rFonts w:ascii="Helvetica" w:hAnsi="Helvetica" w:cs="Helvetica"/>
                <w:sz w:val="15"/>
                <w:szCs w:val="15"/>
              </w:rPr>
              <w:t>1472</w:t>
            </w:r>
          </w:p>
        </w:tc>
      </w:tr>
      <w:tr w:rsidR="006F5C60" w14:paraId="726A3C89" w14:textId="77777777" w:rsidTr="006F5C60">
        <w:tc>
          <w:tcPr>
            <w:tcW w:w="3369" w:type="dxa"/>
          </w:tcPr>
          <w:p w14:paraId="0EAB84C6" w14:textId="77777777" w:rsidR="006F5C60" w:rsidRPr="00492075" w:rsidRDefault="006F5C60" w:rsidP="006F5C60">
            <w:pPr>
              <w:pStyle w:val="E3tabletext1"/>
              <w:jc w:val="both"/>
              <w:rPr>
                <w:rFonts w:ascii="Helvetica" w:hAnsi="Helvetica" w:cs="Helvetica"/>
                <w:sz w:val="15"/>
                <w:szCs w:val="15"/>
              </w:rPr>
            </w:pPr>
            <w:r w:rsidRPr="00492075">
              <w:rPr>
                <w:rFonts w:ascii="Helvetica" w:hAnsi="Helvetica" w:cs="Helvetica"/>
                <w:sz w:val="15"/>
                <w:szCs w:val="15"/>
              </w:rPr>
              <w:t>Horizontal counter, Chilled (HC)</w:t>
            </w:r>
          </w:p>
        </w:tc>
        <w:tc>
          <w:tcPr>
            <w:tcW w:w="3201" w:type="dxa"/>
          </w:tcPr>
          <w:p w14:paraId="651161CA" w14:textId="77777777" w:rsidR="006F5C60" w:rsidRPr="00492075" w:rsidRDefault="006F5C60" w:rsidP="006F5C60">
            <w:pPr>
              <w:pStyle w:val="E3tabletext1"/>
              <w:jc w:val="both"/>
              <w:rPr>
                <w:rFonts w:ascii="Helvetica" w:hAnsi="Helvetica" w:cs="Helvetica"/>
                <w:sz w:val="15"/>
                <w:szCs w:val="15"/>
              </w:rPr>
            </w:pPr>
            <w:r w:rsidRPr="00492075">
              <w:rPr>
                <w:rFonts w:ascii="Helvetica" w:hAnsi="Helvetica" w:cs="Helvetica"/>
                <w:sz w:val="15"/>
                <w:szCs w:val="15"/>
              </w:rPr>
              <w:t>2.555</w:t>
            </w:r>
          </w:p>
        </w:tc>
        <w:tc>
          <w:tcPr>
            <w:tcW w:w="3285" w:type="dxa"/>
          </w:tcPr>
          <w:p w14:paraId="66E1759F" w14:textId="77777777" w:rsidR="006F5C60" w:rsidRPr="00492075" w:rsidRDefault="006F5C60" w:rsidP="006F5C60">
            <w:pPr>
              <w:pStyle w:val="E3tabletext1"/>
              <w:jc w:val="both"/>
              <w:rPr>
                <w:rFonts w:ascii="Helvetica" w:hAnsi="Helvetica" w:cs="Helvetica"/>
                <w:sz w:val="15"/>
                <w:szCs w:val="15"/>
              </w:rPr>
            </w:pPr>
            <w:r w:rsidRPr="00492075">
              <w:rPr>
                <w:rFonts w:ascii="Helvetica" w:hAnsi="Helvetica" w:cs="Helvetica"/>
                <w:sz w:val="15"/>
                <w:szCs w:val="15"/>
              </w:rPr>
              <w:t>1790</w:t>
            </w:r>
          </w:p>
        </w:tc>
      </w:tr>
      <w:tr w:rsidR="006F5C60" w14:paraId="22E3AB01" w14:textId="77777777" w:rsidTr="006F5C60">
        <w:tc>
          <w:tcPr>
            <w:tcW w:w="3369" w:type="dxa"/>
          </w:tcPr>
          <w:p w14:paraId="70A1438F" w14:textId="77777777" w:rsidR="006F5C60" w:rsidRPr="00492075" w:rsidRDefault="006F5C60" w:rsidP="006F5C60">
            <w:pPr>
              <w:pStyle w:val="E3tabletext1"/>
              <w:jc w:val="both"/>
              <w:rPr>
                <w:rFonts w:ascii="Helvetica" w:hAnsi="Helvetica" w:cs="Helvetica"/>
                <w:sz w:val="15"/>
                <w:szCs w:val="15"/>
              </w:rPr>
            </w:pPr>
            <w:r w:rsidRPr="00492075">
              <w:rPr>
                <w:rFonts w:ascii="Helvetica" w:hAnsi="Helvetica" w:cs="Helvetica"/>
                <w:sz w:val="15"/>
                <w:szCs w:val="15"/>
              </w:rPr>
              <w:t>Horizontal counter, Freezer (HF)</w:t>
            </w:r>
          </w:p>
        </w:tc>
        <w:tc>
          <w:tcPr>
            <w:tcW w:w="3201" w:type="dxa"/>
          </w:tcPr>
          <w:p w14:paraId="75A9C573" w14:textId="77777777" w:rsidR="006F5C60" w:rsidRPr="00492075" w:rsidRDefault="006F5C60" w:rsidP="006F5C60">
            <w:pPr>
              <w:pStyle w:val="E3tabletext1"/>
              <w:jc w:val="both"/>
              <w:rPr>
                <w:rFonts w:ascii="Helvetica" w:hAnsi="Helvetica" w:cs="Helvetica"/>
                <w:sz w:val="15"/>
                <w:szCs w:val="15"/>
              </w:rPr>
            </w:pPr>
            <w:r w:rsidRPr="00492075">
              <w:rPr>
                <w:rFonts w:ascii="Helvetica" w:hAnsi="Helvetica" w:cs="Helvetica"/>
                <w:sz w:val="15"/>
                <w:szCs w:val="15"/>
              </w:rPr>
              <w:t>5.84</w:t>
            </w:r>
          </w:p>
        </w:tc>
        <w:tc>
          <w:tcPr>
            <w:tcW w:w="3285" w:type="dxa"/>
          </w:tcPr>
          <w:p w14:paraId="0D08BA67" w14:textId="77777777" w:rsidR="006F5C60" w:rsidRPr="00492075" w:rsidRDefault="006F5C60" w:rsidP="006F5C60">
            <w:pPr>
              <w:pStyle w:val="E3tabletext1"/>
              <w:jc w:val="both"/>
              <w:rPr>
                <w:rFonts w:ascii="Helvetica" w:hAnsi="Helvetica" w:cs="Helvetica"/>
                <w:sz w:val="15"/>
                <w:szCs w:val="15"/>
              </w:rPr>
            </w:pPr>
            <w:r w:rsidRPr="00492075">
              <w:rPr>
                <w:rFonts w:ascii="Helvetica" w:hAnsi="Helvetica" w:cs="Helvetica"/>
                <w:sz w:val="15"/>
                <w:szCs w:val="15"/>
              </w:rPr>
              <w:t>2380</w:t>
            </w:r>
          </w:p>
        </w:tc>
      </w:tr>
    </w:tbl>
    <w:p w14:paraId="132417F0" w14:textId="77777777" w:rsidR="006F5C60" w:rsidRPr="00DF791D" w:rsidRDefault="006F5C60" w:rsidP="00317405">
      <w:pPr>
        <w:pStyle w:val="E3Heading4"/>
        <w:rPr>
          <w:lang w:eastAsia="en-NZ"/>
        </w:rPr>
      </w:pPr>
    </w:p>
    <w:p w14:paraId="6AB70C1B" w14:textId="77777777" w:rsidR="006F5C60" w:rsidRPr="00681F91" w:rsidRDefault="006F5C60" w:rsidP="00317405">
      <w:pPr>
        <w:pStyle w:val="E3Heading4"/>
        <w:rPr>
          <w:lang w:eastAsia="en-NZ"/>
        </w:rPr>
      </w:pPr>
      <w:r w:rsidRPr="00681F91">
        <w:rPr>
          <w:lang w:eastAsia="en-NZ"/>
        </w:rPr>
        <w:t>Efficiency labelling levels for storage cabinets:</w:t>
      </w:r>
    </w:p>
    <w:p w14:paraId="0B972C21" w14:textId="77777777" w:rsidR="00D51B4B" w:rsidRPr="00D51B4B" w:rsidRDefault="006F5C60" w:rsidP="006F5C60">
      <w:pPr>
        <w:pStyle w:val="E3BodyText"/>
        <w:rPr>
          <w:b/>
          <w:lang w:val="en-NZ" w:eastAsia="en-NZ"/>
        </w:rPr>
      </w:pPr>
      <w:r w:rsidRPr="00AC7259">
        <w:rPr>
          <w:lang w:val="en-NZ" w:eastAsia="en-NZ"/>
        </w:rPr>
        <w:t>In a similar manner to display cabinets, the EU propose to grade the efficiency of the storage cabinets based on their EEI score. These will have up to 10 grades (A</w:t>
      </w:r>
      <w:r w:rsidRPr="00AC7259">
        <w:rPr>
          <w:vertAlign w:val="superscript"/>
          <w:lang w:val="en-NZ" w:eastAsia="en-NZ"/>
        </w:rPr>
        <w:t>+++</w:t>
      </w:r>
      <w:r w:rsidRPr="00AC7259">
        <w:rPr>
          <w:lang w:val="en-NZ" w:eastAsia="en-NZ"/>
        </w:rPr>
        <w:t xml:space="preserve"> through to G) see </w:t>
      </w:r>
      <w:r w:rsidRPr="00907A99">
        <w:rPr>
          <w:b/>
        </w:rPr>
        <w:fldChar w:fldCharType="begin"/>
      </w:r>
      <w:r w:rsidRPr="00907A99">
        <w:rPr>
          <w:b/>
        </w:rPr>
        <w:instrText xml:space="preserve"> REF _Ref450641544 \h  \* MERGEFORMAT </w:instrText>
      </w:r>
      <w:r w:rsidRPr="00907A99">
        <w:rPr>
          <w:b/>
        </w:rPr>
      </w:r>
      <w:r w:rsidRPr="00907A99">
        <w:rPr>
          <w:b/>
        </w:rPr>
        <w:fldChar w:fldCharType="separate"/>
      </w:r>
    </w:p>
    <w:p w14:paraId="4B05C461" w14:textId="7A9D5680" w:rsidR="00803448" w:rsidRPr="00907A99" w:rsidRDefault="00D51B4B" w:rsidP="006F5C60">
      <w:pPr>
        <w:pStyle w:val="E3BodyText"/>
        <w:rPr>
          <w:b/>
        </w:rPr>
      </w:pPr>
      <w:r w:rsidRPr="00954435">
        <w:rPr>
          <w:b/>
          <w:sz w:val="18"/>
        </w:rPr>
        <w:t>Table</w:t>
      </w:r>
      <w:r w:rsidRPr="00D51B4B">
        <w:rPr>
          <w:b/>
          <w:szCs w:val="24"/>
        </w:rPr>
        <w:t xml:space="preserve"> F</w:t>
      </w:r>
      <w:r w:rsidRPr="00D51B4B">
        <w:rPr>
          <w:b/>
          <w:noProof/>
          <w:szCs w:val="24"/>
        </w:rPr>
        <w:t xml:space="preserve"> </w:t>
      </w:r>
      <w:r>
        <w:rPr>
          <w:b/>
          <w:noProof/>
          <w:sz w:val="18"/>
        </w:rPr>
        <w:t>6</w:t>
      </w:r>
      <w:r w:rsidR="006F5C60" w:rsidRPr="00907A99">
        <w:rPr>
          <w:b/>
        </w:rPr>
        <w:fldChar w:fldCharType="end"/>
      </w:r>
      <w:r w:rsidR="006F5C60" w:rsidRPr="00803448">
        <w:rPr>
          <w:b/>
        </w:rPr>
        <w:t>.</w:t>
      </w:r>
      <w:bookmarkStart w:id="552" w:name="_Ref450641544"/>
      <w:bookmarkStart w:id="553" w:name="_Toc456164816"/>
    </w:p>
    <w:p w14:paraId="66DB8557" w14:textId="3EA897D1" w:rsidR="006F5C60" w:rsidRPr="00954435" w:rsidRDefault="006F5C60" w:rsidP="006F5C60">
      <w:pPr>
        <w:pStyle w:val="E3BodyText"/>
        <w:rPr>
          <w:b/>
          <w:sz w:val="18"/>
        </w:rPr>
      </w:pPr>
      <w:r w:rsidRPr="00954435">
        <w:rPr>
          <w:b/>
          <w:sz w:val="18"/>
        </w:rPr>
        <w:t xml:space="preserve">Table F </w:t>
      </w:r>
      <w:r w:rsidRPr="00954435">
        <w:rPr>
          <w:b/>
          <w:sz w:val="18"/>
        </w:rPr>
        <w:fldChar w:fldCharType="begin"/>
      </w:r>
      <w:r w:rsidRPr="00954435">
        <w:rPr>
          <w:b/>
          <w:sz w:val="18"/>
        </w:rPr>
        <w:instrText xml:space="preserve"> SEQ Table_F \* ARABIC </w:instrText>
      </w:r>
      <w:r w:rsidRPr="00954435">
        <w:rPr>
          <w:b/>
          <w:sz w:val="18"/>
        </w:rPr>
        <w:fldChar w:fldCharType="separate"/>
      </w:r>
      <w:r w:rsidR="00D51B4B">
        <w:rPr>
          <w:b/>
          <w:noProof/>
          <w:sz w:val="18"/>
        </w:rPr>
        <w:t>6</w:t>
      </w:r>
      <w:r w:rsidRPr="00954435">
        <w:rPr>
          <w:b/>
          <w:noProof/>
          <w:sz w:val="18"/>
        </w:rPr>
        <w:fldChar w:fldCharType="end"/>
      </w:r>
      <w:bookmarkEnd w:id="552"/>
      <w:r w:rsidRPr="00954435">
        <w:rPr>
          <w:b/>
          <w:sz w:val="18"/>
          <w:lang w:eastAsia="en-NZ"/>
        </w:rPr>
        <w:t>: Efficiency labelling grades levels for storage cabinets:</w:t>
      </w:r>
      <w:bookmarkEnd w:id="553"/>
    </w:p>
    <w:tbl>
      <w:tblPr>
        <w:tblW w:w="9214" w:type="dxa"/>
        <w:tblInd w:w="108" w:type="dxa"/>
        <w:tblLook w:val="04A0" w:firstRow="1" w:lastRow="0" w:firstColumn="1" w:lastColumn="0" w:noHBand="0" w:noVBand="1"/>
      </w:tblPr>
      <w:tblGrid>
        <w:gridCol w:w="3091"/>
        <w:gridCol w:w="6123"/>
      </w:tblGrid>
      <w:tr w:rsidR="006F5C60" w:rsidRPr="00F707FD" w14:paraId="5BF731BD" w14:textId="77777777" w:rsidTr="006F5C60">
        <w:trPr>
          <w:trHeight w:val="585"/>
        </w:trPr>
        <w:tc>
          <w:tcPr>
            <w:tcW w:w="9214"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0E974322" w14:textId="77777777" w:rsidR="006F5C60" w:rsidRPr="00F707FD" w:rsidRDefault="006F5C60" w:rsidP="006F5C60">
            <w:pPr>
              <w:pStyle w:val="E3TableHeading"/>
              <w:jc w:val="both"/>
            </w:pPr>
            <w:r w:rsidRPr="00F707FD">
              <w:t>Proposed EU energy efficiency levels for refrigerated storage cabinets</w:t>
            </w:r>
          </w:p>
        </w:tc>
      </w:tr>
      <w:tr w:rsidR="006F5C60" w:rsidRPr="00114031" w14:paraId="6A44E217" w14:textId="77777777" w:rsidTr="006F5C60">
        <w:trPr>
          <w:trHeight w:val="454"/>
        </w:trPr>
        <w:tc>
          <w:tcPr>
            <w:tcW w:w="3091"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353BF6F4" w14:textId="77777777" w:rsidR="006F5C60" w:rsidRPr="00907A99" w:rsidRDefault="006F5C60" w:rsidP="006F5C60">
            <w:pPr>
              <w:pStyle w:val="E3tabletext1"/>
              <w:jc w:val="both"/>
              <w:rPr>
                <w:rFonts w:ascii="Helvetica" w:hAnsi="Helvetica" w:cs="Helvetica"/>
                <w:sz w:val="18"/>
                <w:szCs w:val="18"/>
              </w:rPr>
            </w:pPr>
            <w:r w:rsidRPr="00907A99">
              <w:rPr>
                <w:rFonts w:ascii="Helvetica" w:hAnsi="Helvetica" w:cs="Helvetica"/>
                <w:sz w:val="18"/>
                <w:szCs w:val="18"/>
              </w:rPr>
              <w:t>Energy Efficiency Class</w:t>
            </w:r>
          </w:p>
        </w:tc>
        <w:tc>
          <w:tcPr>
            <w:tcW w:w="612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87DB991" w14:textId="77777777" w:rsidR="006F5C60" w:rsidRPr="00907A99" w:rsidRDefault="006F5C60" w:rsidP="006F5C60">
            <w:pPr>
              <w:pStyle w:val="E3tabletext1"/>
              <w:jc w:val="both"/>
              <w:rPr>
                <w:rFonts w:ascii="Helvetica" w:hAnsi="Helvetica" w:cs="Helvetica"/>
                <w:sz w:val="18"/>
                <w:szCs w:val="18"/>
              </w:rPr>
            </w:pPr>
            <w:r w:rsidRPr="00907A99">
              <w:rPr>
                <w:rFonts w:ascii="Helvetica" w:hAnsi="Helvetica" w:cs="Helvetica"/>
                <w:sz w:val="18"/>
                <w:szCs w:val="18"/>
              </w:rPr>
              <w:t>Refrigerated storage cabinets</w:t>
            </w:r>
          </w:p>
        </w:tc>
      </w:tr>
      <w:tr w:rsidR="006F5C60" w14:paraId="28870DC3" w14:textId="77777777" w:rsidTr="006F5C60">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6FA27434" w14:textId="77777777" w:rsidR="006F5C60" w:rsidRPr="00907A99" w:rsidRDefault="006F5C60" w:rsidP="006F5C60">
            <w:pPr>
              <w:pStyle w:val="E3tabletext1"/>
              <w:rPr>
                <w:rFonts w:ascii="Helvetica" w:hAnsi="Helvetica" w:cs="Helvetica"/>
                <w:sz w:val="18"/>
                <w:szCs w:val="18"/>
              </w:rPr>
            </w:pPr>
            <w:r w:rsidRPr="00907A99">
              <w:rPr>
                <w:rFonts w:ascii="Helvetica" w:hAnsi="Helvetica" w:cs="Helvetica"/>
                <w:sz w:val="18"/>
                <w:szCs w:val="18"/>
              </w:rPr>
              <w:t>A+++</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4650E5A7" w14:textId="77777777" w:rsidR="006F5C60" w:rsidRPr="00907A99" w:rsidRDefault="006F5C60" w:rsidP="006F5C60">
            <w:pPr>
              <w:pStyle w:val="E3tabletext1"/>
              <w:rPr>
                <w:rFonts w:ascii="Helvetica" w:hAnsi="Helvetica" w:cs="Helvetica"/>
                <w:sz w:val="18"/>
                <w:szCs w:val="18"/>
              </w:rPr>
            </w:pPr>
            <w:r w:rsidRPr="00907A99">
              <w:rPr>
                <w:rFonts w:ascii="Helvetica" w:hAnsi="Helvetica" w:cs="Helvetica"/>
                <w:sz w:val="18"/>
                <w:szCs w:val="18"/>
              </w:rPr>
              <w:t>EEI &lt; 5</w:t>
            </w:r>
          </w:p>
        </w:tc>
      </w:tr>
      <w:tr w:rsidR="006F5C60" w14:paraId="07BC7901" w14:textId="77777777" w:rsidTr="006F5C60">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6027C05D" w14:textId="77777777" w:rsidR="006F5C60" w:rsidRPr="00907A99" w:rsidRDefault="006F5C60" w:rsidP="006F5C60">
            <w:pPr>
              <w:pStyle w:val="E3tabletext1"/>
              <w:rPr>
                <w:rFonts w:ascii="Helvetica" w:hAnsi="Helvetica" w:cs="Helvetica"/>
                <w:sz w:val="18"/>
                <w:szCs w:val="18"/>
              </w:rPr>
            </w:pPr>
            <w:r w:rsidRPr="00907A99">
              <w:rPr>
                <w:rFonts w:ascii="Helvetica" w:hAnsi="Helvetica" w:cs="Helvetica"/>
                <w:sz w:val="18"/>
                <w:szCs w:val="18"/>
              </w:rPr>
              <w:t>A++</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700B9769" w14:textId="77777777" w:rsidR="006F5C60" w:rsidRPr="00907A99" w:rsidRDefault="006F5C60" w:rsidP="006F5C60">
            <w:pPr>
              <w:pStyle w:val="E3tabletext1"/>
              <w:rPr>
                <w:rFonts w:ascii="Helvetica" w:hAnsi="Helvetica" w:cs="Helvetica"/>
                <w:sz w:val="18"/>
                <w:szCs w:val="18"/>
              </w:rPr>
            </w:pPr>
            <w:r w:rsidRPr="00907A99">
              <w:rPr>
                <w:rFonts w:ascii="Helvetica" w:hAnsi="Helvetica" w:cs="Helvetica"/>
                <w:sz w:val="18"/>
                <w:szCs w:val="18"/>
              </w:rPr>
              <w:t>5 ≤ EEI &lt; 10</w:t>
            </w:r>
          </w:p>
        </w:tc>
      </w:tr>
      <w:tr w:rsidR="006F5C60" w14:paraId="6246A9FF" w14:textId="77777777" w:rsidTr="006F5C60">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647AD787" w14:textId="77777777" w:rsidR="006F5C60" w:rsidRPr="00907A99" w:rsidRDefault="006F5C60" w:rsidP="006F5C60">
            <w:pPr>
              <w:pStyle w:val="E3tabletext1"/>
              <w:rPr>
                <w:rFonts w:ascii="Helvetica" w:hAnsi="Helvetica" w:cs="Helvetica"/>
                <w:sz w:val="18"/>
                <w:szCs w:val="18"/>
              </w:rPr>
            </w:pPr>
            <w:r w:rsidRPr="00907A99">
              <w:rPr>
                <w:rFonts w:ascii="Helvetica" w:hAnsi="Helvetica" w:cs="Helvetica"/>
                <w:sz w:val="18"/>
                <w:szCs w:val="18"/>
              </w:rPr>
              <w:t>A+</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57AB50C6" w14:textId="77777777" w:rsidR="006F5C60" w:rsidRPr="00907A99" w:rsidRDefault="006F5C60" w:rsidP="006F5C60">
            <w:pPr>
              <w:pStyle w:val="E3tabletext1"/>
              <w:rPr>
                <w:rFonts w:ascii="Helvetica" w:hAnsi="Helvetica" w:cs="Helvetica"/>
                <w:sz w:val="18"/>
                <w:szCs w:val="18"/>
              </w:rPr>
            </w:pPr>
            <w:r w:rsidRPr="00907A99">
              <w:rPr>
                <w:rFonts w:ascii="Helvetica" w:hAnsi="Helvetica" w:cs="Helvetica"/>
                <w:sz w:val="18"/>
                <w:szCs w:val="18"/>
              </w:rPr>
              <w:t>10 ≤ EEI &lt; 15</w:t>
            </w:r>
          </w:p>
        </w:tc>
      </w:tr>
      <w:tr w:rsidR="006F5C60" w14:paraId="0E6BA733" w14:textId="77777777" w:rsidTr="006F5C60">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4BF49552" w14:textId="77777777" w:rsidR="006F5C60" w:rsidRPr="00907A99" w:rsidRDefault="006F5C60" w:rsidP="006F5C60">
            <w:pPr>
              <w:pStyle w:val="E3tabletext1"/>
              <w:rPr>
                <w:rFonts w:ascii="Helvetica" w:hAnsi="Helvetica" w:cs="Helvetica"/>
                <w:sz w:val="18"/>
                <w:szCs w:val="18"/>
              </w:rPr>
            </w:pPr>
            <w:r w:rsidRPr="00907A99">
              <w:rPr>
                <w:rFonts w:ascii="Helvetica" w:hAnsi="Helvetica" w:cs="Helvetica"/>
                <w:sz w:val="18"/>
                <w:szCs w:val="18"/>
              </w:rPr>
              <w:t>A</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01114408" w14:textId="77777777" w:rsidR="006F5C60" w:rsidRPr="00907A99" w:rsidRDefault="006F5C60" w:rsidP="006F5C60">
            <w:pPr>
              <w:pStyle w:val="E3tabletext1"/>
              <w:rPr>
                <w:rFonts w:ascii="Helvetica" w:hAnsi="Helvetica" w:cs="Helvetica"/>
                <w:sz w:val="18"/>
                <w:szCs w:val="18"/>
              </w:rPr>
            </w:pPr>
            <w:r w:rsidRPr="00907A99">
              <w:rPr>
                <w:rFonts w:ascii="Helvetica" w:hAnsi="Helvetica" w:cs="Helvetica"/>
                <w:sz w:val="18"/>
                <w:szCs w:val="18"/>
              </w:rPr>
              <w:t>15 ≤ EEI &lt; 25</w:t>
            </w:r>
          </w:p>
        </w:tc>
      </w:tr>
      <w:tr w:rsidR="006F5C60" w14:paraId="3B5C9E4D" w14:textId="77777777" w:rsidTr="006F5C60">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52F9FD29" w14:textId="77777777" w:rsidR="006F5C60" w:rsidRPr="00907A99" w:rsidRDefault="006F5C60" w:rsidP="006F5C60">
            <w:pPr>
              <w:pStyle w:val="E3tabletext1"/>
              <w:rPr>
                <w:rFonts w:ascii="Helvetica" w:hAnsi="Helvetica" w:cs="Helvetica"/>
                <w:sz w:val="18"/>
                <w:szCs w:val="18"/>
              </w:rPr>
            </w:pPr>
            <w:r w:rsidRPr="00907A99">
              <w:rPr>
                <w:rFonts w:ascii="Helvetica" w:hAnsi="Helvetica" w:cs="Helvetica"/>
                <w:sz w:val="18"/>
                <w:szCs w:val="18"/>
              </w:rPr>
              <w:t>B</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5B71E49F" w14:textId="77777777" w:rsidR="006F5C60" w:rsidRPr="00907A99" w:rsidRDefault="006F5C60" w:rsidP="006F5C60">
            <w:pPr>
              <w:pStyle w:val="E3tabletext1"/>
              <w:rPr>
                <w:rFonts w:ascii="Helvetica" w:hAnsi="Helvetica" w:cs="Helvetica"/>
                <w:sz w:val="18"/>
                <w:szCs w:val="18"/>
              </w:rPr>
            </w:pPr>
            <w:r w:rsidRPr="00907A99">
              <w:rPr>
                <w:rFonts w:ascii="Helvetica" w:hAnsi="Helvetica" w:cs="Helvetica"/>
                <w:sz w:val="18"/>
                <w:szCs w:val="18"/>
              </w:rPr>
              <w:t>25 ≤ EEI &lt; 35</w:t>
            </w:r>
          </w:p>
        </w:tc>
      </w:tr>
      <w:tr w:rsidR="006F5C60" w14:paraId="3D561145" w14:textId="77777777" w:rsidTr="006F5C60">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6B31B115" w14:textId="77777777" w:rsidR="006F5C60" w:rsidRPr="00907A99" w:rsidRDefault="006F5C60" w:rsidP="006F5C60">
            <w:pPr>
              <w:pStyle w:val="E3tabletext1"/>
              <w:rPr>
                <w:rFonts w:ascii="Helvetica" w:hAnsi="Helvetica" w:cs="Helvetica"/>
                <w:sz w:val="18"/>
                <w:szCs w:val="18"/>
              </w:rPr>
            </w:pPr>
            <w:r w:rsidRPr="00907A99">
              <w:rPr>
                <w:rFonts w:ascii="Helvetica" w:hAnsi="Helvetica" w:cs="Helvetica"/>
                <w:sz w:val="18"/>
                <w:szCs w:val="18"/>
              </w:rPr>
              <w:t>C</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6C636CE9" w14:textId="77777777" w:rsidR="006F5C60" w:rsidRPr="00907A99" w:rsidRDefault="006F5C60" w:rsidP="006F5C60">
            <w:pPr>
              <w:pStyle w:val="E3tabletext1"/>
              <w:rPr>
                <w:rFonts w:ascii="Helvetica" w:hAnsi="Helvetica" w:cs="Helvetica"/>
                <w:sz w:val="18"/>
                <w:szCs w:val="18"/>
              </w:rPr>
            </w:pPr>
            <w:r w:rsidRPr="00907A99">
              <w:rPr>
                <w:rFonts w:ascii="Helvetica" w:hAnsi="Helvetica" w:cs="Helvetica"/>
                <w:sz w:val="18"/>
                <w:szCs w:val="18"/>
              </w:rPr>
              <w:t>35 ≤ EEI &lt; 50</w:t>
            </w:r>
          </w:p>
        </w:tc>
      </w:tr>
      <w:tr w:rsidR="006F5C60" w14:paraId="407CB555" w14:textId="77777777" w:rsidTr="006F5C60">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29E149D4" w14:textId="77777777" w:rsidR="006F5C60" w:rsidRPr="00907A99" w:rsidRDefault="006F5C60" w:rsidP="006F5C60">
            <w:pPr>
              <w:pStyle w:val="E3tabletext1"/>
              <w:rPr>
                <w:rFonts w:ascii="Helvetica" w:hAnsi="Helvetica" w:cs="Helvetica"/>
                <w:sz w:val="18"/>
                <w:szCs w:val="18"/>
              </w:rPr>
            </w:pPr>
            <w:r w:rsidRPr="00907A99">
              <w:rPr>
                <w:rFonts w:ascii="Helvetica" w:hAnsi="Helvetica" w:cs="Helvetica"/>
                <w:sz w:val="18"/>
                <w:szCs w:val="18"/>
              </w:rPr>
              <w:t>D</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42DA019D" w14:textId="77777777" w:rsidR="006F5C60" w:rsidRPr="00907A99" w:rsidRDefault="006F5C60" w:rsidP="006F5C60">
            <w:pPr>
              <w:pStyle w:val="E3tabletext1"/>
              <w:rPr>
                <w:rFonts w:ascii="Helvetica" w:hAnsi="Helvetica" w:cs="Helvetica"/>
                <w:sz w:val="18"/>
                <w:szCs w:val="18"/>
              </w:rPr>
            </w:pPr>
            <w:r w:rsidRPr="00907A99">
              <w:rPr>
                <w:rFonts w:ascii="Helvetica" w:hAnsi="Helvetica" w:cs="Helvetica"/>
                <w:sz w:val="18"/>
                <w:szCs w:val="18"/>
              </w:rPr>
              <w:t>50 ≤ EEI &lt; 75</w:t>
            </w:r>
          </w:p>
        </w:tc>
      </w:tr>
      <w:tr w:rsidR="006F5C60" w14:paraId="149839DD" w14:textId="77777777" w:rsidTr="006F5C60">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0B455ACB" w14:textId="77777777" w:rsidR="006F5C60" w:rsidRPr="00907A99" w:rsidRDefault="006F5C60" w:rsidP="006F5C60">
            <w:pPr>
              <w:pStyle w:val="E3tabletext1"/>
              <w:rPr>
                <w:rFonts w:ascii="Helvetica" w:hAnsi="Helvetica" w:cs="Helvetica"/>
                <w:sz w:val="18"/>
                <w:szCs w:val="18"/>
              </w:rPr>
            </w:pPr>
            <w:r w:rsidRPr="00907A99">
              <w:rPr>
                <w:rFonts w:ascii="Helvetica" w:hAnsi="Helvetica" w:cs="Helvetica"/>
                <w:sz w:val="18"/>
                <w:szCs w:val="18"/>
              </w:rPr>
              <w:t>E</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7EB8DA36" w14:textId="77777777" w:rsidR="006F5C60" w:rsidRPr="00907A99" w:rsidRDefault="006F5C60" w:rsidP="006F5C60">
            <w:pPr>
              <w:pStyle w:val="E3tabletext1"/>
              <w:rPr>
                <w:rFonts w:ascii="Helvetica" w:hAnsi="Helvetica" w:cs="Helvetica"/>
                <w:sz w:val="18"/>
                <w:szCs w:val="18"/>
              </w:rPr>
            </w:pPr>
            <w:r w:rsidRPr="00907A99">
              <w:rPr>
                <w:rFonts w:ascii="Helvetica" w:hAnsi="Helvetica" w:cs="Helvetica"/>
                <w:sz w:val="18"/>
                <w:szCs w:val="18"/>
              </w:rPr>
              <w:t>75 ≤ EEI &lt; 85</w:t>
            </w:r>
          </w:p>
        </w:tc>
      </w:tr>
      <w:tr w:rsidR="006F5C60" w14:paraId="04F6D54C" w14:textId="77777777" w:rsidTr="006F5C60">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2EF08AA9" w14:textId="77777777" w:rsidR="006F5C60" w:rsidRPr="00907A99" w:rsidRDefault="006F5C60" w:rsidP="006F5C60">
            <w:pPr>
              <w:pStyle w:val="E3tabletext1"/>
              <w:rPr>
                <w:rFonts w:ascii="Helvetica" w:hAnsi="Helvetica" w:cs="Helvetica"/>
                <w:sz w:val="18"/>
                <w:szCs w:val="18"/>
              </w:rPr>
            </w:pPr>
            <w:r w:rsidRPr="00907A99">
              <w:rPr>
                <w:rFonts w:ascii="Helvetica" w:hAnsi="Helvetica" w:cs="Helvetica"/>
                <w:sz w:val="18"/>
                <w:szCs w:val="18"/>
              </w:rPr>
              <w:t>F</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5D0431C9" w14:textId="77777777" w:rsidR="006F5C60" w:rsidRPr="00907A99" w:rsidRDefault="006F5C60" w:rsidP="006F5C60">
            <w:pPr>
              <w:pStyle w:val="E3tabletext1"/>
              <w:rPr>
                <w:rFonts w:ascii="Helvetica" w:hAnsi="Helvetica" w:cs="Helvetica"/>
                <w:sz w:val="18"/>
                <w:szCs w:val="18"/>
              </w:rPr>
            </w:pPr>
            <w:r w:rsidRPr="00907A99">
              <w:rPr>
                <w:rFonts w:ascii="Helvetica" w:hAnsi="Helvetica" w:cs="Helvetica"/>
                <w:sz w:val="18"/>
                <w:szCs w:val="18"/>
              </w:rPr>
              <w:t>85 ≤ EEI &lt; 95</w:t>
            </w:r>
          </w:p>
        </w:tc>
      </w:tr>
      <w:tr w:rsidR="006F5C60" w14:paraId="454F82AB" w14:textId="77777777" w:rsidTr="006F5C60">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0C617FF5" w14:textId="77777777" w:rsidR="006F5C60" w:rsidRPr="00ED7BE5" w:rsidRDefault="006F5C60" w:rsidP="006F5C60">
            <w:pPr>
              <w:pStyle w:val="E3tabletext1"/>
              <w:rPr>
                <w:rFonts w:ascii="Helvetica" w:hAnsi="Helvetica" w:cs="Helvetica"/>
              </w:rPr>
            </w:pPr>
            <w:r w:rsidRPr="00ED7BE5">
              <w:rPr>
                <w:rFonts w:ascii="Helvetica" w:hAnsi="Helvetica" w:cs="Helvetica"/>
              </w:rPr>
              <w:t>G</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13768816" w14:textId="77777777" w:rsidR="006F5C60" w:rsidRPr="00ED7BE5" w:rsidRDefault="006F5C60" w:rsidP="006F5C60">
            <w:pPr>
              <w:pStyle w:val="E3tabletext1"/>
              <w:rPr>
                <w:rFonts w:ascii="Helvetica" w:hAnsi="Helvetica" w:cs="Helvetica"/>
              </w:rPr>
            </w:pPr>
            <w:r w:rsidRPr="00ED7BE5">
              <w:rPr>
                <w:rFonts w:ascii="Helvetica" w:hAnsi="Helvetica" w:cs="Helvetica"/>
              </w:rPr>
              <w:t>95 ≤ EEI &lt; 115</w:t>
            </w:r>
          </w:p>
        </w:tc>
      </w:tr>
    </w:tbl>
    <w:p w14:paraId="1654A953" w14:textId="77777777" w:rsidR="006F5C60" w:rsidRPr="00D866F8" w:rsidRDefault="006F5C60" w:rsidP="006F5C60">
      <w:bookmarkStart w:id="554" w:name="_Ref450641575"/>
      <w:bookmarkStart w:id="555" w:name="_Toc449708987"/>
    </w:p>
    <w:p w14:paraId="4C6BBE23" w14:textId="0A3E813E" w:rsidR="006F5C60" w:rsidRDefault="006F5C60" w:rsidP="00803448">
      <w:pPr>
        <w:pStyle w:val="E3BodyText"/>
        <w:rPr>
          <w:lang w:val="en-NZ" w:eastAsia="en-NZ"/>
        </w:rPr>
      </w:pPr>
      <w:r>
        <w:rPr>
          <w:lang w:val="en-NZ" w:eastAsia="en-NZ"/>
        </w:rPr>
        <w:t xml:space="preserve">As shown by </w:t>
      </w:r>
      <w:r>
        <w:rPr>
          <w:b/>
          <w:lang w:val="en-NZ" w:eastAsia="en-NZ"/>
        </w:rPr>
        <w:t>Table F 7</w:t>
      </w:r>
      <w:r>
        <w:rPr>
          <w:lang w:val="en-NZ" w:eastAsia="en-NZ"/>
        </w:rPr>
        <w:t xml:space="preserve">, the first implementation date for more stringent MEPS for storage cabinets was in July 2016.  Prior to that date cabinets were able to have an EEI higher than </w:t>
      </w:r>
      <w:r>
        <w:rPr>
          <w:lang w:val="en-NZ" w:eastAsia="en-NZ"/>
        </w:rPr>
        <w:lastRenderedPageBreak/>
        <w:t xml:space="preserve">115. Now storage cabinets </w:t>
      </w:r>
      <w:r w:rsidRPr="00AC7259">
        <w:rPr>
          <w:lang w:val="en-NZ" w:eastAsia="en-NZ"/>
        </w:rPr>
        <w:t xml:space="preserve">have to score an EEI of less than 115. In 2018 the EEI ramps down to less than 95, and </w:t>
      </w:r>
      <w:r>
        <w:rPr>
          <w:lang w:val="en-NZ" w:eastAsia="en-NZ"/>
        </w:rPr>
        <w:t xml:space="preserve">in </w:t>
      </w:r>
      <w:r w:rsidRPr="00AC7259">
        <w:rPr>
          <w:lang w:val="en-NZ" w:eastAsia="en-NZ"/>
        </w:rPr>
        <w:t xml:space="preserve">2019, less than an EEI of 85. </w:t>
      </w:r>
      <w:bookmarkStart w:id="556" w:name="_Toc456164817"/>
    </w:p>
    <w:p w14:paraId="1C558D17" w14:textId="77777777" w:rsidR="00253CE9" w:rsidRPr="00803448" w:rsidRDefault="00253CE9" w:rsidP="00803448">
      <w:pPr>
        <w:pStyle w:val="E3BodyText"/>
        <w:rPr>
          <w:lang w:val="en-NZ" w:eastAsia="en-NZ"/>
        </w:rPr>
      </w:pPr>
    </w:p>
    <w:p w14:paraId="5C6A1B1B" w14:textId="696C88C5" w:rsidR="006F5C60" w:rsidRDefault="006F5C60" w:rsidP="006F5C60">
      <w:pPr>
        <w:pStyle w:val="E3TableTitles"/>
        <w:spacing w:before="240"/>
        <w:rPr>
          <w:lang w:eastAsia="en-NZ"/>
        </w:rPr>
      </w:pPr>
      <w:bookmarkStart w:id="557" w:name="_Toc500159687"/>
      <w:r>
        <w:t xml:space="preserve">Table F </w:t>
      </w:r>
      <w:r>
        <w:fldChar w:fldCharType="begin"/>
      </w:r>
      <w:r>
        <w:instrText xml:space="preserve"> SEQ Table_F \* ARABIC </w:instrText>
      </w:r>
      <w:r>
        <w:fldChar w:fldCharType="separate"/>
      </w:r>
      <w:r w:rsidR="00D51B4B">
        <w:rPr>
          <w:noProof/>
        </w:rPr>
        <w:t>7</w:t>
      </w:r>
      <w:r>
        <w:rPr>
          <w:noProof/>
        </w:rPr>
        <w:fldChar w:fldCharType="end"/>
      </w:r>
      <w:bookmarkEnd w:id="554"/>
      <w:r w:rsidRPr="002705A4">
        <w:rPr>
          <w:lang w:eastAsia="en-NZ"/>
        </w:rPr>
        <w:t>: “MEPS” improv</w:t>
      </w:r>
      <w:r>
        <w:rPr>
          <w:lang w:eastAsia="en-NZ"/>
        </w:rPr>
        <w:t>ement implementation dates for r</w:t>
      </w:r>
      <w:r w:rsidRPr="002705A4">
        <w:rPr>
          <w:lang w:eastAsia="en-NZ"/>
        </w:rPr>
        <w:t xml:space="preserve">efrigerated </w:t>
      </w:r>
      <w:r>
        <w:rPr>
          <w:lang w:eastAsia="en-NZ"/>
        </w:rPr>
        <w:t>storage c</w:t>
      </w:r>
      <w:r w:rsidRPr="002705A4">
        <w:rPr>
          <w:lang w:eastAsia="en-NZ"/>
        </w:rPr>
        <w:t>abinets.</w:t>
      </w:r>
      <w:bookmarkEnd w:id="555"/>
      <w:bookmarkEnd w:id="556"/>
      <w:bookmarkEnd w:id="557"/>
    </w:p>
    <w:tbl>
      <w:tblPr>
        <w:tblW w:w="9498" w:type="dxa"/>
        <w:tblInd w:w="108" w:type="dxa"/>
        <w:tblLook w:val="04A0" w:firstRow="1" w:lastRow="0" w:firstColumn="1" w:lastColumn="0" w:noHBand="0" w:noVBand="1"/>
      </w:tblPr>
      <w:tblGrid>
        <w:gridCol w:w="2031"/>
        <w:gridCol w:w="3551"/>
        <w:gridCol w:w="3916"/>
      </w:tblGrid>
      <w:tr w:rsidR="006F5C60" w:rsidRPr="000D3847" w14:paraId="7F005964" w14:textId="77777777" w:rsidTr="006F5C60">
        <w:trPr>
          <w:trHeight w:val="20"/>
        </w:trPr>
        <w:tc>
          <w:tcPr>
            <w:tcW w:w="9498"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6D9EC534" w14:textId="77777777" w:rsidR="006F5C60" w:rsidRPr="000D3847" w:rsidRDefault="006F5C60" w:rsidP="006F5C60">
            <w:pPr>
              <w:pStyle w:val="E3TableHeading"/>
              <w:jc w:val="both"/>
            </w:pPr>
            <w:r w:rsidRPr="000D3847">
              <w:t>Proposed EU energy efficiency levels for refrigerated storage cabinets</w:t>
            </w:r>
          </w:p>
        </w:tc>
      </w:tr>
      <w:tr w:rsidR="006F5C60" w:rsidRPr="00114031" w14:paraId="46A19740" w14:textId="77777777" w:rsidTr="006F5C60">
        <w:trPr>
          <w:trHeight w:val="20"/>
        </w:trPr>
        <w:tc>
          <w:tcPr>
            <w:tcW w:w="20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B725B1F" w14:textId="77777777" w:rsidR="006F5C60" w:rsidRPr="00907A99" w:rsidRDefault="006F5C60" w:rsidP="006F5C60">
            <w:pPr>
              <w:pStyle w:val="E3tabletext1"/>
              <w:jc w:val="both"/>
              <w:rPr>
                <w:rFonts w:ascii="Helvetica" w:hAnsi="Helvetica" w:cs="Helvetica"/>
                <w:sz w:val="18"/>
                <w:szCs w:val="18"/>
              </w:rPr>
            </w:pPr>
            <w:r w:rsidRPr="00907A99">
              <w:rPr>
                <w:rFonts w:ascii="Helvetica" w:hAnsi="Helvetica" w:cs="Helvetica"/>
                <w:sz w:val="18"/>
                <w:szCs w:val="18"/>
              </w:rPr>
              <w:t>Introduction</w:t>
            </w:r>
          </w:p>
        </w:tc>
        <w:tc>
          <w:tcPr>
            <w:tcW w:w="3551" w:type="dxa"/>
            <w:tcBorders>
              <w:top w:val="single" w:sz="4" w:space="0" w:color="auto"/>
              <w:left w:val="nil"/>
              <w:bottom w:val="nil"/>
              <w:right w:val="single" w:sz="4" w:space="0" w:color="000000"/>
            </w:tcBorders>
            <w:shd w:val="clear" w:color="auto" w:fill="D9D9D9" w:themeFill="background1" w:themeFillShade="D9"/>
            <w:vAlign w:val="center"/>
            <w:hideMark/>
          </w:tcPr>
          <w:p w14:paraId="7D1E8F99" w14:textId="77777777" w:rsidR="006F5C60" w:rsidRPr="00907A99" w:rsidRDefault="006F5C60" w:rsidP="006F5C60">
            <w:pPr>
              <w:pStyle w:val="E3tabletext1"/>
              <w:jc w:val="both"/>
              <w:rPr>
                <w:rFonts w:ascii="Helvetica" w:hAnsi="Helvetica" w:cs="Helvetica"/>
                <w:sz w:val="18"/>
                <w:szCs w:val="18"/>
              </w:rPr>
            </w:pPr>
            <w:r w:rsidRPr="00907A99">
              <w:rPr>
                <w:rFonts w:ascii="Helvetica" w:hAnsi="Helvetica" w:cs="Helvetica"/>
                <w:sz w:val="18"/>
                <w:szCs w:val="18"/>
              </w:rPr>
              <w:t>Refrigerated storage cabinets</w:t>
            </w:r>
          </w:p>
        </w:tc>
        <w:tc>
          <w:tcPr>
            <w:tcW w:w="3916"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1877CA89" w14:textId="77777777" w:rsidR="006F5C60" w:rsidRPr="00907A99" w:rsidRDefault="006F5C60" w:rsidP="006F5C60">
            <w:pPr>
              <w:pStyle w:val="E3tabletext1"/>
              <w:jc w:val="both"/>
              <w:rPr>
                <w:rFonts w:ascii="Helvetica" w:hAnsi="Helvetica" w:cs="Helvetica"/>
                <w:sz w:val="18"/>
                <w:szCs w:val="18"/>
              </w:rPr>
            </w:pPr>
            <w:r w:rsidRPr="00907A99">
              <w:rPr>
                <w:rFonts w:ascii="Helvetica" w:hAnsi="Helvetica" w:cs="Helvetica"/>
                <w:sz w:val="18"/>
                <w:szCs w:val="18"/>
              </w:rPr>
              <w:t>Heavy duty cabinets</w:t>
            </w:r>
          </w:p>
        </w:tc>
      </w:tr>
      <w:tr w:rsidR="006F5C60" w:rsidRPr="00114031" w14:paraId="6DA6BA9C" w14:textId="77777777" w:rsidTr="006F5C60">
        <w:trPr>
          <w:trHeight w:val="267"/>
        </w:trPr>
        <w:tc>
          <w:tcPr>
            <w:tcW w:w="2031" w:type="dxa"/>
            <w:vMerge w:val="restart"/>
            <w:tcBorders>
              <w:top w:val="nil"/>
              <w:left w:val="single" w:sz="4" w:space="0" w:color="auto"/>
              <w:bottom w:val="single" w:sz="4" w:space="0" w:color="000000"/>
              <w:right w:val="single" w:sz="4" w:space="0" w:color="auto"/>
            </w:tcBorders>
            <w:shd w:val="clear" w:color="auto" w:fill="auto"/>
            <w:vAlign w:val="center"/>
            <w:hideMark/>
          </w:tcPr>
          <w:p w14:paraId="403455E8" w14:textId="77777777" w:rsidR="006F5C60" w:rsidRPr="00907A99" w:rsidRDefault="006F5C60" w:rsidP="006F5C60">
            <w:pPr>
              <w:pStyle w:val="E3tabletext1"/>
              <w:jc w:val="left"/>
              <w:rPr>
                <w:rFonts w:ascii="Helvetica" w:hAnsi="Helvetica" w:cs="Helvetica"/>
                <w:sz w:val="18"/>
                <w:szCs w:val="18"/>
              </w:rPr>
            </w:pPr>
            <w:r w:rsidRPr="00907A99">
              <w:rPr>
                <w:rFonts w:ascii="Helvetica" w:hAnsi="Helvetica" w:cs="Helvetica"/>
                <w:sz w:val="18"/>
                <w:szCs w:val="18"/>
              </w:rPr>
              <w:t>From 1 July 2016</w:t>
            </w:r>
          </w:p>
        </w:tc>
        <w:tc>
          <w:tcPr>
            <w:tcW w:w="355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2D06F16" w14:textId="77777777" w:rsidR="006F5C60" w:rsidRPr="00907A99" w:rsidRDefault="006F5C60" w:rsidP="006F5C60">
            <w:pPr>
              <w:pStyle w:val="E3tabletext1"/>
              <w:jc w:val="left"/>
              <w:rPr>
                <w:rFonts w:ascii="Helvetica" w:hAnsi="Helvetica" w:cs="Helvetica"/>
                <w:sz w:val="18"/>
                <w:szCs w:val="18"/>
              </w:rPr>
            </w:pPr>
            <w:r w:rsidRPr="00907A99">
              <w:rPr>
                <w:rFonts w:ascii="Helvetica" w:hAnsi="Helvetica" w:cs="Helvetica"/>
                <w:sz w:val="18"/>
                <w:szCs w:val="18"/>
              </w:rPr>
              <w:t>EEI &lt; 115</w:t>
            </w:r>
          </w:p>
        </w:tc>
        <w:tc>
          <w:tcPr>
            <w:tcW w:w="391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142759D" w14:textId="77777777" w:rsidR="006F5C60" w:rsidRPr="00907A99" w:rsidRDefault="006F5C60" w:rsidP="006F5C60">
            <w:pPr>
              <w:pStyle w:val="E3tabletext1"/>
              <w:jc w:val="left"/>
              <w:rPr>
                <w:rFonts w:ascii="Helvetica" w:hAnsi="Helvetica" w:cs="Helvetica"/>
                <w:sz w:val="18"/>
                <w:szCs w:val="18"/>
              </w:rPr>
            </w:pPr>
            <w:r w:rsidRPr="00907A99">
              <w:rPr>
                <w:rFonts w:ascii="Helvetica" w:hAnsi="Helvetica" w:cs="Helvetica"/>
                <w:sz w:val="18"/>
                <w:szCs w:val="18"/>
              </w:rPr>
              <w:t>EEI &lt; 115</w:t>
            </w:r>
          </w:p>
        </w:tc>
      </w:tr>
      <w:tr w:rsidR="006F5C60" w:rsidRPr="00114031" w14:paraId="3B96B462" w14:textId="77777777" w:rsidTr="006F5C60">
        <w:trPr>
          <w:trHeight w:val="448"/>
        </w:trPr>
        <w:tc>
          <w:tcPr>
            <w:tcW w:w="2031" w:type="dxa"/>
            <w:vMerge/>
            <w:tcBorders>
              <w:top w:val="nil"/>
              <w:left w:val="single" w:sz="4" w:space="0" w:color="auto"/>
              <w:bottom w:val="single" w:sz="4" w:space="0" w:color="000000"/>
              <w:right w:val="single" w:sz="4" w:space="0" w:color="auto"/>
            </w:tcBorders>
            <w:vAlign w:val="center"/>
            <w:hideMark/>
          </w:tcPr>
          <w:p w14:paraId="3051E3D1" w14:textId="77777777" w:rsidR="006F5C60" w:rsidRPr="00907A99" w:rsidRDefault="006F5C60" w:rsidP="006F5C60">
            <w:pPr>
              <w:pStyle w:val="E3tabletext1"/>
              <w:jc w:val="left"/>
              <w:rPr>
                <w:rFonts w:ascii="Helvetica" w:hAnsi="Helvetica" w:cs="Helvetica"/>
                <w:sz w:val="18"/>
                <w:szCs w:val="18"/>
              </w:rPr>
            </w:pPr>
          </w:p>
        </w:tc>
        <w:tc>
          <w:tcPr>
            <w:tcW w:w="3551" w:type="dxa"/>
            <w:vMerge/>
            <w:tcBorders>
              <w:top w:val="single" w:sz="4" w:space="0" w:color="auto"/>
              <w:left w:val="single" w:sz="4" w:space="0" w:color="auto"/>
              <w:bottom w:val="single" w:sz="4" w:space="0" w:color="000000"/>
              <w:right w:val="single" w:sz="4" w:space="0" w:color="000000"/>
            </w:tcBorders>
            <w:vAlign w:val="center"/>
            <w:hideMark/>
          </w:tcPr>
          <w:p w14:paraId="509D9294" w14:textId="77777777" w:rsidR="006F5C60" w:rsidRPr="00907A99" w:rsidRDefault="006F5C60" w:rsidP="006F5C60">
            <w:pPr>
              <w:pStyle w:val="E3tabletext1"/>
              <w:jc w:val="left"/>
              <w:rPr>
                <w:rFonts w:ascii="Helvetica" w:hAnsi="Helvetica" w:cs="Helvetica"/>
                <w:sz w:val="18"/>
                <w:szCs w:val="18"/>
              </w:rPr>
            </w:pPr>
          </w:p>
        </w:tc>
        <w:tc>
          <w:tcPr>
            <w:tcW w:w="3916" w:type="dxa"/>
            <w:vMerge/>
            <w:tcBorders>
              <w:top w:val="single" w:sz="4" w:space="0" w:color="auto"/>
              <w:left w:val="single" w:sz="4" w:space="0" w:color="auto"/>
              <w:bottom w:val="single" w:sz="4" w:space="0" w:color="000000"/>
              <w:right w:val="single" w:sz="4" w:space="0" w:color="000000"/>
            </w:tcBorders>
            <w:vAlign w:val="center"/>
            <w:hideMark/>
          </w:tcPr>
          <w:p w14:paraId="480D26CF" w14:textId="77777777" w:rsidR="006F5C60" w:rsidRPr="00907A99" w:rsidRDefault="006F5C60" w:rsidP="006F5C60">
            <w:pPr>
              <w:pStyle w:val="E3tabletext1"/>
              <w:jc w:val="left"/>
              <w:rPr>
                <w:rFonts w:ascii="Helvetica" w:hAnsi="Helvetica" w:cs="Helvetica"/>
                <w:sz w:val="18"/>
                <w:szCs w:val="18"/>
              </w:rPr>
            </w:pPr>
          </w:p>
        </w:tc>
      </w:tr>
      <w:tr w:rsidR="006F5C60" w:rsidRPr="00114031" w14:paraId="05C90C07" w14:textId="77777777" w:rsidTr="006F5C60">
        <w:trPr>
          <w:trHeight w:val="267"/>
        </w:trPr>
        <w:tc>
          <w:tcPr>
            <w:tcW w:w="2031" w:type="dxa"/>
            <w:vMerge w:val="restart"/>
            <w:tcBorders>
              <w:top w:val="nil"/>
              <w:left w:val="single" w:sz="4" w:space="0" w:color="auto"/>
              <w:bottom w:val="single" w:sz="4" w:space="0" w:color="000000"/>
              <w:right w:val="single" w:sz="4" w:space="0" w:color="auto"/>
            </w:tcBorders>
            <w:shd w:val="clear" w:color="000000" w:fill="D8D8D8"/>
            <w:vAlign w:val="center"/>
            <w:hideMark/>
          </w:tcPr>
          <w:p w14:paraId="1F92DDA2" w14:textId="77777777" w:rsidR="006F5C60" w:rsidRPr="00907A99" w:rsidRDefault="006F5C60" w:rsidP="006F5C60">
            <w:pPr>
              <w:pStyle w:val="E3tabletext1"/>
              <w:jc w:val="left"/>
              <w:rPr>
                <w:rFonts w:ascii="Helvetica" w:hAnsi="Helvetica" w:cs="Helvetica"/>
                <w:sz w:val="18"/>
                <w:szCs w:val="18"/>
              </w:rPr>
            </w:pPr>
            <w:r w:rsidRPr="00907A99">
              <w:rPr>
                <w:rFonts w:ascii="Helvetica" w:hAnsi="Helvetica" w:cs="Helvetica"/>
                <w:sz w:val="18"/>
                <w:szCs w:val="18"/>
              </w:rPr>
              <w:t>From 1 January 2018</w:t>
            </w:r>
          </w:p>
        </w:tc>
        <w:tc>
          <w:tcPr>
            <w:tcW w:w="3551" w:type="dxa"/>
            <w:vMerge w:val="restart"/>
            <w:tcBorders>
              <w:top w:val="single" w:sz="4" w:space="0" w:color="auto"/>
              <w:left w:val="single" w:sz="4" w:space="0" w:color="auto"/>
              <w:bottom w:val="single" w:sz="4" w:space="0" w:color="000000"/>
              <w:right w:val="single" w:sz="4" w:space="0" w:color="000000"/>
            </w:tcBorders>
            <w:shd w:val="clear" w:color="000000" w:fill="D8D8D8"/>
            <w:noWrap/>
            <w:vAlign w:val="center"/>
            <w:hideMark/>
          </w:tcPr>
          <w:p w14:paraId="604D5502" w14:textId="77777777" w:rsidR="006F5C60" w:rsidRPr="00907A99" w:rsidRDefault="006F5C60" w:rsidP="006F5C60">
            <w:pPr>
              <w:pStyle w:val="E3tabletext1"/>
              <w:jc w:val="left"/>
              <w:rPr>
                <w:rFonts w:ascii="Helvetica" w:hAnsi="Helvetica" w:cs="Helvetica"/>
                <w:sz w:val="18"/>
                <w:szCs w:val="18"/>
              </w:rPr>
            </w:pPr>
            <w:r w:rsidRPr="00907A99">
              <w:rPr>
                <w:rFonts w:ascii="Helvetica" w:hAnsi="Helvetica" w:cs="Helvetica"/>
                <w:sz w:val="18"/>
                <w:szCs w:val="18"/>
              </w:rPr>
              <w:t>EEI &lt; 95</w:t>
            </w:r>
          </w:p>
        </w:tc>
        <w:tc>
          <w:tcPr>
            <w:tcW w:w="391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1C320AB" w14:textId="77777777" w:rsidR="006F5C60" w:rsidRPr="00907A99" w:rsidRDefault="006F5C60" w:rsidP="006F5C60">
            <w:pPr>
              <w:pStyle w:val="E3tabletext1"/>
              <w:jc w:val="left"/>
              <w:rPr>
                <w:rFonts w:ascii="Helvetica" w:hAnsi="Helvetica" w:cs="Helvetica"/>
                <w:sz w:val="18"/>
                <w:szCs w:val="18"/>
              </w:rPr>
            </w:pPr>
            <w:r w:rsidRPr="00907A99">
              <w:rPr>
                <w:rFonts w:ascii="Helvetica" w:hAnsi="Helvetica" w:cs="Helvetica"/>
                <w:sz w:val="18"/>
                <w:szCs w:val="18"/>
              </w:rPr>
              <w:t>-</w:t>
            </w:r>
          </w:p>
        </w:tc>
      </w:tr>
      <w:tr w:rsidR="006F5C60" w:rsidRPr="00114031" w14:paraId="3BD7FFE7" w14:textId="77777777" w:rsidTr="006F5C60">
        <w:trPr>
          <w:trHeight w:val="448"/>
        </w:trPr>
        <w:tc>
          <w:tcPr>
            <w:tcW w:w="2031" w:type="dxa"/>
            <w:vMerge/>
            <w:tcBorders>
              <w:top w:val="nil"/>
              <w:left w:val="single" w:sz="4" w:space="0" w:color="auto"/>
              <w:bottom w:val="single" w:sz="4" w:space="0" w:color="000000"/>
              <w:right w:val="single" w:sz="4" w:space="0" w:color="auto"/>
            </w:tcBorders>
            <w:vAlign w:val="center"/>
            <w:hideMark/>
          </w:tcPr>
          <w:p w14:paraId="0CDF1C19" w14:textId="77777777" w:rsidR="006F5C60" w:rsidRPr="00907A99" w:rsidRDefault="006F5C60" w:rsidP="006F5C60">
            <w:pPr>
              <w:pStyle w:val="E3tabletext1"/>
              <w:jc w:val="left"/>
              <w:rPr>
                <w:rFonts w:ascii="Helvetica" w:hAnsi="Helvetica" w:cs="Helvetica"/>
                <w:sz w:val="18"/>
                <w:szCs w:val="18"/>
              </w:rPr>
            </w:pPr>
          </w:p>
        </w:tc>
        <w:tc>
          <w:tcPr>
            <w:tcW w:w="3551" w:type="dxa"/>
            <w:vMerge/>
            <w:tcBorders>
              <w:top w:val="single" w:sz="4" w:space="0" w:color="auto"/>
              <w:left w:val="single" w:sz="4" w:space="0" w:color="auto"/>
              <w:bottom w:val="single" w:sz="4" w:space="0" w:color="000000"/>
              <w:right w:val="single" w:sz="4" w:space="0" w:color="000000"/>
            </w:tcBorders>
            <w:vAlign w:val="center"/>
            <w:hideMark/>
          </w:tcPr>
          <w:p w14:paraId="66459D5B" w14:textId="77777777" w:rsidR="006F5C60" w:rsidRPr="00907A99" w:rsidRDefault="006F5C60" w:rsidP="006F5C60">
            <w:pPr>
              <w:pStyle w:val="E3tabletext1"/>
              <w:jc w:val="left"/>
              <w:rPr>
                <w:rFonts w:ascii="Helvetica" w:hAnsi="Helvetica" w:cs="Helvetica"/>
                <w:sz w:val="18"/>
                <w:szCs w:val="18"/>
              </w:rPr>
            </w:pPr>
          </w:p>
        </w:tc>
        <w:tc>
          <w:tcPr>
            <w:tcW w:w="3916" w:type="dxa"/>
            <w:vMerge/>
            <w:tcBorders>
              <w:top w:val="single" w:sz="4" w:space="0" w:color="auto"/>
              <w:left w:val="single" w:sz="4" w:space="0" w:color="auto"/>
              <w:bottom w:val="single" w:sz="4" w:space="0" w:color="000000"/>
              <w:right w:val="single" w:sz="4" w:space="0" w:color="000000"/>
            </w:tcBorders>
            <w:vAlign w:val="center"/>
            <w:hideMark/>
          </w:tcPr>
          <w:p w14:paraId="17B2A7B1" w14:textId="77777777" w:rsidR="006F5C60" w:rsidRPr="00907A99" w:rsidRDefault="006F5C60" w:rsidP="006F5C60">
            <w:pPr>
              <w:pStyle w:val="E3tabletext1"/>
              <w:jc w:val="left"/>
              <w:rPr>
                <w:rFonts w:ascii="Helvetica" w:hAnsi="Helvetica" w:cs="Helvetica"/>
                <w:sz w:val="18"/>
                <w:szCs w:val="18"/>
              </w:rPr>
            </w:pPr>
          </w:p>
        </w:tc>
      </w:tr>
      <w:tr w:rsidR="006F5C60" w:rsidRPr="00114031" w14:paraId="5C72B1BD" w14:textId="77777777" w:rsidTr="006F5C60">
        <w:trPr>
          <w:trHeight w:val="267"/>
        </w:trPr>
        <w:tc>
          <w:tcPr>
            <w:tcW w:w="2031" w:type="dxa"/>
            <w:vMerge w:val="restart"/>
            <w:tcBorders>
              <w:top w:val="nil"/>
              <w:left w:val="single" w:sz="4" w:space="0" w:color="auto"/>
              <w:bottom w:val="single" w:sz="4" w:space="0" w:color="000000"/>
              <w:right w:val="single" w:sz="4" w:space="0" w:color="auto"/>
            </w:tcBorders>
            <w:shd w:val="clear" w:color="000000" w:fill="BFBFBF"/>
            <w:vAlign w:val="center"/>
            <w:hideMark/>
          </w:tcPr>
          <w:p w14:paraId="68810926" w14:textId="77777777" w:rsidR="006F5C60" w:rsidRPr="00907A99" w:rsidRDefault="006F5C60" w:rsidP="006F5C60">
            <w:pPr>
              <w:pStyle w:val="E3tabletext1"/>
              <w:jc w:val="left"/>
              <w:rPr>
                <w:rFonts w:ascii="Helvetica" w:hAnsi="Helvetica" w:cs="Helvetica"/>
                <w:sz w:val="18"/>
                <w:szCs w:val="18"/>
              </w:rPr>
            </w:pPr>
            <w:r w:rsidRPr="00907A99">
              <w:rPr>
                <w:rFonts w:ascii="Helvetica" w:hAnsi="Helvetica" w:cs="Helvetica"/>
                <w:sz w:val="18"/>
                <w:szCs w:val="18"/>
              </w:rPr>
              <w:t>From 1 July 2019</w:t>
            </w:r>
          </w:p>
        </w:tc>
        <w:tc>
          <w:tcPr>
            <w:tcW w:w="3551" w:type="dxa"/>
            <w:vMerge w:val="restart"/>
            <w:tcBorders>
              <w:top w:val="single" w:sz="4" w:space="0" w:color="auto"/>
              <w:left w:val="single" w:sz="4" w:space="0" w:color="auto"/>
              <w:bottom w:val="single" w:sz="4" w:space="0" w:color="000000"/>
              <w:right w:val="single" w:sz="4" w:space="0" w:color="000000"/>
            </w:tcBorders>
            <w:shd w:val="clear" w:color="000000" w:fill="BFBFBF"/>
            <w:noWrap/>
            <w:vAlign w:val="center"/>
            <w:hideMark/>
          </w:tcPr>
          <w:p w14:paraId="3948D48A" w14:textId="77777777" w:rsidR="006F5C60" w:rsidRPr="00907A99" w:rsidRDefault="006F5C60" w:rsidP="006F5C60">
            <w:pPr>
              <w:pStyle w:val="E3tabletext1"/>
              <w:jc w:val="left"/>
              <w:rPr>
                <w:rFonts w:ascii="Helvetica" w:hAnsi="Helvetica" w:cs="Helvetica"/>
                <w:sz w:val="18"/>
                <w:szCs w:val="18"/>
              </w:rPr>
            </w:pPr>
            <w:r w:rsidRPr="00907A99">
              <w:rPr>
                <w:rFonts w:ascii="Helvetica" w:hAnsi="Helvetica" w:cs="Helvetica"/>
                <w:sz w:val="18"/>
                <w:szCs w:val="18"/>
              </w:rPr>
              <w:t>EEI &lt; 85</w:t>
            </w:r>
          </w:p>
        </w:tc>
        <w:tc>
          <w:tcPr>
            <w:tcW w:w="391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A0E94E4" w14:textId="77777777" w:rsidR="006F5C60" w:rsidRPr="00907A99" w:rsidRDefault="006F5C60" w:rsidP="006F5C60">
            <w:pPr>
              <w:pStyle w:val="E3tabletext1"/>
              <w:jc w:val="left"/>
              <w:rPr>
                <w:rFonts w:ascii="Helvetica" w:hAnsi="Helvetica" w:cs="Helvetica"/>
                <w:sz w:val="18"/>
                <w:szCs w:val="18"/>
              </w:rPr>
            </w:pPr>
            <w:r w:rsidRPr="00907A99">
              <w:rPr>
                <w:rFonts w:ascii="Helvetica" w:hAnsi="Helvetica" w:cs="Helvetica"/>
                <w:sz w:val="18"/>
                <w:szCs w:val="18"/>
              </w:rPr>
              <w:t>-</w:t>
            </w:r>
          </w:p>
        </w:tc>
      </w:tr>
      <w:tr w:rsidR="006F5C60" w:rsidRPr="00114031" w14:paraId="4F658064" w14:textId="77777777" w:rsidTr="006F5C60">
        <w:trPr>
          <w:trHeight w:val="448"/>
        </w:trPr>
        <w:tc>
          <w:tcPr>
            <w:tcW w:w="2031" w:type="dxa"/>
            <w:vMerge/>
            <w:tcBorders>
              <w:top w:val="nil"/>
              <w:left w:val="single" w:sz="4" w:space="0" w:color="auto"/>
              <w:bottom w:val="single" w:sz="4" w:space="0" w:color="000000"/>
              <w:right w:val="single" w:sz="4" w:space="0" w:color="auto"/>
            </w:tcBorders>
            <w:vAlign w:val="center"/>
            <w:hideMark/>
          </w:tcPr>
          <w:p w14:paraId="3719815E" w14:textId="77777777" w:rsidR="006F5C60" w:rsidRPr="00114031" w:rsidRDefault="006F5C60" w:rsidP="006F5C60">
            <w:pPr>
              <w:pStyle w:val="E3TableHeading"/>
              <w:jc w:val="both"/>
              <w:rPr>
                <w:lang w:eastAsia="en-AU"/>
              </w:rPr>
            </w:pPr>
          </w:p>
        </w:tc>
        <w:tc>
          <w:tcPr>
            <w:tcW w:w="3551" w:type="dxa"/>
            <w:vMerge/>
            <w:tcBorders>
              <w:top w:val="single" w:sz="4" w:space="0" w:color="auto"/>
              <w:left w:val="single" w:sz="4" w:space="0" w:color="auto"/>
              <w:bottom w:val="single" w:sz="4" w:space="0" w:color="000000"/>
              <w:right w:val="single" w:sz="4" w:space="0" w:color="000000"/>
            </w:tcBorders>
            <w:vAlign w:val="center"/>
            <w:hideMark/>
          </w:tcPr>
          <w:p w14:paraId="6884C797" w14:textId="77777777" w:rsidR="006F5C60" w:rsidRPr="00114031" w:rsidRDefault="006F5C60" w:rsidP="006F5C60">
            <w:pPr>
              <w:pStyle w:val="E3TableHeading"/>
              <w:jc w:val="both"/>
              <w:rPr>
                <w:lang w:eastAsia="en-AU"/>
              </w:rPr>
            </w:pPr>
          </w:p>
        </w:tc>
        <w:tc>
          <w:tcPr>
            <w:tcW w:w="3916" w:type="dxa"/>
            <w:vMerge/>
            <w:tcBorders>
              <w:top w:val="single" w:sz="4" w:space="0" w:color="auto"/>
              <w:left w:val="single" w:sz="4" w:space="0" w:color="auto"/>
              <w:bottom w:val="single" w:sz="4" w:space="0" w:color="000000"/>
              <w:right w:val="single" w:sz="4" w:space="0" w:color="000000"/>
            </w:tcBorders>
            <w:vAlign w:val="center"/>
            <w:hideMark/>
          </w:tcPr>
          <w:p w14:paraId="48E9E0E5" w14:textId="77777777" w:rsidR="006F5C60" w:rsidRPr="00114031" w:rsidRDefault="006F5C60" w:rsidP="006F5C60">
            <w:pPr>
              <w:pStyle w:val="E3TableHeading"/>
              <w:jc w:val="both"/>
              <w:rPr>
                <w:lang w:eastAsia="en-AU"/>
              </w:rPr>
            </w:pPr>
          </w:p>
        </w:tc>
      </w:tr>
    </w:tbl>
    <w:p w14:paraId="03FB55F2" w14:textId="77777777" w:rsidR="006F5C60" w:rsidRPr="00D866F8" w:rsidRDefault="006F5C60" w:rsidP="006F5C60"/>
    <w:p w14:paraId="5C1CE1AE" w14:textId="77777777" w:rsidR="006F5C60" w:rsidRDefault="006F5C60" w:rsidP="00317405">
      <w:pPr>
        <w:pStyle w:val="E3Heading4"/>
      </w:pPr>
      <w:r w:rsidRPr="007E3A56">
        <w:t>Impact of the regulatory prop</w:t>
      </w:r>
      <w:r>
        <w:t>osals</w:t>
      </w:r>
    </w:p>
    <w:p w14:paraId="5B0AB5F6" w14:textId="77777777" w:rsidR="006F5C60" w:rsidRPr="0093439C" w:rsidRDefault="006F5C60" w:rsidP="006F5C60">
      <w:pPr>
        <w:rPr>
          <w:sz w:val="24"/>
        </w:rPr>
      </w:pPr>
      <w:r>
        <w:rPr>
          <w:sz w:val="24"/>
        </w:rPr>
        <w:t xml:space="preserve">Adoption of the ISO Standard 2395 and associated Standards will incorporate cabinets not previously allocated a MEPS value or excluded by definition or cabinet type under AS 1731. </w:t>
      </w:r>
    </w:p>
    <w:p w14:paraId="44F391D5" w14:textId="77777777" w:rsidR="006F5C60" w:rsidRPr="0093439C" w:rsidRDefault="006F5C60" w:rsidP="00317405">
      <w:pPr>
        <w:pStyle w:val="E3Heading4"/>
      </w:pPr>
      <w:r w:rsidRPr="0093439C">
        <w:t>Definition of ‘family of models’ for display cabinets</w:t>
      </w:r>
    </w:p>
    <w:p w14:paraId="4F2E6EB2" w14:textId="77777777" w:rsidR="006F5C60" w:rsidRPr="0085161C" w:rsidRDefault="006F5C60" w:rsidP="006F5C60">
      <w:pPr>
        <w:pStyle w:val="E3BodyText"/>
      </w:pPr>
      <w:r>
        <w:t xml:space="preserve">Currently it is unclear </w:t>
      </w:r>
      <w:r w:rsidRPr="0085161C">
        <w:t>what a ‘family’ of models represents</w:t>
      </w:r>
      <w:r>
        <w:t xml:space="preserve"> in AS 1731</w:t>
      </w:r>
      <w:r w:rsidRPr="0085161C">
        <w:t>. Clause 4.6.1 of part 1</w:t>
      </w:r>
      <w:r>
        <w:t xml:space="preserve"> of the standard defines a </w:t>
      </w:r>
      <w:r w:rsidRPr="0085161C">
        <w:t>‘family’ of models as:</w:t>
      </w:r>
    </w:p>
    <w:p w14:paraId="43598618" w14:textId="77777777" w:rsidR="006F5C60" w:rsidRPr="0085161C" w:rsidRDefault="006F5C60" w:rsidP="006F5C60">
      <w:pPr>
        <w:pStyle w:val="E3BodyText"/>
      </w:pPr>
      <w:r w:rsidRPr="0085161C">
        <w:t xml:space="preserve"> “A range of models of the one brand, for which a single set of test reports is applicable and where each of the models has the same relevant physical, characteristics, comparative energy consumption, energy efficiency rating and performance characteristics. The term ‘model’ is synonymous with ‘family of models’.”</w:t>
      </w:r>
    </w:p>
    <w:p w14:paraId="5C7A21FB" w14:textId="77777777" w:rsidR="006F5C60" w:rsidRPr="0085161C" w:rsidRDefault="006F5C60" w:rsidP="006F5C60">
      <w:pPr>
        <w:pStyle w:val="E3BodyText"/>
      </w:pPr>
      <w:r>
        <w:t xml:space="preserve">Any </w:t>
      </w:r>
      <w:r w:rsidRPr="0085161C">
        <w:t xml:space="preserve">confusion </w:t>
      </w:r>
      <w:r>
        <w:t xml:space="preserve">as to </w:t>
      </w:r>
      <w:r w:rsidRPr="0085161C">
        <w:t xml:space="preserve">whether this </w:t>
      </w:r>
      <w:r>
        <w:t xml:space="preserve">definition is intended to refer to </w:t>
      </w:r>
      <w:r w:rsidRPr="0085161C">
        <w:t xml:space="preserve">identical ‘clip together units’ or the resulting array of units in a cabinet bank, </w:t>
      </w:r>
      <w:r>
        <w:t xml:space="preserve">would be avoided </w:t>
      </w:r>
      <w:r w:rsidRPr="0085161C">
        <w:t>by moving to the ISO Standard 23953 (displ</w:t>
      </w:r>
      <w:r>
        <w:t>ay cabinets) and other related S</w:t>
      </w:r>
      <w:r w:rsidRPr="0085161C">
        <w:t>tandards.</w:t>
      </w:r>
    </w:p>
    <w:p w14:paraId="54767D2A" w14:textId="77777777" w:rsidR="006F5C60" w:rsidRPr="0085161C" w:rsidRDefault="006F5C60" w:rsidP="006F5C60">
      <w:pPr>
        <w:pStyle w:val="E3BodyText"/>
      </w:pPr>
      <w:r>
        <w:t>The ISO definition of family is</w:t>
      </w:r>
      <w:r w:rsidRPr="0085161C">
        <w:t xml:space="preserve"> “groups of cabinets” (clause 3.7.1 Part 1 Vocabulary). </w:t>
      </w:r>
    </w:p>
    <w:p w14:paraId="60AC8C12" w14:textId="4A659514" w:rsidR="00907A99" w:rsidRDefault="006F5C60" w:rsidP="006F5C60">
      <w:pPr>
        <w:pStyle w:val="E3BodyText"/>
      </w:pPr>
      <w:r w:rsidRPr="0085161C">
        <w:t>These are further designated into broad types (vertical, horizontal</w:t>
      </w:r>
      <w:r>
        <w:t xml:space="preserve">, frozen or chilled) in </w:t>
      </w:r>
      <w:r w:rsidRPr="001A7457">
        <w:rPr>
          <w:b/>
        </w:rPr>
        <w:t>Annex A</w:t>
      </w:r>
      <w:r>
        <w:t xml:space="preserve"> of ISO 23953 </w:t>
      </w:r>
      <w:r w:rsidRPr="0085161C">
        <w:t xml:space="preserve">– meaning that suppliers must define their cabinets into master groups irrespective of </w:t>
      </w:r>
      <w:r>
        <w:t>factors such as size, shape and</w:t>
      </w:r>
      <w:r w:rsidRPr="0085161C">
        <w:t xml:space="preserve"> dimensions</w:t>
      </w:r>
      <w:r>
        <w:t>,</w:t>
      </w:r>
      <w:r w:rsidRPr="0085161C">
        <w:t xml:space="preserve"> </w:t>
      </w:r>
      <w:r>
        <w:t>s</w:t>
      </w:r>
      <w:r w:rsidRPr="0085161C">
        <w:t xml:space="preserve">ee </w:t>
      </w:r>
      <w:r>
        <w:rPr>
          <w:b/>
        </w:rPr>
        <w:t xml:space="preserve">Figure 15 </w:t>
      </w:r>
      <w:r w:rsidRPr="0085161C">
        <w:t>below.</w:t>
      </w:r>
      <w:r>
        <w:rPr>
          <w:rStyle w:val="FootnoteReference"/>
        </w:rPr>
        <w:footnoteReference w:id="59"/>
      </w:r>
    </w:p>
    <w:p w14:paraId="36150BDD" w14:textId="77777777" w:rsidR="00907A99" w:rsidRDefault="00907A99">
      <w:pPr>
        <w:spacing w:after="0" w:line="240" w:lineRule="auto"/>
        <w:rPr>
          <w:rFonts w:eastAsia="Calibri" w:cs="Georgia"/>
          <w:color w:val="000000"/>
          <w:sz w:val="24"/>
          <w:szCs w:val="19"/>
          <w:lang w:val="en-US"/>
        </w:rPr>
      </w:pPr>
      <w:r>
        <w:br w:type="page"/>
      </w:r>
    </w:p>
    <w:p w14:paraId="02726875" w14:textId="049843C1" w:rsidR="006F5C60" w:rsidRDefault="006F5C60" w:rsidP="006F5C60">
      <w:pPr>
        <w:pStyle w:val="E3Figuretitles"/>
        <w:spacing w:before="240" w:after="120"/>
      </w:pPr>
      <w:bookmarkStart w:id="558" w:name="_Toc494142492"/>
      <w:bookmarkStart w:id="559" w:name="_Toc495045829"/>
      <w:r>
        <w:lastRenderedPageBreak/>
        <w:t xml:space="preserve">Figure F </w:t>
      </w:r>
      <w:r>
        <w:fldChar w:fldCharType="begin"/>
      </w:r>
      <w:r>
        <w:instrText xml:space="preserve"> SEQ Figure \* ARABIC </w:instrText>
      </w:r>
      <w:r>
        <w:fldChar w:fldCharType="separate"/>
      </w:r>
      <w:r w:rsidR="00D51B4B">
        <w:rPr>
          <w:noProof/>
        </w:rPr>
        <w:t>2</w:t>
      </w:r>
      <w:r>
        <w:rPr>
          <w:noProof/>
        </w:rPr>
        <w:fldChar w:fldCharType="end"/>
      </w:r>
      <w:r>
        <w:t>: Extract from the efficiency standard ISO 23953 for display cabinets – designation of cabinet ‘families’ (groups of models, Table D.1).</w:t>
      </w:r>
      <w:bookmarkEnd w:id="558"/>
      <w:bookmarkEnd w:id="559"/>
    </w:p>
    <w:p w14:paraId="7A1E149C" w14:textId="77777777" w:rsidR="006F5C60" w:rsidRDefault="006F5C60" w:rsidP="006F5C60">
      <w:pPr>
        <w:pStyle w:val="E3BodyText"/>
      </w:pPr>
      <w:r>
        <w:rPr>
          <w:noProof/>
          <w:lang w:val="en-AU" w:eastAsia="en-AU"/>
        </w:rPr>
        <w:drawing>
          <wp:inline distT="0" distB="0" distL="0" distR="0" wp14:anchorId="020510C5" wp14:editId="176101A1">
            <wp:extent cx="5454502" cy="6360236"/>
            <wp:effectExtent l="19050" t="19050" r="13335" b="21590"/>
            <wp:docPr id="242" name="Picture 242" descr="broad groups of either hirizontal, vertical or combined - and either frozen or chilled." title="European designation of 'family' of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25071" t="6876" r="26397" b="2579"/>
                    <a:stretch/>
                  </pic:blipFill>
                  <pic:spPr bwMode="auto">
                    <a:xfrm>
                      <a:off x="0" y="0"/>
                      <a:ext cx="5460941" cy="6367745"/>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6F09A925" w14:textId="77777777" w:rsidR="006F5C60" w:rsidRPr="00DA4189" w:rsidRDefault="006F5C60" w:rsidP="006F5C60">
      <w:pPr>
        <w:spacing w:after="0" w:line="240" w:lineRule="auto"/>
        <w:rPr>
          <w:sz w:val="12"/>
          <w:szCs w:val="12"/>
        </w:rPr>
      </w:pPr>
    </w:p>
    <w:p w14:paraId="60AAE6C0" w14:textId="77777777" w:rsidR="006F5C60" w:rsidRPr="0093439C" w:rsidRDefault="006F5C60" w:rsidP="00317405">
      <w:pPr>
        <w:pStyle w:val="E3Heading4"/>
      </w:pPr>
      <w:r w:rsidRPr="0093439C">
        <w:t>Alternate Components for display cabinets.</w:t>
      </w:r>
    </w:p>
    <w:p w14:paraId="17634CC3" w14:textId="77777777" w:rsidR="006F5C60" w:rsidRPr="0085161C" w:rsidRDefault="006F5C60" w:rsidP="006F5C60">
      <w:pPr>
        <w:jc w:val="both"/>
        <w:rPr>
          <w:sz w:val="24"/>
          <w:lang w:val="en-NZ"/>
        </w:rPr>
      </w:pPr>
      <w:r>
        <w:rPr>
          <w:sz w:val="24"/>
        </w:rPr>
        <w:t>Under ISO 23953, the S</w:t>
      </w:r>
      <w:r w:rsidRPr="0085161C">
        <w:rPr>
          <w:sz w:val="24"/>
        </w:rPr>
        <w:t xml:space="preserve">tandard enables calculation of Revised Refrigeration Energy Consumption. All things being identical, rated components can be substituted in models that have already been tested for efficiency. </w:t>
      </w:r>
    </w:p>
    <w:p w14:paraId="578495BA" w14:textId="77777777" w:rsidR="006F5C60" w:rsidRDefault="006F5C60" w:rsidP="006F5C60">
      <w:pPr>
        <w:jc w:val="both"/>
        <w:rPr>
          <w:sz w:val="24"/>
        </w:rPr>
      </w:pPr>
      <w:r w:rsidRPr="0085161C">
        <w:rPr>
          <w:sz w:val="24"/>
        </w:rPr>
        <w:t xml:space="preserve">This means that cabinet models </w:t>
      </w:r>
      <w:r w:rsidRPr="0085161C">
        <w:rPr>
          <w:sz w:val="24"/>
          <w:u w:val="single"/>
        </w:rPr>
        <w:t>do not</w:t>
      </w:r>
      <w:r w:rsidRPr="0085161C">
        <w:rPr>
          <w:sz w:val="24"/>
        </w:rPr>
        <w:t xml:space="preserve"> need to be re-tested or re-registered as long as, if required, the supplier can prove the components rate as efficiently as those in the original model.  </w:t>
      </w:r>
    </w:p>
    <w:p w14:paraId="6074F0D4" w14:textId="77777777" w:rsidR="00907A99" w:rsidRPr="0085161C" w:rsidRDefault="00907A99" w:rsidP="006F5C60">
      <w:pPr>
        <w:jc w:val="both"/>
        <w:rPr>
          <w:sz w:val="24"/>
        </w:rPr>
      </w:pPr>
    </w:p>
    <w:p w14:paraId="1470E5F4" w14:textId="77777777" w:rsidR="006F5C60" w:rsidRPr="0085161C" w:rsidRDefault="006F5C60" w:rsidP="00317405">
      <w:pPr>
        <w:pStyle w:val="E3Heading4"/>
      </w:pPr>
      <w:r w:rsidRPr="0085161C">
        <w:lastRenderedPageBreak/>
        <w:t xml:space="preserve"> </w:t>
      </w:r>
      <w:r w:rsidRPr="00DA4189">
        <w:t>‘</w:t>
      </w:r>
      <w:r w:rsidRPr="0093439C">
        <w:t>Built in’ display cabinets.</w:t>
      </w:r>
      <w:r w:rsidRPr="00DA4189">
        <w:t xml:space="preserve"> </w:t>
      </w:r>
    </w:p>
    <w:p w14:paraId="4A326BE6" w14:textId="77777777" w:rsidR="006F5C60" w:rsidRPr="0085161C" w:rsidRDefault="006F5C60" w:rsidP="006F5C60">
      <w:pPr>
        <w:jc w:val="both"/>
        <w:rPr>
          <w:sz w:val="24"/>
        </w:rPr>
      </w:pPr>
      <w:r w:rsidRPr="0085161C">
        <w:rPr>
          <w:sz w:val="24"/>
        </w:rPr>
        <w:t xml:space="preserve">In the EC regulations (from April 2016) for display cabinets, there is an exemption for ‘Built in’ cabinets. These are further defined as: </w:t>
      </w:r>
    </w:p>
    <w:p w14:paraId="0B62417B" w14:textId="77777777" w:rsidR="006F5C60" w:rsidRPr="0085161C" w:rsidRDefault="006F5C60" w:rsidP="006F5C60">
      <w:pPr>
        <w:jc w:val="both"/>
        <w:rPr>
          <w:sz w:val="24"/>
        </w:rPr>
      </w:pPr>
      <w:r w:rsidRPr="0085161C">
        <w:rPr>
          <w:sz w:val="24"/>
        </w:rPr>
        <w:t>“</w:t>
      </w:r>
      <w:r>
        <w:rPr>
          <w:sz w:val="24"/>
        </w:rPr>
        <w:t>..</w:t>
      </w:r>
      <w:r w:rsidRPr="00DA4189">
        <w:rPr>
          <w:sz w:val="24"/>
        </w:rPr>
        <w:t>a fixed insulated refrigerating appliance intended to be installed in a prepared recess in a wall or similar location, and requiring furniture finishing” [clause 1(h) of Article 2 Definitions</w:t>
      </w:r>
      <w:r w:rsidRPr="0085161C">
        <w:rPr>
          <w:sz w:val="24"/>
        </w:rPr>
        <w:t>]</w:t>
      </w:r>
    </w:p>
    <w:p w14:paraId="5376C6E0" w14:textId="77777777" w:rsidR="006F5C60" w:rsidRPr="0093439C" w:rsidRDefault="006F5C60" w:rsidP="00317405">
      <w:pPr>
        <w:pStyle w:val="E3Heading4"/>
      </w:pPr>
      <w:r w:rsidRPr="0093439C">
        <w:t>‘Built in’ storage (professional) cabinets.</w:t>
      </w:r>
    </w:p>
    <w:p w14:paraId="0EB86C40" w14:textId="77777777" w:rsidR="006F5C60" w:rsidRPr="0085161C" w:rsidRDefault="006F5C60" w:rsidP="006F5C60">
      <w:pPr>
        <w:pStyle w:val="E3BodyText"/>
      </w:pPr>
      <w:r w:rsidRPr="0085161C">
        <w:t xml:space="preserve">As with display cabinets, there is an exemption for ‘built-in’ storage cabinets from complying with the energy efficiency levels. These are defined in a very similar way as the draft EC regulations for display cabinets: </w:t>
      </w:r>
    </w:p>
    <w:p w14:paraId="541D83CD" w14:textId="77777777" w:rsidR="006F5C60" w:rsidRPr="00DA4189" w:rsidRDefault="006F5C60" w:rsidP="006F5C60">
      <w:pPr>
        <w:pStyle w:val="E3BodyText"/>
      </w:pPr>
      <w:r w:rsidRPr="0085161C">
        <w:t>“</w:t>
      </w:r>
      <w:r>
        <w:t>...</w:t>
      </w:r>
      <w:r w:rsidRPr="00DA4189">
        <w:t xml:space="preserve">a fixed insulated refrigerating appliance intended to be installed in </w:t>
      </w:r>
      <w:r w:rsidRPr="00DA4189">
        <w:rPr>
          <w:u w:val="single"/>
        </w:rPr>
        <w:t>a cabinet</w:t>
      </w:r>
      <w:r w:rsidRPr="00DA4189">
        <w:t xml:space="preserve"> [emphasis added], in a prepared recess in a wall or similar location, and requiring furniture finishing.” [clause (c) Article 2 Definitions].</w:t>
      </w:r>
    </w:p>
    <w:p w14:paraId="0B56444A" w14:textId="77777777" w:rsidR="006F5C60" w:rsidRPr="00DA4189" w:rsidRDefault="006F5C60" w:rsidP="00317405">
      <w:pPr>
        <w:pStyle w:val="E3Heading4"/>
      </w:pPr>
      <w:r w:rsidRPr="00952259">
        <w:t>‘</w:t>
      </w:r>
      <w:r w:rsidRPr="0093439C">
        <w:t>Custom made’ and one-off storage (professional) cabinets.</w:t>
      </w:r>
    </w:p>
    <w:p w14:paraId="0786852E" w14:textId="77777777" w:rsidR="006F5C60" w:rsidRPr="0085161C" w:rsidRDefault="006F5C60" w:rsidP="006F5C60">
      <w:pPr>
        <w:pStyle w:val="E3BodyText"/>
      </w:pPr>
      <w:r w:rsidRPr="0085161C">
        <w:t>Custom made storage cabinets are exempt from the scope of the storage cabinet regulations: these are defined in Article 1 clause 3(i) as:</w:t>
      </w:r>
    </w:p>
    <w:p w14:paraId="4EAFF553" w14:textId="77777777" w:rsidR="006F5C60" w:rsidRPr="0085161C" w:rsidRDefault="006F5C60" w:rsidP="006F5C60">
      <w:pPr>
        <w:pStyle w:val="E3BodyText"/>
      </w:pPr>
      <w:r w:rsidRPr="0085161C">
        <w:t xml:space="preserve">“…made on a one-off basis according to individual customer specification and not </w:t>
      </w:r>
      <w:r w:rsidRPr="0085161C">
        <w:rPr>
          <w:u w:val="single"/>
        </w:rPr>
        <w:t>equivalent</w:t>
      </w:r>
      <w:r w:rsidRPr="0085161C">
        <w:t xml:space="preserve"> [emphasis added] to other professional refrigerated storage cabinets as described in definition 10 of Annex 1.”</w:t>
      </w:r>
    </w:p>
    <w:p w14:paraId="4F635328" w14:textId="77777777" w:rsidR="006F5C60" w:rsidRPr="0085161C" w:rsidRDefault="006F5C60" w:rsidP="006F5C60">
      <w:pPr>
        <w:pStyle w:val="E3BodyText"/>
      </w:pPr>
      <w:r w:rsidRPr="0085161C">
        <w:t>‘Equivalent’ is further defined in Annex 1 as:</w:t>
      </w:r>
    </w:p>
    <w:p w14:paraId="307A15DA" w14:textId="77777777" w:rsidR="006F5C60" w:rsidRPr="0085161C" w:rsidRDefault="006F5C60" w:rsidP="006F5C60">
      <w:pPr>
        <w:pStyle w:val="E3BodyText"/>
      </w:pPr>
      <w:r w:rsidRPr="0085161C">
        <w:t>“a professional refrigerated storage cabinet model placed on the market with the same net volume, same technical, efficiency and performance characteristics, and same compartment types and volumes as another professional refrigerated storage cabinet model placed on the market under a different commercial code number by the same manufacturer.” [clause 10 of Annex 1]</w:t>
      </w:r>
    </w:p>
    <w:p w14:paraId="56A50A62" w14:textId="77777777" w:rsidR="006F5C60" w:rsidRPr="0085161C" w:rsidRDefault="006F5C60" w:rsidP="006F5C60">
      <w:pPr>
        <w:jc w:val="both"/>
        <w:rPr>
          <w:sz w:val="24"/>
          <w:lang w:val="en-NZ"/>
        </w:rPr>
      </w:pPr>
      <w:r w:rsidRPr="0085161C">
        <w:rPr>
          <w:sz w:val="24"/>
        </w:rPr>
        <w:t>This would mean that in an Australasian scheme, both built in, custom made storage cabinets and one-off cabinets, would also be exempt from MEPS compliance.</w:t>
      </w:r>
    </w:p>
    <w:p w14:paraId="148C48AA" w14:textId="77777777" w:rsidR="006F5C60" w:rsidRPr="0093439C" w:rsidRDefault="006F5C60" w:rsidP="00317405">
      <w:pPr>
        <w:pStyle w:val="E3Heading4"/>
      </w:pPr>
      <w:r w:rsidRPr="0093439C">
        <w:t>Custom-made or one-off display cabinets.</w:t>
      </w:r>
    </w:p>
    <w:p w14:paraId="64CC6D49" w14:textId="77777777" w:rsidR="006F5C60" w:rsidRPr="0085161C" w:rsidRDefault="006F5C60" w:rsidP="006F5C60">
      <w:pPr>
        <w:pStyle w:val="E3BodyText"/>
      </w:pPr>
      <w:r w:rsidRPr="0085161C">
        <w:t xml:space="preserve">Custom made display cabinets are also exempt from the scope of the EC regulations: these are defined in Article 1 clause 2(h) as: </w:t>
      </w:r>
    </w:p>
    <w:p w14:paraId="118966F5" w14:textId="77777777" w:rsidR="006F5C60" w:rsidRPr="0085161C" w:rsidRDefault="006F5C60" w:rsidP="006F5C60">
      <w:pPr>
        <w:pStyle w:val="E3BodyText"/>
      </w:pPr>
      <w:r w:rsidRPr="0085161C">
        <w:t xml:space="preserve">“…made on a one-off basis according to individual customer specification and not </w:t>
      </w:r>
      <w:r w:rsidRPr="0085161C">
        <w:rPr>
          <w:u w:val="single"/>
        </w:rPr>
        <w:t>equivalent</w:t>
      </w:r>
      <w:r w:rsidRPr="0085161C">
        <w:t xml:space="preserve"> [emphasis added] to other refrigerated commercial display cabinets as described in definition 18 of Annex 1.” </w:t>
      </w:r>
    </w:p>
    <w:p w14:paraId="5F3F8BE2" w14:textId="77777777" w:rsidR="006F5C60" w:rsidRPr="0085161C" w:rsidRDefault="006F5C60" w:rsidP="006F5C60">
      <w:pPr>
        <w:pStyle w:val="E3BodyText"/>
      </w:pPr>
      <w:r w:rsidRPr="0085161C">
        <w:t>‘Equivalent’ is further defined in Annex 1 as:</w:t>
      </w:r>
    </w:p>
    <w:p w14:paraId="23E656DD" w14:textId="77777777" w:rsidR="006F5C60" w:rsidRPr="0085161C" w:rsidRDefault="006F5C60" w:rsidP="006F5C60">
      <w:pPr>
        <w:pStyle w:val="E3BodyText"/>
      </w:pPr>
      <w:r w:rsidRPr="0085161C">
        <w:t xml:space="preserve">“a refrigerated commercial display cabinet placed on the market with the same net volume, or total display area, same technical, efficiency and performance characteristics, and same compartment types, display areas and volumes as another refrigerated commercial display </w:t>
      </w:r>
      <w:r w:rsidRPr="0085161C">
        <w:lastRenderedPageBreak/>
        <w:t>cabinet model placed on the market under a different commercial code number by the same manufacturer.” [clause 18 of Annex 1]</w:t>
      </w:r>
    </w:p>
    <w:p w14:paraId="569F1621" w14:textId="77777777" w:rsidR="006F5C60" w:rsidRDefault="006F5C60" w:rsidP="006F5C60">
      <w:pPr>
        <w:jc w:val="both"/>
        <w:rPr>
          <w:color w:val="000000" w:themeColor="text1"/>
          <w:sz w:val="24"/>
        </w:rPr>
      </w:pPr>
      <w:r w:rsidRPr="0085161C">
        <w:rPr>
          <w:color w:val="000000" w:themeColor="text1"/>
          <w:sz w:val="24"/>
        </w:rPr>
        <w:t>This would mean that in an Australasian scheme, both built in, custom made storage cabinets and one-off cabinets, would also be exempt from MEPS compliance.</w:t>
      </w:r>
    </w:p>
    <w:p w14:paraId="3020D285" w14:textId="77777777" w:rsidR="006F5C60" w:rsidRPr="0093439C" w:rsidRDefault="006F5C60" w:rsidP="00317405">
      <w:pPr>
        <w:pStyle w:val="E3Heading4"/>
      </w:pPr>
      <w:r w:rsidRPr="0093439C">
        <w:t>By grouping cabinet types, and allocating MEPS – wine and chocolate cabinets are covered</w:t>
      </w:r>
    </w:p>
    <w:p w14:paraId="76390CAF" w14:textId="77777777" w:rsidR="006F5C60" w:rsidRDefault="006F5C60" w:rsidP="006F5C60">
      <w:pPr>
        <w:pStyle w:val="E3BodyText"/>
      </w:pPr>
      <w:r w:rsidRPr="00AC7259">
        <w:t>Because the MEPS specifications (</w:t>
      </w:r>
      <w:r>
        <w:t xml:space="preserve">implemented or to be introduced </w:t>
      </w:r>
      <w:r w:rsidRPr="00AC7259">
        <w:t>in Europe) are proposed to be based on groups of cabinet types – all cabinets must be tested to a specified holding temperature (M, L or S)</w:t>
      </w:r>
      <w:r>
        <w:t xml:space="preserve">. This is </w:t>
      </w:r>
      <w:r w:rsidRPr="00AC7259">
        <w:t>irrespective of them being remote or integral</w:t>
      </w:r>
      <w:r>
        <w:t>.</w:t>
      </w:r>
      <w:r w:rsidRPr="00AC7259">
        <w:t xml:space="preserve">  </w:t>
      </w:r>
      <w:r>
        <w:t>W</w:t>
      </w:r>
      <w:r w:rsidRPr="00AC7259">
        <w:t xml:space="preserve">ine cabinets, chocolate cabinets and other ‘special’ temperatures must then comply with the relevant MEPS levels.  Specific mention is made of ‘wine STORAGE applications’ (emphasis added) being </w:t>
      </w:r>
      <w:r w:rsidRPr="00AC7259">
        <w:rPr>
          <w:i/>
        </w:rPr>
        <w:t>excluded</w:t>
      </w:r>
      <w:r w:rsidRPr="00AC7259">
        <w:t xml:space="preserve"> from the draft </w:t>
      </w:r>
      <w:r w:rsidRPr="00AC7259">
        <w:rPr>
          <w:i/>
        </w:rPr>
        <w:t>display</w:t>
      </w:r>
      <w:r w:rsidRPr="00AC7259">
        <w:t xml:space="preserve"> cabinet EC regulations however these are specifically captured in the </w:t>
      </w:r>
      <w:r w:rsidRPr="00AC7259">
        <w:rPr>
          <w:i/>
        </w:rPr>
        <w:t>storage cabinet</w:t>
      </w:r>
      <w:r w:rsidRPr="00AC7259">
        <w:t xml:space="preserve"> standard (classified as cabinets containing ‘foodstuffs’. The definition of ‘foodstuffs’ specifically includes wine).</w:t>
      </w:r>
    </w:p>
    <w:p w14:paraId="2CCF2457" w14:textId="6A59E3A9" w:rsidR="006F5C60" w:rsidRPr="0093439C" w:rsidRDefault="006F5C60" w:rsidP="00317405">
      <w:pPr>
        <w:pStyle w:val="E3Heading4"/>
      </w:pPr>
      <w:bookmarkStart w:id="560" w:name="_Toc295033289"/>
      <w:r w:rsidRPr="0093439C">
        <w:t>Cabinets with non-standard storage temperatures</w:t>
      </w:r>
      <w:bookmarkEnd w:id="560"/>
    </w:p>
    <w:p w14:paraId="21B1D774" w14:textId="77777777" w:rsidR="006F5C60" w:rsidRPr="00AC7259" w:rsidRDefault="006F5C60" w:rsidP="00907A99">
      <w:pPr>
        <w:spacing w:after="0"/>
        <w:jc w:val="both"/>
        <w:rPr>
          <w:sz w:val="24"/>
        </w:rPr>
      </w:pPr>
      <w:r w:rsidRPr="00AC7259">
        <w:rPr>
          <w:sz w:val="24"/>
        </w:rPr>
        <w:t>Cabinets can be split into two broad operating temperature classes, those with mean storage temperatures:</w:t>
      </w:r>
    </w:p>
    <w:p w14:paraId="3EA3394F" w14:textId="77777777" w:rsidR="006F5C60" w:rsidRPr="00AC7259" w:rsidRDefault="006F5C60" w:rsidP="00DD102F">
      <w:pPr>
        <w:pStyle w:val="E3SubSubBullets"/>
      </w:pPr>
      <w:r w:rsidRPr="00AC7259">
        <w:t xml:space="preserve">Below zero, or low temperature cabinets such as freezers; and </w:t>
      </w:r>
    </w:p>
    <w:p w14:paraId="16DA6012" w14:textId="77777777" w:rsidR="006F5C60" w:rsidRPr="00AC7259" w:rsidRDefault="006F5C60" w:rsidP="00DD102F">
      <w:pPr>
        <w:pStyle w:val="E3SubSubBullets"/>
      </w:pPr>
      <w:r w:rsidRPr="00AC7259">
        <w:t>Above zero, or medium temperature cabinets such as chillers and refrigerators.</w:t>
      </w:r>
    </w:p>
    <w:p w14:paraId="52A45A3F" w14:textId="77777777" w:rsidR="006F5C60" w:rsidRPr="00AC7259" w:rsidRDefault="006F5C60" w:rsidP="006F5C60">
      <w:pPr>
        <w:jc w:val="both"/>
        <w:rPr>
          <w:sz w:val="24"/>
        </w:rPr>
      </w:pPr>
      <w:r w:rsidRPr="00AC7259">
        <w:rPr>
          <w:sz w:val="24"/>
        </w:rPr>
        <w:t xml:space="preserve">Grouping commercial refrigeration products into several broader classifications rather than a multitude of specific types and sub-type means there is less scope for cabinets to be excluded because they may not exactly fit a specific definition or sub-type. </w:t>
      </w:r>
    </w:p>
    <w:p w14:paraId="0626F636" w14:textId="77777777" w:rsidR="006F5C60" w:rsidRPr="00AC7259" w:rsidRDefault="006F5C60" w:rsidP="006F5C60">
      <w:pPr>
        <w:jc w:val="both"/>
        <w:rPr>
          <w:sz w:val="24"/>
        </w:rPr>
      </w:pPr>
      <w:r w:rsidRPr="00AC7259">
        <w:rPr>
          <w:sz w:val="24"/>
        </w:rPr>
        <w:t>Specific cabinets with “non-standard” product storage temperatures such as those intended to store chocolate or wine can be included in the broad group with mean storage temperatures above zero.</w:t>
      </w:r>
    </w:p>
    <w:p w14:paraId="1FC0287F" w14:textId="77777777" w:rsidR="006F5C60" w:rsidRPr="00AC7259" w:rsidRDefault="006F5C60" w:rsidP="006F5C60">
      <w:pPr>
        <w:jc w:val="both"/>
        <w:rPr>
          <w:sz w:val="24"/>
        </w:rPr>
      </w:pPr>
      <w:r w:rsidRPr="00AC7259">
        <w:rPr>
          <w:sz w:val="24"/>
        </w:rPr>
        <w:t>Currently AS 1731 specifies MEPS levels for storage temperature classes L1, L2, M1 and M2 for integral cabinets but not for remote cabinets. Irrespective of the temperature class of a remote cabinet it is assumed that the MEPS level will apply to all the medium temperature classes and to all the low temperatures classes.</w:t>
      </w:r>
    </w:p>
    <w:p w14:paraId="29DE506D" w14:textId="77777777" w:rsidR="006F5C60" w:rsidRPr="00AC7259" w:rsidRDefault="006F5C60" w:rsidP="006F5C60">
      <w:pPr>
        <w:jc w:val="both"/>
        <w:rPr>
          <w:sz w:val="24"/>
        </w:rPr>
      </w:pPr>
      <w:r w:rsidRPr="00AC7259">
        <w:rPr>
          <w:sz w:val="24"/>
        </w:rPr>
        <w:t>Thus cabinets falling outside of these temperature ranges or those that do not fall within the definitions of the various sub-types are not subject to maximum energy consumption limits.</w:t>
      </w:r>
    </w:p>
    <w:p w14:paraId="50C03997" w14:textId="77777777" w:rsidR="006F5C60" w:rsidRPr="00AC7259" w:rsidRDefault="006F5C60" w:rsidP="006F5C60">
      <w:pPr>
        <w:jc w:val="both"/>
        <w:rPr>
          <w:sz w:val="24"/>
        </w:rPr>
      </w:pPr>
      <w:r w:rsidRPr="00AC7259">
        <w:rPr>
          <w:sz w:val="24"/>
        </w:rPr>
        <w:t>However a refrigerated cabinet intended to store and display wine is a refrigerated cabinet with a mean storage temperature above zero and therefore should be included in this grouping, although they may need to be subject to a specific definition and modified test requirements.</w:t>
      </w:r>
    </w:p>
    <w:p w14:paraId="16B7C858" w14:textId="40AB3EDD" w:rsidR="006F5C60" w:rsidRPr="00AC7259" w:rsidRDefault="006F5C60" w:rsidP="006F5C60">
      <w:pPr>
        <w:jc w:val="both"/>
        <w:rPr>
          <w:sz w:val="24"/>
        </w:rPr>
      </w:pPr>
      <w:r w:rsidRPr="00AC7259">
        <w:rPr>
          <w:sz w:val="24"/>
        </w:rPr>
        <w:t xml:space="preserve">The performance standard for household refrigerating appliances AS/NZS 4474 incorporates very specific requirements in Clause 1.3.18 (e) covering the definition of cabinets specifically designed exclusively for the storage and/or long term maturation of wine. This includes the ability to keep products above the ambient temperature if such circumstances occur, maintain temperatures within a 0.5 K tolerance, control of humidity </w:t>
      </w:r>
      <w:r w:rsidRPr="00AC7259">
        <w:rPr>
          <w:sz w:val="24"/>
        </w:rPr>
        <w:lastRenderedPageBreak/>
        <w:t>and construction to reduce vibration.</w:t>
      </w:r>
      <w:r w:rsidR="00907A99">
        <w:rPr>
          <w:sz w:val="24"/>
        </w:rPr>
        <w:t xml:space="preserve"> </w:t>
      </w:r>
      <w:r w:rsidRPr="00AC7259">
        <w:rPr>
          <w:sz w:val="24"/>
        </w:rPr>
        <w:t>While cabinets or compartments meeting this criteria are specifically excluded by the scope of this particular performance standard, household refrigerating appliances that may be used to store wine are still covered by this standard, although when tested do not have to meet all of the test requirements.</w:t>
      </w:r>
    </w:p>
    <w:p w14:paraId="238D890D" w14:textId="77777777" w:rsidR="006F5C60" w:rsidRPr="00AC7259" w:rsidRDefault="006F5C60" w:rsidP="006F5C60">
      <w:pPr>
        <w:jc w:val="both"/>
        <w:rPr>
          <w:sz w:val="24"/>
        </w:rPr>
      </w:pPr>
      <w:r w:rsidRPr="00AC7259">
        <w:rPr>
          <w:sz w:val="24"/>
        </w:rPr>
        <w:t>In terms of refrigeration capacity a refrigerating appliance, such as a wine cabinet, storing product at temperatures above that required for the normal safe storage of foodstuffs, would be less demanding than a cabinet storing product at safe storage temperatures and therefore would have a lower daily energy consumption requirement.</w:t>
      </w:r>
    </w:p>
    <w:p w14:paraId="07CF6A3A" w14:textId="77777777" w:rsidR="006F5C60" w:rsidRPr="00AC7259" w:rsidRDefault="006F5C60" w:rsidP="006F5C60">
      <w:pPr>
        <w:jc w:val="both"/>
        <w:rPr>
          <w:sz w:val="24"/>
        </w:rPr>
      </w:pPr>
      <w:r w:rsidRPr="00AC7259">
        <w:rPr>
          <w:sz w:val="24"/>
        </w:rPr>
        <w:t>Such cabinets would, without doubt, meet any universal minimum energy performance standards applied to commercial refrigerating appliances intended for operation at mean storage temperature above zero, should undergo testing at the intended storage temperature, and apart from an exclusion from meeting the door opening requirements, be subject to regulation, without exception.</w:t>
      </w:r>
    </w:p>
    <w:p w14:paraId="3B2AF6E2" w14:textId="74E41ED3" w:rsidR="006F5C60" w:rsidRPr="00293D1C" w:rsidRDefault="006F5C60" w:rsidP="006F5C60">
      <w:pPr>
        <w:jc w:val="both"/>
        <w:rPr>
          <w:b/>
          <w:sz w:val="24"/>
        </w:rPr>
      </w:pPr>
      <w:r w:rsidRPr="00AC7259">
        <w:rPr>
          <w:sz w:val="24"/>
        </w:rPr>
        <w:t xml:space="preserve">Basically an all-encompassing structure should be used to apply minimum efficiency levels to all commercial refrigerating appliances regardless of storage temperature. The basic structure of the European combined group classification is shown </w:t>
      </w:r>
      <w:r>
        <w:rPr>
          <w:sz w:val="24"/>
        </w:rPr>
        <w:t xml:space="preserve">by </w:t>
      </w:r>
      <w:r w:rsidRPr="00AC7259">
        <w:rPr>
          <w:b/>
          <w:sz w:val="24"/>
        </w:rPr>
        <w:fldChar w:fldCharType="begin"/>
      </w:r>
      <w:r w:rsidRPr="00AC7259">
        <w:rPr>
          <w:b/>
          <w:sz w:val="24"/>
        </w:rPr>
        <w:instrText xml:space="preserve"> REF _Ref449963900 \h  \* MERGEFORMAT </w:instrText>
      </w:r>
      <w:r w:rsidRPr="00AC7259">
        <w:rPr>
          <w:b/>
          <w:sz w:val="24"/>
        </w:rPr>
      </w:r>
      <w:r w:rsidRPr="00AC7259">
        <w:rPr>
          <w:b/>
          <w:sz w:val="24"/>
        </w:rPr>
        <w:fldChar w:fldCharType="separate"/>
      </w:r>
      <w:r w:rsidR="00D51B4B" w:rsidRPr="00D51B4B">
        <w:rPr>
          <w:b/>
          <w:noProof/>
          <w:sz w:val="24"/>
        </w:rPr>
        <w:t>Table</w:t>
      </w:r>
      <w:r w:rsidR="00D51B4B" w:rsidRPr="00D51B4B">
        <w:rPr>
          <w:sz w:val="24"/>
        </w:rPr>
        <w:t xml:space="preserve"> </w:t>
      </w:r>
      <w:r w:rsidR="00D51B4B" w:rsidRPr="00D51B4B">
        <w:rPr>
          <w:b/>
          <w:sz w:val="24"/>
        </w:rPr>
        <w:t>10</w:t>
      </w:r>
      <w:r w:rsidRPr="00AC7259">
        <w:rPr>
          <w:b/>
          <w:sz w:val="24"/>
        </w:rPr>
        <w:fldChar w:fldCharType="end"/>
      </w:r>
      <w:r w:rsidRPr="00AC7259">
        <w:rPr>
          <w:sz w:val="24"/>
        </w:rPr>
        <w:t xml:space="preserve"> below.</w:t>
      </w:r>
    </w:p>
    <w:p w14:paraId="7A4DFE56" w14:textId="76B71CF9" w:rsidR="006F5C60" w:rsidRPr="00BD78D5" w:rsidRDefault="006F5C60" w:rsidP="006F5C60">
      <w:pPr>
        <w:pStyle w:val="E3TableTitles"/>
        <w:spacing w:before="240"/>
      </w:pPr>
      <w:bookmarkStart w:id="561" w:name="_Ref449963900"/>
      <w:bookmarkStart w:id="562" w:name="_Toc449708966"/>
      <w:bookmarkStart w:id="563" w:name="_Toc449968530"/>
      <w:bookmarkStart w:id="564" w:name="_Toc494142468"/>
      <w:bookmarkStart w:id="565" w:name="_Toc500159688"/>
      <w:r>
        <w:t xml:space="preserve">Table </w:t>
      </w:r>
      <w:r>
        <w:fldChar w:fldCharType="begin"/>
      </w:r>
      <w:r>
        <w:instrText xml:space="preserve"> SEQ Table \* ARABIC </w:instrText>
      </w:r>
      <w:r>
        <w:fldChar w:fldCharType="separate"/>
      </w:r>
      <w:r w:rsidR="00D51B4B">
        <w:rPr>
          <w:noProof/>
        </w:rPr>
        <w:t>10</w:t>
      </w:r>
      <w:r>
        <w:rPr>
          <w:noProof/>
        </w:rPr>
        <w:fldChar w:fldCharType="end"/>
      </w:r>
      <w:bookmarkEnd w:id="561"/>
      <w:r w:rsidRPr="00431E1B">
        <w:t xml:space="preserve">: </w:t>
      </w:r>
      <w:r>
        <w:t xml:space="preserve">Summary structure of EU </w:t>
      </w:r>
      <w:r w:rsidRPr="004F1B85">
        <w:t>combined group classification</w:t>
      </w:r>
      <w:r>
        <w:t>s</w:t>
      </w:r>
      <w:r w:rsidRPr="00431E1B">
        <w:t>.</w:t>
      </w:r>
      <w:bookmarkEnd w:id="562"/>
      <w:bookmarkEnd w:id="563"/>
      <w:bookmarkEnd w:id="564"/>
      <w:bookmarkEnd w:id="565"/>
    </w:p>
    <w:tbl>
      <w:tblPr>
        <w:tblStyle w:val="TableGrid"/>
        <w:tblW w:w="9639" w:type="dxa"/>
        <w:tblInd w:w="108" w:type="dxa"/>
        <w:tblLayout w:type="fixed"/>
        <w:tblLook w:val="04A0" w:firstRow="1" w:lastRow="0" w:firstColumn="1" w:lastColumn="0" w:noHBand="0" w:noVBand="1"/>
        <w:tblCaption w:val="proposed groups of cabinets according to European classifications"/>
        <w:tblDescription w:val="Structure of EU classification of refrigerated display cabinets"/>
      </w:tblPr>
      <w:tblGrid>
        <w:gridCol w:w="993"/>
        <w:gridCol w:w="708"/>
        <w:gridCol w:w="999"/>
        <w:gridCol w:w="1080"/>
        <w:gridCol w:w="1080"/>
        <w:gridCol w:w="900"/>
        <w:gridCol w:w="900"/>
        <w:gridCol w:w="720"/>
        <w:gridCol w:w="900"/>
        <w:gridCol w:w="1359"/>
      </w:tblGrid>
      <w:tr w:rsidR="006F5C60" w:rsidRPr="00BE74AD" w14:paraId="78B9D560" w14:textId="77777777" w:rsidTr="006F5C60">
        <w:trPr>
          <w:trHeight w:val="782"/>
          <w:tblHeader/>
        </w:trPr>
        <w:tc>
          <w:tcPr>
            <w:tcW w:w="486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1D2318F6" w14:textId="77777777" w:rsidR="006F5C60" w:rsidRPr="00BE74AD" w:rsidRDefault="006F5C60" w:rsidP="006F5C60">
            <w:pPr>
              <w:pStyle w:val="E3TableHeading"/>
              <w:jc w:val="center"/>
              <w:rPr>
                <w:szCs w:val="15"/>
              </w:rPr>
            </w:pPr>
            <w:r w:rsidRPr="00BE74AD">
              <w:rPr>
                <w:szCs w:val="15"/>
              </w:rPr>
              <w:t>Medium Temperature (Refrigerators)</w:t>
            </w:r>
          </w:p>
          <w:p w14:paraId="6681689C" w14:textId="77777777" w:rsidR="006F5C60" w:rsidRPr="00BE74AD" w:rsidRDefault="006F5C60" w:rsidP="006F5C60">
            <w:pPr>
              <w:pStyle w:val="E3TableHeading"/>
              <w:jc w:val="center"/>
              <w:rPr>
                <w:szCs w:val="15"/>
              </w:rPr>
            </w:pPr>
            <w:r w:rsidRPr="00BE74AD">
              <w:rPr>
                <w:szCs w:val="15"/>
              </w:rPr>
              <w:t>Mean storage temperature above 0</w:t>
            </w:r>
            <w:r w:rsidRPr="00BE74AD">
              <w:rPr>
                <w:szCs w:val="15"/>
                <w:vertAlign w:val="superscript"/>
              </w:rPr>
              <w:t>o</w:t>
            </w:r>
            <w:r w:rsidRPr="00BE74AD">
              <w:rPr>
                <w:szCs w:val="15"/>
              </w:rPr>
              <w:t>C</w:t>
            </w:r>
          </w:p>
          <w:p w14:paraId="0D97214F" w14:textId="77777777" w:rsidR="006F5C60" w:rsidRPr="00BE74AD" w:rsidRDefault="006F5C60" w:rsidP="006F5C60">
            <w:pPr>
              <w:pStyle w:val="E3TableHeading"/>
              <w:jc w:val="center"/>
              <w:rPr>
                <w:szCs w:val="15"/>
              </w:rPr>
            </w:pPr>
            <w:r w:rsidRPr="00BE74AD">
              <w:rPr>
                <w:szCs w:val="15"/>
              </w:rPr>
              <w:t>Class  M, M0, M1, M2, H1, H2, S</w:t>
            </w:r>
          </w:p>
        </w:tc>
        <w:tc>
          <w:tcPr>
            <w:tcW w:w="477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79E5981B" w14:textId="77777777" w:rsidR="006F5C60" w:rsidRPr="00BE74AD" w:rsidRDefault="006F5C60" w:rsidP="006F5C60">
            <w:pPr>
              <w:pStyle w:val="E3TableHeading"/>
              <w:jc w:val="center"/>
              <w:rPr>
                <w:szCs w:val="15"/>
              </w:rPr>
            </w:pPr>
            <w:r w:rsidRPr="00BE74AD">
              <w:rPr>
                <w:szCs w:val="15"/>
              </w:rPr>
              <w:t>Low temperature (Freezers)</w:t>
            </w:r>
          </w:p>
          <w:p w14:paraId="78093DCA" w14:textId="77777777" w:rsidR="006F5C60" w:rsidRPr="00BE74AD" w:rsidRDefault="006F5C60" w:rsidP="006F5C60">
            <w:pPr>
              <w:pStyle w:val="E3TableHeading"/>
              <w:jc w:val="center"/>
              <w:rPr>
                <w:szCs w:val="15"/>
              </w:rPr>
            </w:pPr>
            <w:r w:rsidRPr="00BE74AD">
              <w:rPr>
                <w:szCs w:val="15"/>
              </w:rPr>
              <w:t>Mean storage temperature below 0</w:t>
            </w:r>
            <w:r w:rsidRPr="00BE74AD">
              <w:rPr>
                <w:szCs w:val="15"/>
                <w:vertAlign w:val="superscript"/>
              </w:rPr>
              <w:t>o</w:t>
            </w:r>
            <w:r w:rsidRPr="00BE74AD">
              <w:rPr>
                <w:szCs w:val="15"/>
              </w:rPr>
              <w:t>C</w:t>
            </w:r>
          </w:p>
          <w:p w14:paraId="15946380" w14:textId="77777777" w:rsidR="006F5C60" w:rsidRPr="00BE74AD" w:rsidRDefault="006F5C60" w:rsidP="006F5C60">
            <w:pPr>
              <w:pStyle w:val="E3TableHeading"/>
              <w:jc w:val="center"/>
              <w:rPr>
                <w:szCs w:val="15"/>
              </w:rPr>
            </w:pPr>
            <w:r w:rsidRPr="00BE74AD">
              <w:rPr>
                <w:szCs w:val="15"/>
              </w:rPr>
              <w:t>Class  L1, L2, L3</w:t>
            </w:r>
          </w:p>
        </w:tc>
      </w:tr>
      <w:tr w:rsidR="006F5C60" w:rsidRPr="00BE74AD" w14:paraId="041F4117" w14:textId="77777777" w:rsidTr="006F5C60">
        <w:trPr>
          <w:trHeight w:val="468"/>
        </w:trPr>
        <w:tc>
          <w:tcPr>
            <w:tcW w:w="2700" w:type="dxa"/>
            <w:gridSpan w:val="3"/>
            <w:tcBorders>
              <w:top w:val="single" w:sz="4" w:space="0" w:color="FFFFFF" w:themeColor="background1"/>
            </w:tcBorders>
            <w:vAlign w:val="center"/>
          </w:tcPr>
          <w:p w14:paraId="0C3BC6B4" w14:textId="77777777" w:rsidR="006F5C60" w:rsidRPr="0093439C" w:rsidRDefault="006F5C60" w:rsidP="006F5C60">
            <w:pPr>
              <w:pStyle w:val="E3tabletext1"/>
              <w:rPr>
                <w:rFonts w:ascii="Helvetica" w:hAnsi="Helvetica" w:cs="Helvetica"/>
              </w:rPr>
            </w:pPr>
            <w:r w:rsidRPr="0093439C">
              <w:rPr>
                <w:rFonts w:ascii="Helvetica" w:hAnsi="Helvetica" w:cs="Helvetica"/>
              </w:rPr>
              <w:t>Display cabinets</w:t>
            </w:r>
          </w:p>
        </w:tc>
        <w:tc>
          <w:tcPr>
            <w:tcW w:w="2160" w:type="dxa"/>
            <w:gridSpan w:val="2"/>
            <w:tcBorders>
              <w:top w:val="single" w:sz="4" w:space="0" w:color="FFFFFF" w:themeColor="background1"/>
            </w:tcBorders>
            <w:vAlign w:val="center"/>
          </w:tcPr>
          <w:p w14:paraId="6C42A08F" w14:textId="77777777" w:rsidR="006F5C60" w:rsidRPr="0093439C" w:rsidRDefault="006F5C60" w:rsidP="006F5C60">
            <w:pPr>
              <w:pStyle w:val="E3tabletext1"/>
              <w:rPr>
                <w:rFonts w:ascii="Helvetica" w:hAnsi="Helvetica" w:cs="Helvetica"/>
              </w:rPr>
            </w:pPr>
            <w:r w:rsidRPr="0093439C">
              <w:rPr>
                <w:rFonts w:ascii="Helvetica" w:hAnsi="Helvetica" w:cs="Helvetica"/>
              </w:rPr>
              <w:t>Storage cabinets</w:t>
            </w:r>
          </w:p>
        </w:tc>
        <w:tc>
          <w:tcPr>
            <w:tcW w:w="2520" w:type="dxa"/>
            <w:gridSpan w:val="3"/>
            <w:tcBorders>
              <w:top w:val="single" w:sz="4" w:space="0" w:color="FFFFFF" w:themeColor="background1"/>
            </w:tcBorders>
            <w:vAlign w:val="center"/>
          </w:tcPr>
          <w:p w14:paraId="53167E7E" w14:textId="77777777" w:rsidR="006F5C60" w:rsidRPr="0093439C" w:rsidRDefault="006F5C60" w:rsidP="006F5C60">
            <w:pPr>
              <w:pStyle w:val="E3tabletext1"/>
              <w:rPr>
                <w:rFonts w:ascii="Helvetica" w:hAnsi="Helvetica" w:cs="Helvetica"/>
              </w:rPr>
            </w:pPr>
            <w:r w:rsidRPr="0093439C">
              <w:rPr>
                <w:rFonts w:ascii="Helvetica" w:hAnsi="Helvetica" w:cs="Helvetica"/>
              </w:rPr>
              <w:t>Display cabinets</w:t>
            </w:r>
          </w:p>
        </w:tc>
        <w:tc>
          <w:tcPr>
            <w:tcW w:w="2259" w:type="dxa"/>
            <w:gridSpan w:val="2"/>
            <w:tcBorders>
              <w:top w:val="single" w:sz="4" w:space="0" w:color="FFFFFF" w:themeColor="background1"/>
            </w:tcBorders>
            <w:vAlign w:val="center"/>
          </w:tcPr>
          <w:p w14:paraId="20FF7B05" w14:textId="77777777" w:rsidR="006F5C60" w:rsidRPr="0093439C" w:rsidRDefault="006F5C60" w:rsidP="006F5C60">
            <w:pPr>
              <w:pStyle w:val="E3tabletext1"/>
              <w:rPr>
                <w:rFonts w:ascii="Helvetica" w:hAnsi="Helvetica" w:cs="Helvetica"/>
              </w:rPr>
            </w:pPr>
            <w:r w:rsidRPr="0093439C">
              <w:rPr>
                <w:rFonts w:ascii="Helvetica" w:hAnsi="Helvetica" w:cs="Helvetica"/>
              </w:rPr>
              <w:t>Storage cabinets</w:t>
            </w:r>
          </w:p>
        </w:tc>
      </w:tr>
      <w:tr w:rsidR="006F5C60" w:rsidRPr="00BE74AD" w14:paraId="2408E2D8" w14:textId="77777777" w:rsidTr="006F5C60">
        <w:trPr>
          <w:trHeight w:val="518"/>
        </w:trPr>
        <w:tc>
          <w:tcPr>
            <w:tcW w:w="1701" w:type="dxa"/>
            <w:gridSpan w:val="2"/>
            <w:vAlign w:val="center"/>
          </w:tcPr>
          <w:p w14:paraId="3E10D3C4" w14:textId="77777777" w:rsidR="006F5C60" w:rsidRPr="0093439C" w:rsidRDefault="006F5C60" w:rsidP="006F5C60">
            <w:pPr>
              <w:pStyle w:val="E3tabletext1"/>
              <w:rPr>
                <w:rFonts w:ascii="Helvetica" w:hAnsi="Helvetica" w:cs="Helvetica"/>
              </w:rPr>
            </w:pPr>
            <w:r w:rsidRPr="0093439C">
              <w:rPr>
                <w:rFonts w:ascii="Helvetica" w:hAnsi="Helvetica" w:cs="Helvetica"/>
              </w:rPr>
              <w:t>Vertical</w:t>
            </w:r>
          </w:p>
        </w:tc>
        <w:tc>
          <w:tcPr>
            <w:tcW w:w="999" w:type="dxa"/>
            <w:vMerge w:val="restart"/>
            <w:vAlign w:val="center"/>
          </w:tcPr>
          <w:p w14:paraId="2698D9D3" w14:textId="77777777" w:rsidR="006F5C60" w:rsidRPr="0093439C" w:rsidRDefault="006F5C60" w:rsidP="006F5C60">
            <w:pPr>
              <w:pStyle w:val="E3tabletext1"/>
              <w:rPr>
                <w:rFonts w:ascii="Helvetica" w:hAnsi="Helvetica" w:cs="Helvetica"/>
              </w:rPr>
            </w:pPr>
            <w:r w:rsidRPr="0093439C">
              <w:rPr>
                <w:rFonts w:ascii="Helvetica" w:hAnsi="Helvetica" w:cs="Helvetica"/>
              </w:rPr>
              <w:t>Horizontal</w:t>
            </w:r>
          </w:p>
        </w:tc>
        <w:tc>
          <w:tcPr>
            <w:tcW w:w="1080" w:type="dxa"/>
            <w:vMerge w:val="restart"/>
            <w:vAlign w:val="center"/>
          </w:tcPr>
          <w:p w14:paraId="50E94267" w14:textId="77777777" w:rsidR="006F5C60" w:rsidRPr="0093439C" w:rsidRDefault="006F5C60" w:rsidP="006F5C60">
            <w:pPr>
              <w:pStyle w:val="E3tabletext1"/>
              <w:rPr>
                <w:rFonts w:ascii="Helvetica" w:hAnsi="Helvetica" w:cs="Helvetica"/>
              </w:rPr>
            </w:pPr>
            <w:r w:rsidRPr="0093439C">
              <w:rPr>
                <w:rFonts w:ascii="Helvetica" w:hAnsi="Helvetica" w:cs="Helvetica"/>
              </w:rPr>
              <w:t>Vertical</w:t>
            </w:r>
          </w:p>
        </w:tc>
        <w:tc>
          <w:tcPr>
            <w:tcW w:w="1080" w:type="dxa"/>
            <w:vMerge w:val="restart"/>
            <w:vAlign w:val="center"/>
          </w:tcPr>
          <w:p w14:paraId="1FA53F96" w14:textId="77777777" w:rsidR="006F5C60" w:rsidRPr="0093439C" w:rsidRDefault="006F5C60" w:rsidP="006F5C60">
            <w:pPr>
              <w:pStyle w:val="E3tabletext1"/>
              <w:rPr>
                <w:rFonts w:ascii="Helvetica" w:hAnsi="Helvetica" w:cs="Helvetica"/>
              </w:rPr>
            </w:pPr>
            <w:r w:rsidRPr="0093439C">
              <w:rPr>
                <w:rFonts w:ascii="Helvetica" w:hAnsi="Helvetica" w:cs="Helvetica"/>
              </w:rPr>
              <w:t>Horizontal</w:t>
            </w:r>
          </w:p>
        </w:tc>
        <w:tc>
          <w:tcPr>
            <w:tcW w:w="900" w:type="dxa"/>
            <w:vMerge w:val="restart"/>
            <w:vAlign w:val="center"/>
          </w:tcPr>
          <w:p w14:paraId="218532FD" w14:textId="77777777" w:rsidR="006F5C60" w:rsidRPr="0093439C" w:rsidRDefault="006F5C60" w:rsidP="006F5C60">
            <w:pPr>
              <w:pStyle w:val="E3tabletext1"/>
              <w:rPr>
                <w:rFonts w:ascii="Helvetica" w:hAnsi="Helvetica" w:cs="Helvetica"/>
              </w:rPr>
            </w:pPr>
            <w:r w:rsidRPr="0093439C">
              <w:rPr>
                <w:rFonts w:ascii="Helvetica" w:hAnsi="Helvetica" w:cs="Helvetica"/>
              </w:rPr>
              <w:t>Vertical</w:t>
            </w:r>
          </w:p>
        </w:tc>
        <w:tc>
          <w:tcPr>
            <w:tcW w:w="1620" w:type="dxa"/>
            <w:gridSpan w:val="2"/>
            <w:vAlign w:val="center"/>
          </w:tcPr>
          <w:p w14:paraId="0E01D10E" w14:textId="77777777" w:rsidR="006F5C60" w:rsidRPr="0093439C" w:rsidRDefault="006F5C60" w:rsidP="006F5C60">
            <w:pPr>
              <w:pStyle w:val="E3tabletext1"/>
              <w:rPr>
                <w:rFonts w:ascii="Helvetica" w:hAnsi="Helvetica" w:cs="Helvetica"/>
              </w:rPr>
            </w:pPr>
            <w:r w:rsidRPr="0093439C">
              <w:rPr>
                <w:rFonts w:ascii="Helvetica" w:hAnsi="Helvetica" w:cs="Helvetica"/>
              </w:rPr>
              <w:t>Horizontal</w:t>
            </w:r>
          </w:p>
        </w:tc>
        <w:tc>
          <w:tcPr>
            <w:tcW w:w="900" w:type="dxa"/>
            <w:vMerge w:val="restart"/>
            <w:vAlign w:val="center"/>
          </w:tcPr>
          <w:p w14:paraId="76BDC1F3" w14:textId="77777777" w:rsidR="006F5C60" w:rsidRPr="0093439C" w:rsidRDefault="006F5C60" w:rsidP="006F5C60">
            <w:pPr>
              <w:pStyle w:val="E3tabletext1"/>
              <w:rPr>
                <w:rFonts w:ascii="Helvetica" w:hAnsi="Helvetica" w:cs="Helvetica"/>
              </w:rPr>
            </w:pPr>
            <w:r w:rsidRPr="0093439C">
              <w:rPr>
                <w:rFonts w:ascii="Helvetica" w:hAnsi="Helvetica" w:cs="Helvetica"/>
              </w:rPr>
              <w:t>Vertical</w:t>
            </w:r>
          </w:p>
        </w:tc>
        <w:tc>
          <w:tcPr>
            <w:tcW w:w="1359" w:type="dxa"/>
            <w:vMerge w:val="restart"/>
            <w:vAlign w:val="center"/>
          </w:tcPr>
          <w:p w14:paraId="68C68C7F" w14:textId="77777777" w:rsidR="006F5C60" w:rsidRPr="0093439C" w:rsidRDefault="006F5C60" w:rsidP="006F5C60">
            <w:pPr>
              <w:pStyle w:val="E3tabletext1"/>
              <w:rPr>
                <w:rFonts w:ascii="Helvetica" w:hAnsi="Helvetica" w:cs="Helvetica"/>
              </w:rPr>
            </w:pPr>
            <w:r w:rsidRPr="0093439C">
              <w:rPr>
                <w:rFonts w:ascii="Helvetica" w:hAnsi="Helvetica" w:cs="Helvetica"/>
              </w:rPr>
              <w:t>Horizontal</w:t>
            </w:r>
          </w:p>
        </w:tc>
      </w:tr>
      <w:tr w:rsidR="006F5C60" w:rsidRPr="00BE74AD" w14:paraId="17A7FDC4" w14:textId="77777777" w:rsidTr="006F5C60">
        <w:trPr>
          <w:trHeight w:val="540"/>
        </w:trPr>
        <w:tc>
          <w:tcPr>
            <w:tcW w:w="993" w:type="dxa"/>
            <w:vAlign w:val="center"/>
          </w:tcPr>
          <w:p w14:paraId="03F331DE" w14:textId="77777777" w:rsidR="006F5C60" w:rsidRPr="0093439C" w:rsidRDefault="006F5C60" w:rsidP="006F5C60">
            <w:pPr>
              <w:pStyle w:val="E3tabletext1"/>
              <w:rPr>
                <w:rFonts w:ascii="Helvetica" w:hAnsi="Helvetica" w:cs="Helvetica"/>
              </w:rPr>
            </w:pPr>
            <w:r w:rsidRPr="0093439C">
              <w:rPr>
                <w:rFonts w:ascii="Helvetica" w:hAnsi="Helvetica" w:cs="Helvetica"/>
              </w:rPr>
              <w:t>Beverage</w:t>
            </w:r>
          </w:p>
        </w:tc>
        <w:tc>
          <w:tcPr>
            <w:tcW w:w="708" w:type="dxa"/>
            <w:vAlign w:val="center"/>
          </w:tcPr>
          <w:p w14:paraId="23CCCA5F" w14:textId="77777777" w:rsidR="006F5C60" w:rsidRPr="0093439C" w:rsidRDefault="006F5C60" w:rsidP="006F5C60">
            <w:pPr>
              <w:pStyle w:val="E3tabletext1"/>
              <w:rPr>
                <w:rFonts w:ascii="Helvetica" w:hAnsi="Helvetica" w:cs="Helvetica"/>
              </w:rPr>
            </w:pPr>
            <w:r w:rsidRPr="0093439C">
              <w:rPr>
                <w:rFonts w:ascii="Helvetica" w:hAnsi="Helvetica" w:cs="Helvetica"/>
              </w:rPr>
              <w:t>Others</w:t>
            </w:r>
          </w:p>
        </w:tc>
        <w:tc>
          <w:tcPr>
            <w:tcW w:w="999" w:type="dxa"/>
            <w:vMerge/>
            <w:vAlign w:val="center"/>
          </w:tcPr>
          <w:p w14:paraId="027C6540" w14:textId="77777777" w:rsidR="006F5C60" w:rsidRPr="0093439C" w:rsidRDefault="006F5C60" w:rsidP="006F5C60">
            <w:pPr>
              <w:pStyle w:val="E3tabletext1"/>
              <w:rPr>
                <w:rFonts w:ascii="Helvetica" w:hAnsi="Helvetica" w:cs="Helvetica"/>
              </w:rPr>
            </w:pPr>
          </w:p>
        </w:tc>
        <w:tc>
          <w:tcPr>
            <w:tcW w:w="1080" w:type="dxa"/>
            <w:vMerge/>
            <w:vAlign w:val="center"/>
          </w:tcPr>
          <w:p w14:paraId="7944E758" w14:textId="77777777" w:rsidR="006F5C60" w:rsidRPr="0093439C" w:rsidRDefault="006F5C60" w:rsidP="006F5C60">
            <w:pPr>
              <w:pStyle w:val="E3tabletext1"/>
              <w:rPr>
                <w:rFonts w:ascii="Helvetica" w:hAnsi="Helvetica" w:cs="Helvetica"/>
              </w:rPr>
            </w:pPr>
          </w:p>
        </w:tc>
        <w:tc>
          <w:tcPr>
            <w:tcW w:w="1080" w:type="dxa"/>
            <w:vMerge/>
            <w:vAlign w:val="center"/>
          </w:tcPr>
          <w:p w14:paraId="636C036B" w14:textId="77777777" w:rsidR="006F5C60" w:rsidRPr="0093439C" w:rsidRDefault="006F5C60" w:rsidP="006F5C60">
            <w:pPr>
              <w:pStyle w:val="E3tabletext1"/>
              <w:rPr>
                <w:rFonts w:ascii="Helvetica" w:hAnsi="Helvetica" w:cs="Helvetica"/>
              </w:rPr>
            </w:pPr>
          </w:p>
        </w:tc>
        <w:tc>
          <w:tcPr>
            <w:tcW w:w="900" w:type="dxa"/>
            <w:vMerge/>
            <w:vAlign w:val="center"/>
          </w:tcPr>
          <w:p w14:paraId="41CC18BB" w14:textId="77777777" w:rsidR="006F5C60" w:rsidRPr="0093439C" w:rsidRDefault="006F5C60" w:rsidP="006F5C60">
            <w:pPr>
              <w:pStyle w:val="E3tabletext1"/>
              <w:rPr>
                <w:rFonts w:ascii="Helvetica" w:hAnsi="Helvetica" w:cs="Helvetica"/>
              </w:rPr>
            </w:pPr>
          </w:p>
        </w:tc>
        <w:tc>
          <w:tcPr>
            <w:tcW w:w="900" w:type="dxa"/>
            <w:vAlign w:val="center"/>
          </w:tcPr>
          <w:p w14:paraId="4DDD973F" w14:textId="77777777" w:rsidR="006F5C60" w:rsidRPr="0093439C" w:rsidRDefault="006F5C60" w:rsidP="006F5C60">
            <w:pPr>
              <w:pStyle w:val="E3tabletext1"/>
              <w:rPr>
                <w:rFonts w:ascii="Helvetica" w:hAnsi="Helvetica" w:cs="Helvetica"/>
              </w:rPr>
            </w:pPr>
            <w:r w:rsidRPr="0093439C">
              <w:rPr>
                <w:rFonts w:ascii="Helvetica" w:hAnsi="Helvetica" w:cs="Helvetica"/>
              </w:rPr>
              <w:t>Small Ice-cream</w:t>
            </w:r>
          </w:p>
        </w:tc>
        <w:tc>
          <w:tcPr>
            <w:tcW w:w="720" w:type="dxa"/>
            <w:vAlign w:val="center"/>
          </w:tcPr>
          <w:p w14:paraId="49003982" w14:textId="77777777" w:rsidR="006F5C60" w:rsidRPr="0093439C" w:rsidRDefault="006F5C60" w:rsidP="006F5C60">
            <w:pPr>
              <w:pStyle w:val="E3tabletext1"/>
              <w:rPr>
                <w:rFonts w:ascii="Helvetica" w:hAnsi="Helvetica" w:cs="Helvetica"/>
              </w:rPr>
            </w:pPr>
            <w:r w:rsidRPr="0093439C">
              <w:rPr>
                <w:rFonts w:ascii="Helvetica" w:hAnsi="Helvetica" w:cs="Helvetica"/>
              </w:rPr>
              <w:t>Others</w:t>
            </w:r>
          </w:p>
        </w:tc>
        <w:tc>
          <w:tcPr>
            <w:tcW w:w="900" w:type="dxa"/>
            <w:vMerge/>
            <w:vAlign w:val="center"/>
          </w:tcPr>
          <w:p w14:paraId="28AB001A" w14:textId="77777777" w:rsidR="006F5C60" w:rsidRPr="0093439C" w:rsidRDefault="006F5C60" w:rsidP="006F5C60">
            <w:pPr>
              <w:pStyle w:val="E3tabletext1"/>
              <w:rPr>
                <w:rFonts w:ascii="Helvetica" w:hAnsi="Helvetica" w:cs="Helvetica"/>
              </w:rPr>
            </w:pPr>
          </w:p>
        </w:tc>
        <w:tc>
          <w:tcPr>
            <w:tcW w:w="1359" w:type="dxa"/>
            <w:vMerge/>
            <w:vAlign w:val="center"/>
          </w:tcPr>
          <w:p w14:paraId="432FB10C" w14:textId="77777777" w:rsidR="006F5C60" w:rsidRPr="0093439C" w:rsidRDefault="006F5C60" w:rsidP="006F5C60">
            <w:pPr>
              <w:pStyle w:val="E3tabletext1"/>
              <w:rPr>
                <w:rFonts w:ascii="Helvetica" w:hAnsi="Helvetica" w:cs="Helvetica"/>
              </w:rPr>
            </w:pPr>
          </w:p>
        </w:tc>
      </w:tr>
      <w:tr w:rsidR="006F5C60" w:rsidRPr="00BE74AD" w14:paraId="16147981" w14:textId="77777777" w:rsidTr="006F5C60">
        <w:trPr>
          <w:trHeight w:val="355"/>
        </w:trPr>
        <w:tc>
          <w:tcPr>
            <w:tcW w:w="9639" w:type="dxa"/>
            <w:gridSpan w:val="10"/>
            <w:vAlign w:val="center"/>
          </w:tcPr>
          <w:p w14:paraId="22BF0AF7" w14:textId="77777777" w:rsidR="006F5C60" w:rsidRPr="0093439C" w:rsidRDefault="006F5C60" w:rsidP="006F5C60">
            <w:pPr>
              <w:pStyle w:val="E3tabletext1"/>
              <w:rPr>
                <w:rFonts w:ascii="Helvetica" w:hAnsi="Helvetica" w:cs="Helvetica"/>
              </w:rPr>
            </w:pPr>
            <w:r w:rsidRPr="0093439C">
              <w:rPr>
                <w:rFonts w:ascii="Helvetica" w:hAnsi="Helvetica" w:cs="Helvetica"/>
              </w:rPr>
              <w:t>Note:   (1) Temperature Classes, M, M0, M1, M2, H1, H2, S, L1, L2 and L3 are all defined in ISO 23953.2:2015.</w:t>
            </w:r>
          </w:p>
        </w:tc>
      </w:tr>
    </w:tbl>
    <w:p w14:paraId="000D78CE" w14:textId="77777777" w:rsidR="00522A0D" w:rsidRDefault="00522A0D" w:rsidP="00317405">
      <w:pPr>
        <w:pStyle w:val="E3Heading4"/>
      </w:pPr>
      <w:bookmarkStart w:id="566" w:name="_Toc295033290"/>
    </w:p>
    <w:p w14:paraId="2A860030" w14:textId="55282482" w:rsidR="006F5C60" w:rsidRPr="00DA4189" w:rsidRDefault="006F5C60" w:rsidP="00317405">
      <w:pPr>
        <w:pStyle w:val="E3Heading4"/>
      </w:pPr>
      <w:r w:rsidRPr="00DA4189">
        <w:t>Beverage Cabinets</w:t>
      </w:r>
      <w:bookmarkEnd w:id="566"/>
    </w:p>
    <w:p w14:paraId="71C1FF5C" w14:textId="77777777" w:rsidR="006F5C60" w:rsidRPr="00AC7259" w:rsidRDefault="006F5C60" w:rsidP="006F5C60">
      <w:pPr>
        <w:jc w:val="both"/>
        <w:rPr>
          <w:sz w:val="24"/>
        </w:rPr>
      </w:pPr>
      <w:r w:rsidRPr="00AC7259">
        <w:rPr>
          <w:sz w:val="24"/>
        </w:rPr>
        <w:t>In the Australian and New Zealand market there has been little or no distinction on the specific application of display cabinets and it is usually assumed that a refrigerated display cabinet is universally intended to display foodstuffs of any type whether it be food, beverages or a combination of both. While beverages are generally defined as a foodstuff there are beverages that do not require refrigerating for food safety reasons but rather for consumer preference. Most dairy products and some juices are required to be kept at chilled temperatures to avoid deterioration. The application can have an impact on the energy consumption of a cabinet and when determining efficiency levels it is desirable to achieve the best individual savings that can be made in relation to the variety of products in the market.</w:t>
      </w:r>
    </w:p>
    <w:p w14:paraId="3A6E6907" w14:textId="77777777" w:rsidR="006F5C60" w:rsidRPr="00AC7259" w:rsidRDefault="006F5C60" w:rsidP="006F5C60">
      <w:pPr>
        <w:jc w:val="both"/>
        <w:rPr>
          <w:sz w:val="24"/>
        </w:rPr>
      </w:pPr>
      <w:r w:rsidRPr="00AC7259">
        <w:rPr>
          <w:sz w:val="24"/>
        </w:rPr>
        <w:t xml:space="preserve">The Europeans have recognised that there are large numbers of self-contained display cabinets, often with fleet ownership, that are designed with a “pull-down” capability rather </w:t>
      </w:r>
      <w:r w:rsidRPr="00AC7259">
        <w:rPr>
          <w:sz w:val="24"/>
        </w:rPr>
        <w:lastRenderedPageBreak/>
        <w:t>than a simple “holding” capability and have created a designated classification that these cabinets can be grouped into.</w:t>
      </w:r>
    </w:p>
    <w:p w14:paraId="38C00E15" w14:textId="77777777" w:rsidR="006F5C60" w:rsidRPr="00AC7259" w:rsidRDefault="006F5C60" w:rsidP="006F5C60">
      <w:pPr>
        <w:jc w:val="both"/>
        <w:rPr>
          <w:sz w:val="24"/>
        </w:rPr>
      </w:pPr>
      <w:r w:rsidRPr="00AC7259">
        <w:rPr>
          <w:sz w:val="24"/>
        </w:rPr>
        <w:t>Often these “pull-down” cabinets fulfil the specific requirements of bottling or beverage companies in that a cabinet must be able to achieve the correct product storage temperature within a set time frame when loaded with product at ambient temperature. Additional refrigeration load is required to bring the stored product down to an acceptable temperature. These cabinets are also normally specified for operation in onerous climatic conditions because they may be required to operate in unknown locations globally.</w:t>
      </w:r>
    </w:p>
    <w:p w14:paraId="3AE8FB9E" w14:textId="77777777" w:rsidR="006F5C60" w:rsidRPr="00AC7259" w:rsidRDefault="006F5C60" w:rsidP="006F5C60">
      <w:pPr>
        <w:jc w:val="both"/>
        <w:rPr>
          <w:sz w:val="24"/>
        </w:rPr>
      </w:pPr>
      <w:r w:rsidRPr="00AC7259">
        <w:rPr>
          <w:sz w:val="24"/>
        </w:rPr>
        <w:t>A holding cabinet is normally loaded with product close to or already at the desired storage temperature and therefore does not require additional refrigeration load to cool down the product.</w:t>
      </w:r>
    </w:p>
    <w:p w14:paraId="1709BAE3" w14:textId="77777777" w:rsidR="006F5C60" w:rsidRDefault="006F5C60" w:rsidP="006F5C60">
      <w:pPr>
        <w:jc w:val="both"/>
        <w:rPr>
          <w:sz w:val="24"/>
        </w:rPr>
      </w:pPr>
      <w:r w:rsidRPr="00AC7259">
        <w:rPr>
          <w:sz w:val="24"/>
        </w:rPr>
        <w:t>Due to these differences in refrigeration load the performance of the refrigeration system can be considerably greater than a holding cabinet</w:t>
      </w:r>
      <w:r>
        <w:rPr>
          <w:sz w:val="24"/>
        </w:rPr>
        <w:t>. Despite these differences, “beverage” cabinets are currently subject to the same test methods and maximum energy consumption requirements which apply to a holding cabinet.</w:t>
      </w:r>
    </w:p>
    <w:p w14:paraId="6B534BD0" w14:textId="77777777" w:rsidR="006F5C60" w:rsidRPr="00AC7259" w:rsidRDefault="006F5C60" w:rsidP="006F5C60">
      <w:pPr>
        <w:jc w:val="both"/>
        <w:rPr>
          <w:sz w:val="24"/>
        </w:rPr>
      </w:pPr>
      <w:r w:rsidRPr="00AC7259">
        <w:rPr>
          <w:sz w:val="24"/>
        </w:rPr>
        <w:t>In the Australian and New Zealand markets, self-contained “beverage” cabinets comprise the largest individual sector in the market and subjecting them to different treatment could offer greater potential benefits than if they were treated in the same way as larger capacity remote supermarket cabinets.</w:t>
      </w:r>
    </w:p>
    <w:p w14:paraId="759050FD" w14:textId="77777777" w:rsidR="006F5C60" w:rsidRDefault="006F5C60" w:rsidP="006F5C60">
      <w:pPr>
        <w:jc w:val="both"/>
        <w:rPr>
          <w:sz w:val="24"/>
        </w:rPr>
      </w:pPr>
      <w:r w:rsidRPr="00AC7259">
        <w:rPr>
          <w:sz w:val="24"/>
        </w:rPr>
        <w:t>Due to the nature of the stored product most beverage cabinets can also be temperature controlled in a manner that might otherwise create a health risk in a cabinet solely containing food. Electronic controls can raise the storage temperature at night or at times of low use in order to save energy and may require different test methods to measure “normal” energy consumption. Specific test requirements to cover the operation of such controls when measuring energy consumption would enable the value of such controls, in reducing energy consumption, to be recognised.</w:t>
      </w:r>
    </w:p>
    <w:p w14:paraId="3C7FDF70" w14:textId="77777777" w:rsidR="006F5C60" w:rsidRPr="0093439C" w:rsidRDefault="006F5C60" w:rsidP="006F5C60">
      <w:pPr>
        <w:pStyle w:val="E3Heading2"/>
        <w:spacing w:after="240"/>
        <w:rPr>
          <w:rFonts w:ascii="Georgia" w:hAnsi="Georgia"/>
          <w:sz w:val="24"/>
        </w:rPr>
      </w:pPr>
      <w:bookmarkStart w:id="567" w:name="_Toc447533646"/>
      <w:bookmarkStart w:id="568" w:name="_Toc449708815"/>
      <w:bookmarkStart w:id="569" w:name="_Toc494898007"/>
      <w:bookmarkStart w:id="570" w:name="_Toc494955799"/>
      <w:bookmarkStart w:id="571" w:name="_Toc494959607"/>
      <w:bookmarkStart w:id="572" w:name="_Toc494972733"/>
      <w:bookmarkStart w:id="573" w:name="_Toc494973920"/>
      <w:bookmarkStart w:id="574" w:name="_Toc494974609"/>
      <w:bookmarkStart w:id="575" w:name="_Toc500151854"/>
      <w:r w:rsidRPr="0093439C">
        <w:rPr>
          <w:rFonts w:ascii="Georgia" w:hAnsi="Georgia"/>
          <w:sz w:val="24"/>
        </w:rPr>
        <w:t>Beyond Europe – other efficiency regimes for refrigerated cabinets</w:t>
      </w:r>
      <w:bookmarkEnd w:id="567"/>
      <w:bookmarkEnd w:id="568"/>
      <w:bookmarkEnd w:id="569"/>
      <w:bookmarkEnd w:id="570"/>
      <w:bookmarkEnd w:id="571"/>
      <w:bookmarkEnd w:id="572"/>
      <w:bookmarkEnd w:id="573"/>
      <w:bookmarkEnd w:id="574"/>
      <w:bookmarkEnd w:id="575"/>
    </w:p>
    <w:p w14:paraId="10ABAA53" w14:textId="77777777" w:rsidR="006F5C60" w:rsidRPr="00AC7259" w:rsidRDefault="006F5C60" w:rsidP="006F5C60">
      <w:pPr>
        <w:pStyle w:val="E3BodyText"/>
      </w:pPr>
      <w:r w:rsidRPr="00AC7259">
        <w:t>The most significant regimes (other than Europe) in terms of energy efficiency measures are North America (USA and Canada) and China. Apart from the USA, other economies tend to align closely with Europe. Both t</w:t>
      </w:r>
      <w:r>
        <w:t xml:space="preserve">he US and EU efficiency methods and </w:t>
      </w:r>
      <w:r w:rsidRPr="00AC7259">
        <w:t>levels have a forward looking direction i.e. efficiency limits are progressively ramped down and signalled to industry well in advance.</w:t>
      </w:r>
    </w:p>
    <w:p w14:paraId="3C2610FF" w14:textId="08046885" w:rsidR="006F5C60" w:rsidRPr="00DD102F" w:rsidRDefault="006F5C60" w:rsidP="00DD102F">
      <w:pPr>
        <w:pStyle w:val="E3BodyText"/>
      </w:pPr>
      <w:r w:rsidRPr="00DD102F">
        <w:t>The USA and Canada have efficiency levels aligned in some product groupings.</w:t>
      </w:r>
      <w:r w:rsidR="00DD102F" w:rsidRPr="00DD102F">
        <w:t xml:space="preserve"> However </w:t>
      </w:r>
      <w:r w:rsidRPr="00DD102F">
        <w:t xml:space="preserve">these are different categories from the EU and AU/NZ regimes. </w:t>
      </w:r>
      <w:r w:rsidR="00DD102F" w:rsidRPr="00DD102F">
        <w:t xml:space="preserve"> </w:t>
      </w:r>
      <w:r w:rsidRPr="00DD102F">
        <w:t>The test methods, while similar, do not align with AS 1731. This includes number of door openings and test packs. Treatment of display area is also different and volume is used</w:t>
      </w:r>
      <w:r w:rsidR="00DD102F" w:rsidRPr="00DD102F">
        <w:t xml:space="preserve"> </w:t>
      </w:r>
      <w:r w:rsidRPr="00DD102F">
        <w:t>instead of Display area, for some categories.</w:t>
      </w:r>
    </w:p>
    <w:p w14:paraId="1B66EC51" w14:textId="77777777" w:rsidR="006F5C60" w:rsidRPr="00AC7259" w:rsidRDefault="006F5C60" w:rsidP="006F5C60">
      <w:pPr>
        <w:pStyle w:val="E3BodyText"/>
      </w:pPr>
      <w:r w:rsidRPr="00AC7259">
        <w:t xml:space="preserve">The USA uses the efficiency standard </w:t>
      </w:r>
      <w:r w:rsidRPr="00AC7259">
        <w:rPr>
          <w:rStyle w:val="t"/>
        </w:rPr>
        <w:t xml:space="preserve">ANSI/AHRI 1200 </w:t>
      </w:r>
      <w:r w:rsidRPr="00AC7259">
        <w:rPr>
          <w:rStyle w:val="t"/>
          <w:i/>
        </w:rPr>
        <w:t>Performance Rating of Commercial Refrigerated Display Merchandisers and Storage cabinet</w:t>
      </w:r>
      <w:r w:rsidRPr="00AC7259">
        <w:t xml:space="preserve">. The maximum daily energy consumption requirements are published by the US Department of Energy </w:t>
      </w:r>
      <w:r w:rsidRPr="00AC7259">
        <w:lastRenderedPageBreak/>
        <w:t>(DOE). There are 50 individual equipment families each with a unique code describing the application and including food storage cabinets.</w:t>
      </w:r>
    </w:p>
    <w:p w14:paraId="5684A58F" w14:textId="77777777" w:rsidR="006F5C60" w:rsidRPr="00AC7259" w:rsidRDefault="006F5C60" w:rsidP="006F5C60">
      <w:pPr>
        <w:pStyle w:val="E3BodyText"/>
      </w:pPr>
      <w:r w:rsidRPr="00AC7259">
        <w:t>The standard uses Imperial units (Inch-Pound (I-P)), refers to and requires the use of several other standards. The method of calculating Total Display Area (TDA) has changed over time however the light transmission factor of the glazing material is not taken into account (i.e. different from AS 1731.14). This increases their TDA in relation to the Australian TDA. It also differs from the AS 1731 and ISO 23953 in the door opening sequence (eight hour door opening test for closed cabinets while Europe, China, Australia and New Zealand all require a twelve hour opening period.) In addition North America is for the most part using a refrigerated volume metric for closed display cabinets and display area metric for open cabinets. The USA is about to start developing their beverage vending machine MEPS.</w:t>
      </w:r>
      <w:r w:rsidRPr="00AC7259">
        <w:rPr>
          <w:rStyle w:val="FootnoteReference"/>
        </w:rPr>
        <w:footnoteReference w:id="60"/>
      </w:r>
    </w:p>
    <w:p w14:paraId="04366E06" w14:textId="77777777" w:rsidR="006F5C60" w:rsidRPr="00DA4189" w:rsidRDefault="006F5C60" w:rsidP="00317405">
      <w:pPr>
        <w:pStyle w:val="E3Heading4"/>
      </w:pPr>
      <w:bookmarkStart w:id="576" w:name="_Toc447533648"/>
      <w:r w:rsidRPr="00DA4189">
        <w:t>Canada</w:t>
      </w:r>
      <w:bookmarkEnd w:id="576"/>
    </w:p>
    <w:p w14:paraId="047CA92C" w14:textId="5D4CC5A4" w:rsidR="006F5C60" w:rsidRPr="00AC7259" w:rsidRDefault="006F5C60" w:rsidP="006F5C60">
      <w:pPr>
        <w:pStyle w:val="E3BodyText"/>
      </w:pPr>
      <w:r w:rsidRPr="00F3524D">
        <w:t>Canada no longer fully aligns with the USA and has a re</w:t>
      </w:r>
      <w:r w:rsidR="00317405">
        <w:t xml:space="preserve">gime that covers self-contained </w:t>
      </w:r>
      <w:r w:rsidRPr="00F3524D">
        <w:t xml:space="preserve">refrigerators and freezers and combination cabinets. </w:t>
      </w:r>
      <w:r w:rsidRPr="00AC7259">
        <w:t>Equipment is segmented into very broad groups compared basically by temperature above or below freezing and whether the display face is transparent, has solid doors or drawers.  Testing is carried out according to the AHRI Standard 1200-2008 Performance Rating of Commercial Refrigerated Display Merchandisers and Storage cabinets and refers to other standards. It covers ice-cream freezers, Wine chillers or floral storage cabinets.</w:t>
      </w:r>
    </w:p>
    <w:p w14:paraId="3D72AC90" w14:textId="77777777" w:rsidR="006F5C60" w:rsidRPr="00AC7259" w:rsidRDefault="006F5C60" w:rsidP="006F5C60">
      <w:pPr>
        <w:pStyle w:val="E3BodyText"/>
      </w:pPr>
      <w:r w:rsidRPr="00AC7259">
        <w:t>The volume is used as part of the performance metric (in litres) calculated in accordance with CSA C300: 2008 Energy Performance and Capacity of Household Refrigerators, Refrigerator-Freezers, Freezers and Wine Chillers. Door openings are the same standard as the USA.</w:t>
      </w:r>
    </w:p>
    <w:p w14:paraId="7352F743" w14:textId="77777777" w:rsidR="006F5C60" w:rsidRPr="00AC7259" w:rsidRDefault="006F5C60" w:rsidP="006F5C60">
      <w:pPr>
        <w:pStyle w:val="E3BodyText"/>
      </w:pPr>
      <w:r w:rsidRPr="00AC7259">
        <w:t>The performance levels cover all self-contained refrigerators, freezers and refrigerator freezers manufactured since 2010 and are aligned with the USA for similar self-contained equipment although use metric units instead of Imperial units.</w:t>
      </w:r>
    </w:p>
    <w:p w14:paraId="50E4B535" w14:textId="77777777" w:rsidR="006F5C60" w:rsidRPr="00DA4189" w:rsidRDefault="006F5C60" w:rsidP="00317405">
      <w:pPr>
        <w:pStyle w:val="E3Heading4"/>
      </w:pPr>
      <w:bookmarkStart w:id="577" w:name="_Toc447533649"/>
      <w:r w:rsidRPr="00DA4189">
        <w:t>China</w:t>
      </w:r>
      <w:bookmarkEnd w:id="577"/>
    </w:p>
    <w:p w14:paraId="7108936F" w14:textId="654700BD" w:rsidR="006F5C60" w:rsidRDefault="006F5C60" w:rsidP="00317405">
      <w:pPr>
        <w:pStyle w:val="E3Bullets"/>
        <w:numPr>
          <w:ilvl w:val="0"/>
          <w:numId w:val="0"/>
        </w:numPr>
        <w:jc w:val="both"/>
      </w:pPr>
      <w:r w:rsidRPr="00AC7259">
        <w:t>China has closely followed the test metho</w:t>
      </w:r>
      <w:r>
        <w:t>ds and MEPS levels applied in Australia and</w:t>
      </w:r>
      <w:r w:rsidR="00907A99">
        <w:t xml:space="preserve"> </w:t>
      </w:r>
    </w:p>
    <w:p w14:paraId="710CF9B7" w14:textId="77777777" w:rsidR="006F5C60" w:rsidRDefault="006F5C60" w:rsidP="00317405">
      <w:pPr>
        <w:pStyle w:val="E3Bullets"/>
        <w:numPr>
          <w:ilvl w:val="0"/>
          <w:numId w:val="0"/>
        </w:numPr>
        <w:jc w:val="both"/>
      </w:pPr>
      <w:r w:rsidRPr="00AC7259">
        <w:t>N</w:t>
      </w:r>
      <w:r>
        <w:t xml:space="preserve">ew </w:t>
      </w:r>
      <w:r w:rsidRPr="00AC7259">
        <w:t>Z</w:t>
      </w:r>
      <w:r>
        <w:t>ealand</w:t>
      </w:r>
      <w:r w:rsidRPr="00AC7259">
        <w:t>, however at this stage only remote equipment has been covered.</w:t>
      </w:r>
    </w:p>
    <w:p w14:paraId="19D4CD01" w14:textId="77777777" w:rsidR="006F5C60" w:rsidRPr="00AC7259" w:rsidRDefault="006F5C60" w:rsidP="006F5C60">
      <w:pPr>
        <w:pStyle w:val="E3BodyText"/>
      </w:pPr>
      <w:r w:rsidRPr="00AC7259">
        <w:t>China is globally significant because of its large manufacturing base, huge local market with considerable exports to Europe and Australasia.</w:t>
      </w:r>
    </w:p>
    <w:p w14:paraId="13C96C05" w14:textId="77777777" w:rsidR="006F5C60" w:rsidRPr="00AC7259" w:rsidRDefault="006F5C60" w:rsidP="006F5C60">
      <w:pPr>
        <w:pStyle w:val="E3BodyText"/>
      </w:pPr>
      <w:r w:rsidRPr="00AC7259">
        <w:lastRenderedPageBreak/>
        <w:t>China brought in regulations in 2012 to cover remote display cabinets</w:t>
      </w:r>
      <w:r>
        <w:t>.</w:t>
      </w:r>
      <w:r w:rsidRPr="00AC7259">
        <w:t xml:space="preserve"> </w:t>
      </w:r>
      <w:r>
        <w:t xml:space="preserve">These used </w:t>
      </w:r>
      <w:r w:rsidRPr="00AC7259">
        <w:t>standards based on the Australian Standard AS 1731 and the International Standard ISO 23953. Their GB/T21001.1 and GB/T21001.2 standards approximately equate to ISO 23953.1 and ISO 23953.2. They contains the type classifications and definitions and the MEPS levels or Energy Consumption Coefficients (ECC) along with specifications for efficiency grades called Minimum allowable values of energy efficiency and energy efficiency grades of commercial refrigerating appliances – Part 1: Refrigerated display cabinets with remote condensing unit.</w:t>
      </w:r>
    </w:p>
    <w:p w14:paraId="3141A853" w14:textId="77777777" w:rsidR="006F5C60" w:rsidRPr="00AC7259" w:rsidRDefault="006F5C60" w:rsidP="006F5C60">
      <w:pPr>
        <w:pStyle w:val="E3BodyText"/>
      </w:pPr>
      <w:r w:rsidRPr="00AC7259">
        <w:t xml:space="preserve">The classifications for the various types of equipment families basically align with the Australian categories for remote cabinets, however in some instances they have expanded their technical definitions. For the most part the Chinese ECCs align with AS 1731 MEPS for cabinets with the lowest temperature ranges but are more stringent than AS 1731 for cabinets working at higher temperatures.  Where “no value” exists for the Australian MEPS, </w:t>
      </w:r>
      <w:r>
        <w:t xml:space="preserve">the same applies to </w:t>
      </w:r>
      <w:r w:rsidRPr="00AC7259">
        <w:t xml:space="preserve">the Chinese standard. </w:t>
      </w:r>
    </w:p>
    <w:p w14:paraId="3EE34DF2" w14:textId="77777777" w:rsidR="006F5C60" w:rsidRPr="00AC7259" w:rsidRDefault="006F5C60" w:rsidP="006F5C60">
      <w:pPr>
        <w:pStyle w:val="E3BodyText"/>
      </w:pPr>
      <w:r w:rsidRPr="00AC7259">
        <w:t>Energy Efficiency Grades from 1 to 5 are applied to the level of efficiency with 1 being the highest and representing a product that is better than 55% of the set ECC level and 5 being the lowest and representing a product that complies and up to 90% of the ECC level</w:t>
      </w:r>
    </w:p>
    <w:p w14:paraId="313215EE" w14:textId="77777777" w:rsidR="006F5C60" w:rsidRPr="00AC7259" w:rsidRDefault="006F5C60" w:rsidP="006F5C60">
      <w:pPr>
        <w:pStyle w:val="E3BodyText"/>
      </w:pPr>
      <w:r w:rsidRPr="00AC7259">
        <w:t>Testing is carried out at Climate Class 3, 25oC and 60% RH and with identical test conditions, M-packages and door openings as AS1731 and ISO 23953:2005 however the “Australian” Filler packages are not included. The TDA is currently also subject to the glazing light transmission factors as set out in the Australian Standard.</w:t>
      </w:r>
    </w:p>
    <w:p w14:paraId="69801D35" w14:textId="77777777" w:rsidR="006F5C60" w:rsidRPr="00AC7259" w:rsidRDefault="006F5C60" w:rsidP="006F5C60">
      <w:pPr>
        <w:pStyle w:val="E3BodyText"/>
      </w:pPr>
      <w:r w:rsidRPr="00AC7259">
        <w:t>It was expected that a standard GB 26290.2 would be introduced in 2014 to cover self-contained refrigerated cabinets but as yet this does not appear to have progressed.</w:t>
      </w:r>
    </w:p>
    <w:p w14:paraId="15C3384A" w14:textId="77777777" w:rsidR="00D51B4B" w:rsidRPr="00D51B4B" w:rsidRDefault="006F5C60" w:rsidP="00803448">
      <w:pPr>
        <w:pStyle w:val="E3BodyText"/>
      </w:pPr>
      <w:r w:rsidRPr="00AC7259">
        <w:t>The Peoples Republic of China (PRC) has introduced a graded rating and labelling scheme similar to the program proposed for the EU (</w:t>
      </w:r>
      <w:r w:rsidRPr="00AC7259">
        <w:rPr>
          <w:b/>
        </w:rPr>
        <w:fldChar w:fldCharType="begin"/>
      </w:r>
      <w:r w:rsidRPr="00AC7259">
        <w:rPr>
          <w:b/>
        </w:rPr>
        <w:instrText xml:space="preserve"> REF _Ref450641991 \h  \* MERGEFORMAT </w:instrText>
      </w:r>
      <w:r w:rsidRPr="00AC7259">
        <w:rPr>
          <w:b/>
        </w:rPr>
      </w:r>
      <w:r w:rsidRPr="00AC7259">
        <w:rPr>
          <w:b/>
        </w:rPr>
        <w:fldChar w:fldCharType="separate"/>
      </w:r>
    </w:p>
    <w:p w14:paraId="6EDB3948" w14:textId="5154E40D" w:rsidR="00317405" w:rsidRPr="00803448" w:rsidRDefault="00D51B4B" w:rsidP="00803448">
      <w:pPr>
        <w:pStyle w:val="E3BodyText"/>
        <w:rPr>
          <w:b/>
        </w:rPr>
      </w:pPr>
      <w:r>
        <w:t xml:space="preserve">Table F </w:t>
      </w:r>
      <w:r>
        <w:rPr>
          <w:noProof/>
        </w:rPr>
        <w:t>8</w:t>
      </w:r>
      <w:r w:rsidR="006F5C60" w:rsidRPr="00AC7259">
        <w:rPr>
          <w:b/>
        </w:rPr>
        <w:fldChar w:fldCharType="end"/>
      </w:r>
      <w:r w:rsidR="006F5C60" w:rsidRPr="00AC7259">
        <w:t>). The PRC scheme is based on an Energy Efficiency Index with each tier representing a percentage range of the efficiency versus the allowable Base Energy Consumption (BEC) or MEPS level. The program only has five energy efficiency classes and is limited to remote condensing units whereas the EU proposal has seven classes for display cabinets and ten for storage cabinets.</w:t>
      </w:r>
      <w:bookmarkStart w:id="578" w:name="_Ref450641991"/>
      <w:bookmarkStart w:id="579" w:name="_Toc449708989"/>
      <w:bookmarkStart w:id="580" w:name="_Toc456164818"/>
    </w:p>
    <w:p w14:paraId="6B317C49" w14:textId="406F686B" w:rsidR="006F5C60" w:rsidRPr="002C62EA" w:rsidRDefault="006F5C60" w:rsidP="006F5C60">
      <w:pPr>
        <w:pStyle w:val="E3TableTitles"/>
        <w:spacing w:before="240"/>
        <w:rPr>
          <w:noProof/>
        </w:rPr>
      </w:pPr>
      <w:bookmarkStart w:id="581" w:name="_Toc500159689"/>
      <w:r>
        <w:t xml:space="preserve">Table F </w:t>
      </w:r>
      <w:r>
        <w:fldChar w:fldCharType="begin"/>
      </w:r>
      <w:r>
        <w:instrText xml:space="preserve"> SEQ Table_F \* ARABIC </w:instrText>
      </w:r>
      <w:r>
        <w:fldChar w:fldCharType="separate"/>
      </w:r>
      <w:r w:rsidR="00D51B4B">
        <w:rPr>
          <w:noProof/>
        </w:rPr>
        <w:t>8</w:t>
      </w:r>
      <w:r>
        <w:rPr>
          <w:noProof/>
        </w:rPr>
        <w:fldChar w:fldCharType="end"/>
      </w:r>
      <w:bookmarkEnd w:id="578"/>
      <w:r w:rsidRPr="002C62EA">
        <w:t>: PRC Energy efficiency grades of refrigerated display cabinets with remote condensing units.</w:t>
      </w:r>
      <w:bookmarkEnd w:id="579"/>
      <w:bookmarkEnd w:id="580"/>
      <w:bookmarkEnd w:id="581"/>
    </w:p>
    <w:tbl>
      <w:tblPr>
        <w:tblStyle w:val="TableGrid"/>
        <w:tblW w:w="0" w:type="auto"/>
        <w:tblInd w:w="108" w:type="dxa"/>
        <w:tblLook w:val="04A0" w:firstRow="1" w:lastRow="0" w:firstColumn="1" w:lastColumn="0" w:noHBand="0" w:noVBand="1"/>
        <w:tblCaption w:val="efficiency grades in China for remote display units"/>
      </w:tblPr>
      <w:tblGrid>
        <w:gridCol w:w="3747"/>
        <w:gridCol w:w="5774"/>
      </w:tblGrid>
      <w:tr w:rsidR="006F5C60" w:rsidRPr="002C62EA" w14:paraId="37CF73BD" w14:textId="77777777" w:rsidTr="006F5C60">
        <w:trPr>
          <w:tblHeader/>
        </w:trPr>
        <w:tc>
          <w:tcPr>
            <w:tcW w:w="3747" w:type="dxa"/>
            <w:tcBorders>
              <w:right w:val="single" w:sz="4" w:space="0" w:color="FFFFFF" w:themeColor="background1"/>
            </w:tcBorders>
            <w:shd w:val="clear" w:color="auto" w:fill="0C0C0C"/>
            <w:vAlign w:val="center"/>
          </w:tcPr>
          <w:p w14:paraId="6479E38B" w14:textId="77777777" w:rsidR="006F5C60" w:rsidRPr="0093439C" w:rsidRDefault="006F5C60" w:rsidP="006F5C60">
            <w:pPr>
              <w:pStyle w:val="E3tabletext1"/>
              <w:rPr>
                <w:rFonts w:ascii="Helvetica" w:hAnsi="Helvetica" w:cs="Helvetica"/>
                <w:sz w:val="15"/>
                <w:szCs w:val="15"/>
              </w:rPr>
            </w:pPr>
            <w:r w:rsidRPr="0093439C">
              <w:rPr>
                <w:rFonts w:ascii="Helvetica" w:hAnsi="Helvetica" w:cs="Helvetica"/>
                <w:sz w:val="15"/>
                <w:szCs w:val="15"/>
              </w:rPr>
              <w:t>Energy Efficiency Grade</w:t>
            </w:r>
          </w:p>
        </w:tc>
        <w:tc>
          <w:tcPr>
            <w:tcW w:w="5774" w:type="dxa"/>
            <w:tcBorders>
              <w:left w:val="single" w:sz="4" w:space="0" w:color="FFFFFF" w:themeColor="background1"/>
            </w:tcBorders>
            <w:shd w:val="clear" w:color="auto" w:fill="0C0C0C"/>
            <w:vAlign w:val="center"/>
          </w:tcPr>
          <w:p w14:paraId="331B4269" w14:textId="77777777" w:rsidR="006F5C60" w:rsidRPr="0093439C" w:rsidRDefault="006F5C60" w:rsidP="006F5C60">
            <w:pPr>
              <w:pStyle w:val="E3tabletext1"/>
              <w:rPr>
                <w:rFonts w:ascii="Helvetica" w:hAnsi="Helvetica" w:cs="Helvetica"/>
                <w:sz w:val="15"/>
                <w:szCs w:val="15"/>
              </w:rPr>
            </w:pPr>
            <w:r w:rsidRPr="0093439C">
              <w:rPr>
                <w:rFonts w:ascii="Helvetica" w:hAnsi="Helvetica" w:cs="Helvetica"/>
                <w:sz w:val="15"/>
                <w:szCs w:val="15"/>
              </w:rPr>
              <w:t>Energy Efficiency Index range</w:t>
            </w:r>
          </w:p>
        </w:tc>
      </w:tr>
      <w:tr w:rsidR="006F5C60" w:rsidRPr="0013179D" w14:paraId="3709CF14" w14:textId="77777777" w:rsidTr="006F5C60">
        <w:tc>
          <w:tcPr>
            <w:tcW w:w="3747" w:type="dxa"/>
            <w:vAlign w:val="center"/>
          </w:tcPr>
          <w:p w14:paraId="2C97D8FA" w14:textId="77777777" w:rsidR="006F5C60" w:rsidRPr="0093439C" w:rsidRDefault="006F5C60" w:rsidP="006F5C60">
            <w:pPr>
              <w:pStyle w:val="E3tabletext1"/>
              <w:rPr>
                <w:rFonts w:ascii="Helvetica" w:hAnsi="Helvetica" w:cs="Helvetica"/>
                <w:sz w:val="15"/>
                <w:szCs w:val="15"/>
              </w:rPr>
            </w:pPr>
            <w:r w:rsidRPr="0093439C">
              <w:rPr>
                <w:rFonts w:ascii="Helvetica" w:hAnsi="Helvetica" w:cs="Helvetica"/>
                <w:color w:val="000000"/>
                <w:sz w:val="15"/>
                <w:szCs w:val="15"/>
              </w:rPr>
              <w:t>1</w:t>
            </w:r>
          </w:p>
        </w:tc>
        <w:tc>
          <w:tcPr>
            <w:tcW w:w="5774" w:type="dxa"/>
            <w:vAlign w:val="center"/>
          </w:tcPr>
          <w:p w14:paraId="586BB4F4" w14:textId="77777777" w:rsidR="006F5C60" w:rsidRPr="0093439C" w:rsidRDefault="006F5C60" w:rsidP="006F5C60">
            <w:pPr>
              <w:pStyle w:val="E3tabletext1"/>
              <w:rPr>
                <w:rFonts w:ascii="Helvetica" w:hAnsi="Helvetica" w:cs="Helvetica"/>
                <w:sz w:val="15"/>
                <w:szCs w:val="15"/>
              </w:rPr>
            </w:pPr>
            <w:r w:rsidRPr="0093439C">
              <w:rPr>
                <w:rFonts w:ascii="Helvetica" w:hAnsi="Helvetica" w:cs="Helvetica"/>
                <w:color w:val="000000"/>
                <w:sz w:val="15"/>
                <w:szCs w:val="15"/>
              </w:rPr>
              <w:sym w:font="Symbol" w:char="0045"/>
            </w:r>
            <w:r w:rsidRPr="0093439C">
              <w:rPr>
                <w:rFonts w:ascii="Helvetica" w:hAnsi="Helvetica" w:cs="Helvetica"/>
                <w:color w:val="000000"/>
                <w:sz w:val="15"/>
                <w:szCs w:val="15"/>
              </w:rPr>
              <w:sym w:font="Symbol" w:char="0045"/>
            </w:r>
            <w:r w:rsidRPr="0093439C">
              <w:rPr>
                <w:rFonts w:ascii="Helvetica" w:hAnsi="Helvetica" w:cs="Helvetica"/>
                <w:color w:val="000000"/>
                <w:sz w:val="15"/>
                <w:szCs w:val="15"/>
              </w:rPr>
              <w:sym w:font="Symbol" w:char="0049"/>
            </w:r>
            <w:r w:rsidRPr="0093439C">
              <w:rPr>
                <w:rFonts w:ascii="Helvetica" w:hAnsi="Helvetica" w:cs="Helvetica"/>
                <w:color w:val="000000"/>
                <w:sz w:val="15"/>
                <w:szCs w:val="15"/>
              </w:rPr>
              <w:sym w:font="Symbol" w:char="0020"/>
            </w:r>
            <w:r w:rsidRPr="0093439C">
              <w:rPr>
                <w:rFonts w:ascii="Helvetica" w:hAnsi="Helvetica" w:cs="Helvetica"/>
                <w:color w:val="000000"/>
                <w:sz w:val="15"/>
                <w:szCs w:val="15"/>
              </w:rPr>
              <w:t xml:space="preserve">≤ </w:t>
            </w:r>
            <w:r w:rsidRPr="0093439C">
              <w:rPr>
                <w:rFonts w:ascii="Helvetica" w:hAnsi="Helvetica" w:cs="Helvetica"/>
                <w:color w:val="000000"/>
                <w:sz w:val="15"/>
                <w:szCs w:val="15"/>
              </w:rPr>
              <w:sym w:font="Symbol" w:char="0035"/>
            </w:r>
            <w:r w:rsidRPr="0093439C">
              <w:rPr>
                <w:rFonts w:ascii="Helvetica" w:hAnsi="Helvetica" w:cs="Helvetica"/>
                <w:color w:val="000000"/>
                <w:sz w:val="15"/>
                <w:szCs w:val="15"/>
              </w:rPr>
              <w:sym w:font="Symbol" w:char="0035"/>
            </w:r>
            <w:r w:rsidRPr="0093439C">
              <w:rPr>
                <w:rFonts w:ascii="Helvetica" w:hAnsi="Helvetica" w:cs="Helvetica"/>
                <w:color w:val="000000"/>
                <w:sz w:val="15"/>
                <w:szCs w:val="15"/>
              </w:rPr>
              <w:sym w:font="Symbol" w:char="0025"/>
            </w:r>
          </w:p>
        </w:tc>
      </w:tr>
      <w:tr w:rsidR="006F5C60" w:rsidRPr="0013179D" w14:paraId="2071DDA0" w14:textId="77777777" w:rsidTr="006F5C60">
        <w:tc>
          <w:tcPr>
            <w:tcW w:w="3747" w:type="dxa"/>
            <w:vAlign w:val="center"/>
          </w:tcPr>
          <w:p w14:paraId="0E5A1553" w14:textId="77777777" w:rsidR="006F5C60" w:rsidRPr="0093439C" w:rsidRDefault="006F5C60" w:rsidP="006F5C60">
            <w:pPr>
              <w:pStyle w:val="E3tabletext1"/>
              <w:rPr>
                <w:rFonts w:ascii="Helvetica" w:hAnsi="Helvetica" w:cs="Helvetica"/>
                <w:sz w:val="15"/>
                <w:szCs w:val="15"/>
              </w:rPr>
            </w:pPr>
            <w:r w:rsidRPr="0093439C">
              <w:rPr>
                <w:rFonts w:ascii="Helvetica" w:hAnsi="Helvetica" w:cs="Helvetica"/>
                <w:color w:val="000000"/>
                <w:sz w:val="15"/>
                <w:szCs w:val="15"/>
              </w:rPr>
              <w:t>2</w:t>
            </w:r>
          </w:p>
        </w:tc>
        <w:tc>
          <w:tcPr>
            <w:tcW w:w="5774" w:type="dxa"/>
            <w:vAlign w:val="center"/>
          </w:tcPr>
          <w:p w14:paraId="30F0C993" w14:textId="77777777" w:rsidR="006F5C60" w:rsidRPr="0093439C" w:rsidRDefault="006F5C60" w:rsidP="006F5C60">
            <w:pPr>
              <w:pStyle w:val="E3tabletext1"/>
              <w:rPr>
                <w:rFonts w:ascii="Helvetica" w:hAnsi="Helvetica" w:cs="Helvetica"/>
                <w:sz w:val="15"/>
                <w:szCs w:val="15"/>
              </w:rPr>
            </w:pPr>
            <w:r w:rsidRPr="0093439C">
              <w:rPr>
                <w:rFonts w:ascii="Helvetica" w:hAnsi="Helvetica" w:cs="Helvetica"/>
                <w:color w:val="000000"/>
                <w:sz w:val="15"/>
                <w:szCs w:val="15"/>
              </w:rPr>
              <w:t>55% &lt; EEI ≤ 65%</w:t>
            </w:r>
          </w:p>
        </w:tc>
      </w:tr>
      <w:tr w:rsidR="006F5C60" w:rsidRPr="0013179D" w14:paraId="2619237F" w14:textId="77777777" w:rsidTr="006F5C60">
        <w:tc>
          <w:tcPr>
            <w:tcW w:w="3747" w:type="dxa"/>
            <w:vAlign w:val="center"/>
          </w:tcPr>
          <w:p w14:paraId="4B501911" w14:textId="77777777" w:rsidR="006F5C60" w:rsidRPr="0093439C" w:rsidRDefault="006F5C60" w:rsidP="006F5C60">
            <w:pPr>
              <w:pStyle w:val="E3tabletext1"/>
              <w:rPr>
                <w:rFonts w:ascii="Helvetica" w:hAnsi="Helvetica" w:cs="Helvetica"/>
                <w:sz w:val="15"/>
                <w:szCs w:val="15"/>
              </w:rPr>
            </w:pPr>
            <w:r w:rsidRPr="0093439C">
              <w:rPr>
                <w:rFonts w:ascii="Helvetica" w:hAnsi="Helvetica" w:cs="Helvetica"/>
                <w:color w:val="000000"/>
                <w:sz w:val="15"/>
                <w:szCs w:val="15"/>
              </w:rPr>
              <w:t>3</w:t>
            </w:r>
          </w:p>
        </w:tc>
        <w:tc>
          <w:tcPr>
            <w:tcW w:w="5774" w:type="dxa"/>
            <w:vAlign w:val="center"/>
          </w:tcPr>
          <w:p w14:paraId="5ADE8820" w14:textId="77777777" w:rsidR="006F5C60" w:rsidRPr="0093439C" w:rsidRDefault="006F5C60" w:rsidP="006F5C60">
            <w:pPr>
              <w:pStyle w:val="E3tabletext1"/>
              <w:rPr>
                <w:rFonts w:ascii="Helvetica" w:hAnsi="Helvetica" w:cs="Helvetica"/>
                <w:sz w:val="15"/>
                <w:szCs w:val="15"/>
              </w:rPr>
            </w:pPr>
            <w:r w:rsidRPr="0093439C">
              <w:rPr>
                <w:rFonts w:ascii="Helvetica" w:hAnsi="Helvetica" w:cs="Helvetica"/>
                <w:color w:val="000000"/>
                <w:sz w:val="15"/>
                <w:szCs w:val="15"/>
              </w:rPr>
              <w:t>65% &lt; EEI ≤ 80%</w:t>
            </w:r>
          </w:p>
        </w:tc>
      </w:tr>
      <w:tr w:rsidR="006F5C60" w:rsidRPr="0013179D" w14:paraId="1DE8928A" w14:textId="77777777" w:rsidTr="006F5C60">
        <w:tc>
          <w:tcPr>
            <w:tcW w:w="3747" w:type="dxa"/>
            <w:vAlign w:val="center"/>
          </w:tcPr>
          <w:p w14:paraId="2D7379E2" w14:textId="77777777" w:rsidR="006F5C60" w:rsidRPr="0093439C" w:rsidRDefault="006F5C60" w:rsidP="006F5C60">
            <w:pPr>
              <w:pStyle w:val="E3tabletext1"/>
              <w:rPr>
                <w:rFonts w:ascii="Helvetica" w:hAnsi="Helvetica" w:cs="Helvetica"/>
                <w:sz w:val="15"/>
                <w:szCs w:val="15"/>
              </w:rPr>
            </w:pPr>
            <w:r w:rsidRPr="0093439C">
              <w:rPr>
                <w:rFonts w:ascii="Helvetica" w:hAnsi="Helvetica" w:cs="Helvetica"/>
                <w:color w:val="000000"/>
                <w:sz w:val="15"/>
                <w:szCs w:val="15"/>
              </w:rPr>
              <w:t>4</w:t>
            </w:r>
          </w:p>
        </w:tc>
        <w:tc>
          <w:tcPr>
            <w:tcW w:w="5774" w:type="dxa"/>
            <w:vAlign w:val="center"/>
          </w:tcPr>
          <w:p w14:paraId="4217962A" w14:textId="77777777" w:rsidR="006F5C60" w:rsidRPr="0093439C" w:rsidRDefault="006F5C60" w:rsidP="006F5C60">
            <w:pPr>
              <w:pStyle w:val="E3tabletext1"/>
              <w:rPr>
                <w:rFonts w:ascii="Helvetica" w:hAnsi="Helvetica" w:cs="Helvetica"/>
                <w:sz w:val="15"/>
                <w:szCs w:val="15"/>
              </w:rPr>
            </w:pPr>
            <w:r w:rsidRPr="0093439C">
              <w:rPr>
                <w:rFonts w:ascii="Helvetica" w:hAnsi="Helvetica" w:cs="Helvetica"/>
                <w:color w:val="000000"/>
                <w:sz w:val="15"/>
                <w:szCs w:val="15"/>
              </w:rPr>
              <w:t>80% &lt; EEI ≤ 90%</w:t>
            </w:r>
          </w:p>
        </w:tc>
      </w:tr>
      <w:tr w:rsidR="006F5C60" w:rsidRPr="0013179D" w14:paraId="6BDDB646" w14:textId="77777777" w:rsidTr="006F5C60">
        <w:tc>
          <w:tcPr>
            <w:tcW w:w="3747" w:type="dxa"/>
            <w:vAlign w:val="center"/>
          </w:tcPr>
          <w:p w14:paraId="7E4A8455" w14:textId="77777777" w:rsidR="006F5C60" w:rsidRPr="0093439C" w:rsidRDefault="006F5C60" w:rsidP="006F5C60">
            <w:pPr>
              <w:pStyle w:val="E3tabletext1"/>
              <w:rPr>
                <w:rFonts w:ascii="Helvetica" w:hAnsi="Helvetica" w:cs="Helvetica"/>
                <w:sz w:val="15"/>
                <w:szCs w:val="15"/>
              </w:rPr>
            </w:pPr>
            <w:r w:rsidRPr="0093439C">
              <w:rPr>
                <w:rFonts w:ascii="Helvetica" w:hAnsi="Helvetica" w:cs="Helvetica"/>
                <w:color w:val="000000"/>
                <w:sz w:val="15"/>
                <w:szCs w:val="15"/>
              </w:rPr>
              <w:t>5</w:t>
            </w:r>
          </w:p>
        </w:tc>
        <w:tc>
          <w:tcPr>
            <w:tcW w:w="5774" w:type="dxa"/>
            <w:vAlign w:val="center"/>
          </w:tcPr>
          <w:p w14:paraId="0BC3A6AB" w14:textId="77777777" w:rsidR="006F5C60" w:rsidRPr="0093439C" w:rsidRDefault="006F5C60" w:rsidP="006F5C60">
            <w:pPr>
              <w:pStyle w:val="E3tabletext1"/>
              <w:rPr>
                <w:rFonts w:ascii="Helvetica" w:hAnsi="Helvetica" w:cs="Helvetica"/>
                <w:sz w:val="15"/>
                <w:szCs w:val="15"/>
              </w:rPr>
            </w:pPr>
            <w:r w:rsidRPr="0093439C">
              <w:rPr>
                <w:rFonts w:ascii="Helvetica" w:hAnsi="Helvetica" w:cs="Helvetica"/>
                <w:color w:val="000000"/>
                <w:sz w:val="15"/>
                <w:szCs w:val="15"/>
              </w:rPr>
              <w:t>90% &lt; EEI ≤ 100%</w:t>
            </w:r>
          </w:p>
        </w:tc>
      </w:tr>
    </w:tbl>
    <w:p w14:paraId="33A69890" w14:textId="63B82BE9" w:rsidR="006F5C60" w:rsidRPr="00AC7259" w:rsidRDefault="006F5C60" w:rsidP="006F5C60">
      <w:pPr>
        <w:jc w:val="both"/>
        <w:rPr>
          <w:sz w:val="24"/>
        </w:rPr>
      </w:pPr>
    </w:p>
    <w:p w14:paraId="19378CFA" w14:textId="09D7D7CE" w:rsidR="0028109D" w:rsidRDefault="00DD102F" w:rsidP="00317405">
      <w:pPr>
        <w:pStyle w:val="E3ChapterTitle"/>
      </w:pPr>
      <w:bookmarkStart w:id="582" w:name="_Toc500151855"/>
      <w:r>
        <w:rPr>
          <w:noProof/>
          <w:lang w:eastAsia="en-AU"/>
        </w:rPr>
        <w:lastRenderedPageBreak/>
        <w:drawing>
          <wp:anchor distT="0" distB="0" distL="114300" distR="114300" simplePos="0" relativeHeight="251658256" behindDoc="1" locked="1" layoutInCell="1" allowOverlap="1" wp14:anchorId="0DDCD0DF" wp14:editId="45238ABF">
            <wp:simplePos x="0" y="0"/>
            <wp:positionH relativeFrom="margin">
              <wp:align>left</wp:align>
            </wp:positionH>
            <wp:positionV relativeFrom="margin">
              <wp:posOffset>-429260</wp:posOffset>
            </wp:positionV>
            <wp:extent cx="6124575" cy="1800225"/>
            <wp:effectExtent l="0" t="0" r="9525" b="9525"/>
            <wp:wrapNone/>
            <wp:docPr id="7"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25"/>
                    <a:stretch>
                      <a:fillRect/>
                    </a:stretch>
                  </pic:blipFill>
                  <pic:spPr>
                    <a:xfrm>
                      <a:off x="0" y="0"/>
                      <a:ext cx="6124575" cy="1800225"/>
                    </a:xfrm>
                    <a:prstGeom prst="rect">
                      <a:avLst/>
                    </a:prstGeom>
                  </pic:spPr>
                </pic:pic>
              </a:graphicData>
            </a:graphic>
          </wp:anchor>
        </w:drawing>
      </w:r>
      <w:r w:rsidR="00803448">
        <w:t>Attachment F</w:t>
      </w:r>
      <w:r w:rsidR="00317405">
        <w:t xml:space="preserve"> – Technical Working Group Recommendations</w:t>
      </w:r>
      <w:bookmarkEnd w:id="582"/>
    </w:p>
    <w:p w14:paraId="35DED13C" w14:textId="77777777" w:rsidR="00317405" w:rsidRPr="0093439C" w:rsidRDefault="00317405" w:rsidP="00317405">
      <w:pPr>
        <w:pStyle w:val="E3Heading4"/>
      </w:pPr>
      <w:r w:rsidRPr="0093439C">
        <w:t>Overview</w:t>
      </w:r>
    </w:p>
    <w:p w14:paraId="400DAE3C" w14:textId="77777777" w:rsidR="00317405" w:rsidRDefault="00317405" w:rsidP="00317405">
      <w:pPr>
        <w:spacing w:after="200" w:line="276" w:lineRule="auto"/>
        <w:jc w:val="both"/>
        <w:rPr>
          <w:rFonts w:cs="Helvetica"/>
          <w:sz w:val="24"/>
        </w:rPr>
      </w:pPr>
      <w:r>
        <w:rPr>
          <w:rFonts w:cs="Helvetica"/>
          <w:sz w:val="24"/>
        </w:rPr>
        <w:t>The Technical Working Group (TWG) was formed on behalf of E3 to discuss technical issues which arose following consultation on the Consultation RIS and to make recommendations in relation to the proposed policy options.  The TWG was made up of industry representatives, regulators and independent experts.</w:t>
      </w:r>
    </w:p>
    <w:p w14:paraId="67E2108E" w14:textId="77777777" w:rsidR="00317405" w:rsidRDefault="00317405" w:rsidP="00317405">
      <w:pPr>
        <w:spacing w:after="200" w:line="276" w:lineRule="auto"/>
        <w:jc w:val="both"/>
        <w:rPr>
          <w:rFonts w:cs="Helvetica"/>
          <w:sz w:val="24"/>
        </w:rPr>
      </w:pPr>
      <w:r>
        <w:rPr>
          <w:rFonts w:cs="Helvetica"/>
          <w:sz w:val="24"/>
        </w:rPr>
        <w:t xml:space="preserve">The TWG has considered whether any technical adjustments are required in order to achieve alignment with the European Standards and Test Methods as proposed under the preferred option 4. There was consensus among TWG members that a move to adopt international standards was the best policy option and that the same policy measures should be extended to both refrigerated display and storage cabinets. </w:t>
      </w:r>
    </w:p>
    <w:p w14:paraId="66A212D7" w14:textId="77777777" w:rsidR="00317405" w:rsidRDefault="00317405" w:rsidP="00317405">
      <w:pPr>
        <w:spacing w:after="200" w:line="276" w:lineRule="auto"/>
        <w:jc w:val="both"/>
        <w:rPr>
          <w:rFonts w:cs="Helvetica"/>
          <w:sz w:val="24"/>
        </w:rPr>
      </w:pPr>
      <w:r>
        <w:rPr>
          <w:rFonts w:cs="Helvetica"/>
          <w:sz w:val="24"/>
        </w:rPr>
        <w:t xml:space="preserve">An important aspect of the TWG recommendations relates to alternative channels of registration for refrigerated commercial cabinets.  In particular, the feedback from industry supported a ‘deemed to comply’ pathway to demonstrating compliance and the need to clarify the definition of families of cabinets.  Both of these issues have been addressed by the TWG recommendations. </w:t>
      </w:r>
    </w:p>
    <w:p w14:paraId="72B9BA96" w14:textId="77777777" w:rsidR="00317405" w:rsidRDefault="00317405" w:rsidP="00317405">
      <w:pPr>
        <w:spacing w:after="200" w:line="276" w:lineRule="auto"/>
        <w:jc w:val="both"/>
        <w:rPr>
          <w:rFonts w:cs="Helvetica"/>
          <w:sz w:val="24"/>
        </w:rPr>
      </w:pPr>
      <w:r>
        <w:rPr>
          <w:rFonts w:cs="Helvetica"/>
          <w:sz w:val="24"/>
        </w:rPr>
        <w:t>The TWG recommendations have been the subject of a consultation paper that has gone out to industry for further feedback. The full consultation paper (and technical appendix) can be viewed on the Energy Rating Website (</w:t>
      </w:r>
      <w:hyperlink r:id="rId64" w:history="1">
        <w:r w:rsidRPr="00DB4BBD">
          <w:rPr>
            <w:rStyle w:val="Hyperlink"/>
            <w:rFonts w:cs="Helvetica"/>
            <w:sz w:val="24"/>
          </w:rPr>
          <w:t>www.energyrating.gov.au</w:t>
        </w:r>
      </w:hyperlink>
      <w:r>
        <w:rPr>
          <w:rFonts w:cs="Helvetica"/>
          <w:sz w:val="24"/>
        </w:rPr>
        <w:t>). The TWG recommendations are referred to below.</w:t>
      </w:r>
    </w:p>
    <w:p w14:paraId="5A380FB1" w14:textId="77777777" w:rsidR="00317405" w:rsidRPr="0093439C" w:rsidRDefault="00317405" w:rsidP="00317405">
      <w:pPr>
        <w:pBdr>
          <w:top w:val="nil"/>
          <w:left w:val="nil"/>
          <w:bottom w:val="nil"/>
          <w:right w:val="nil"/>
          <w:between w:val="nil"/>
          <w:bar w:val="nil"/>
        </w:pBdr>
        <w:spacing w:before="240" w:after="240" w:line="240" w:lineRule="auto"/>
        <w:jc w:val="both"/>
        <w:rPr>
          <w:rFonts w:eastAsia="Calibri" w:cs="Helvetica"/>
          <w:color w:val="0D0D0D"/>
          <w:sz w:val="24"/>
          <w:u w:color="0D0D0D"/>
          <w:bdr w:val="nil"/>
          <w:lang w:val="en-US" w:eastAsia="en-AU"/>
        </w:rPr>
      </w:pPr>
      <w:r w:rsidRPr="0093439C">
        <w:rPr>
          <w:rFonts w:eastAsia="Calibri" w:cs="Helvetica"/>
          <w:b/>
          <w:color w:val="0D0D0D"/>
          <w:sz w:val="24"/>
          <w:u w:color="0D0D0D"/>
          <w:bdr w:val="nil"/>
          <w:lang w:val="en-US" w:eastAsia="en-AU"/>
        </w:rPr>
        <w:t>Recommendation 1: Adoption of EU efficiency levels for refrigerated display cabinets</w:t>
      </w:r>
      <w:r w:rsidRPr="0093439C">
        <w:rPr>
          <w:rFonts w:eastAsia="Calibri" w:cs="Helvetica"/>
          <w:color w:val="0D0D0D"/>
          <w:sz w:val="24"/>
          <w:u w:color="0D0D0D"/>
          <w:bdr w:val="nil"/>
          <w:lang w:val="en-US" w:eastAsia="en-AU"/>
        </w:rPr>
        <w:t>.</w:t>
      </w:r>
    </w:p>
    <w:p w14:paraId="33BED53D" w14:textId="77777777" w:rsidR="00317405" w:rsidRPr="00C26E2D" w:rsidRDefault="00317405" w:rsidP="00317405">
      <w:pPr>
        <w:spacing w:before="120" w:after="0"/>
        <w:jc w:val="both"/>
        <w:rPr>
          <w:rFonts w:cstheme="minorHAnsi"/>
          <w:sz w:val="24"/>
        </w:rPr>
      </w:pPr>
      <w:r w:rsidRPr="00C26E2D">
        <w:rPr>
          <w:rFonts w:cstheme="minorHAnsi"/>
          <w:sz w:val="24"/>
        </w:rPr>
        <w:t>The proposed AU/NZ efficiency levels for Refrigerated Display Cabinets are based on minimum efficiencies aligned with previously published European levels (with adjustments to one cabinet category).  These are shown in the appended summary table.  The intention is to base the efficiency requirements on the EU Efficiency Regulations (See Option 4: Consultation RIS July 2016 Page 27).</w:t>
      </w:r>
    </w:p>
    <w:p w14:paraId="3B075A21" w14:textId="77777777" w:rsidR="00317405" w:rsidRPr="00C26E2D" w:rsidRDefault="00317405" w:rsidP="00317405">
      <w:pPr>
        <w:spacing w:before="240" w:after="0"/>
        <w:jc w:val="both"/>
        <w:rPr>
          <w:rFonts w:cstheme="minorHAnsi"/>
          <w:sz w:val="24"/>
        </w:rPr>
      </w:pPr>
      <w:r w:rsidRPr="00C26E2D">
        <w:rPr>
          <w:rFonts w:cstheme="minorHAnsi"/>
          <w:sz w:val="24"/>
        </w:rPr>
        <w:t>Proposed efficiency levels follow the policy option 4 proposals apart from IRV-4 (Integral Refrigerated Vertical Cabinet with Glass doors) that follows a modified policy option 4 to take into account the change from a volume based metric back to a TDA based metric. The efficiency level based on an Energy Efficiency Index (EEI), together with the proposed date of introduction, are shown in the</w:t>
      </w:r>
      <w:r w:rsidRPr="00C26E2D">
        <w:rPr>
          <w:rFonts w:cstheme="minorHAnsi"/>
          <w:b/>
          <w:sz w:val="24"/>
        </w:rPr>
        <w:t xml:space="preserve"> table</w:t>
      </w:r>
      <w:r w:rsidRPr="00C26E2D">
        <w:rPr>
          <w:rFonts w:cstheme="minorHAnsi"/>
          <w:sz w:val="24"/>
        </w:rPr>
        <w:t xml:space="preserve"> below. Efficiency levels for the majority of refrigerated display cabinets will be covered by the test methods set out in ISO 23953:2015.</w:t>
      </w:r>
    </w:p>
    <w:p w14:paraId="00E040FC" w14:textId="77777777" w:rsidR="00317405" w:rsidRPr="00C26E2D" w:rsidRDefault="00317405" w:rsidP="00317405">
      <w:pPr>
        <w:spacing w:after="120"/>
        <w:jc w:val="both"/>
        <w:rPr>
          <w:rFonts w:asciiTheme="minorHAnsi" w:hAnsiTheme="minorHAnsi" w:cstheme="minorHAnsi"/>
          <w:sz w:val="22"/>
          <w:szCs w:val="22"/>
        </w:rPr>
      </w:pPr>
    </w:p>
    <w:tbl>
      <w:tblPr>
        <w:tblW w:w="7656" w:type="dxa"/>
        <w:jc w:val="center"/>
        <w:tblLook w:val="04A0" w:firstRow="1" w:lastRow="0" w:firstColumn="1" w:lastColumn="0" w:noHBand="0" w:noVBand="1"/>
      </w:tblPr>
      <w:tblGrid>
        <w:gridCol w:w="3265"/>
        <w:gridCol w:w="4391"/>
      </w:tblGrid>
      <w:tr w:rsidR="00317405" w:rsidRPr="00C26E2D" w14:paraId="79BB2EB6" w14:textId="77777777" w:rsidTr="00510214">
        <w:trPr>
          <w:trHeight w:val="315"/>
          <w:jc w:val="center"/>
        </w:trPr>
        <w:tc>
          <w:tcPr>
            <w:tcW w:w="7656" w:type="dxa"/>
            <w:gridSpan w:val="2"/>
            <w:tcBorders>
              <w:top w:val="nil"/>
              <w:left w:val="single" w:sz="4" w:space="0" w:color="auto"/>
              <w:bottom w:val="nil"/>
              <w:right w:val="nil"/>
            </w:tcBorders>
            <w:shd w:val="clear" w:color="000000" w:fill="000000"/>
            <w:noWrap/>
            <w:vAlign w:val="center"/>
            <w:hideMark/>
          </w:tcPr>
          <w:p w14:paraId="3629B96C" w14:textId="77777777" w:rsidR="00317405" w:rsidRPr="00510214" w:rsidRDefault="00317405" w:rsidP="00510214">
            <w:pPr>
              <w:spacing w:before="60" w:after="60"/>
              <w:rPr>
                <w:rFonts w:ascii="Helvetica" w:eastAsia="Times New Roman" w:hAnsi="Helvetica" w:cs="Helvetica"/>
                <w:color w:val="FFFFFF"/>
                <w:sz w:val="20"/>
                <w:szCs w:val="20"/>
                <w:lang w:val="en-NZ" w:eastAsia="en-NZ"/>
              </w:rPr>
            </w:pPr>
            <w:r w:rsidRPr="00510214">
              <w:rPr>
                <w:rFonts w:ascii="Helvetica" w:eastAsia="Times New Roman" w:hAnsi="Helvetica" w:cs="Helvetica"/>
                <w:color w:val="FFFFFF"/>
                <w:sz w:val="20"/>
                <w:szCs w:val="20"/>
                <w:lang w:val="en-NZ" w:eastAsia="en-NZ"/>
              </w:rPr>
              <w:t>Proposed EU energy efficiency level for refrigerated display cabinets</w:t>
            </w:r>
          </w:p>
        </w:tc>
      </w:tr>
      <w:tr w:rsidR="00317405" w:rsidRPr="00C26E2D" w14:paraId="50FC196B" w14:textId="77777777" w:rsidTr="00F5660D">
        <w:trPr>
          <w:trHeight w:val="315"/>
          <w:jc w:val="center"/>
        </w:trPr>
        <w:tc>
          <w:tcPr>
            <w:tcW w:w="3265" w:type="dxa"/>
            <w:tcBorders>
              <w:top w:val="single" w:sz="4" w:space="0" w:color="auto"/>
              <w:left w:val="single" w:sz="4" w:space="0" w:color="auto"/>
              <w:bottom w:val="single" w:sz="4" w:space="0" w:color="auto"/>
              <w:right w:val="single" w:sz="4" w:space="0" w:color="auto"/>
            </w:tcBorders>
            <w:shd w:val="clear" w:color="000000" w:fill="D7E4BC"/>
            <w:vAlign w:val="bottom"/>
            <w:hideMark/>
          </w:tcPr>
          <w:p w14:paraId="1CFBF68D" w14:textId="77777777" w:rsidR="00317405" w:rsidRPr="00510214" w:rsidRDefault="00317405" w:rsidP="00F5660D">
            <w:pPr>
              <w:jc w:val="both"/>
              <w:rPr>
                <w:rFonts w:ascii="Helvetica" w:eastAsia="Times New Roman" w:hAnsi="Helvetica" w:cs="Helvetica"/>
                <w:color w:val="000000"/>
                <w:sz w:val="20"/>
                <w:szCs w:val="20"/>
                <w:lang w:val="en-NZ" w:eastAsia="en-NZ"/>
              </w:rPr>
            </w:pPr>
            <w:r w:rsidRPr="00510214">
              <w:rPr>
                <w:rFonts w:ascii="Helvetica" w:eastAsia="Times New Roman" w:hAnsi="Helvetica" w:cs="Helvetica"/>
                <w:color w:val="000000"/>
                <w:sz w:val="20"/>
                <w:szCs w:val="20"/>
                <w:lang w:val="en-NZ" w:eastAsia="en-NZ"/>
              </w:rPr>
              <w:t>Introduction</w:t>
            </w:r>
          </w:p>
        </w:tc>
        <w:tc>
          <w:tcPr>
            <w:tcW w:w="4391" w:type="dxa"/>
            <w:tcBorders>
              <w:top w:val="single" w:sz="4" w:space="0" w:color="auto"/>
              <w:left w:val="nil"/>
              <w:bottom w:val="single" w:sz="4" w:space="0" w:color="auto"/>
              <w:right w:val="single" w:sz="4" w:space="0" w:color="auto"/>
            </w:tcBorders>
            <w:shd w:val="clear" w:color="000000" w:fill="D7E4BC"/>
            <w:noWrap/>
            <w:vAlign w:val="center"/>
            <w:hideMark/>
          </w:tcPr>
          <w:p w14:paraId="092E5193" w14:textId="77777777" w:rsidR="00317405" w:rsidRPr="00510214" w:rsidRDefault="00317405" w:rsidP="00F5660D">
            <w:pPr>
              <w:jc w:val="both"/>
              <w:rPr>
                <w:rFonts w:ascii="Helvetica" w:eastAsia="Times New Roman" w:hAnsi="Helvetica" w:cs="Helvetica"/>
                <w:color w:val="000000"/>
                <w:sz w:val="20"/>
                <w:szCs w:val="20"/>
                <w:lang w:val="en-NZ" w:eastAsia="en-NZ"/>
              </w:rPr>
            </w:pPr>
            <w:r w:rsidRPr="00510214">
              <w:rPr>
                <w:rFonts w:ascii="Helvetica" w:eastAsia="Times New Roman" w:hAnsi="Helvetica" w:cs="Helvetica"/>
                <w:color w:val="000000"/>
                <w:sz w:val="20"/>
                <w:szCs w:val="20"/>
                <w:lang w:val="en-NZ" w:eastAsia="en-NZ"/>
              </w:rPr>
              <w:t>Specific refrigerated display cabinets</w:t>
            </w:r>
          </w:p>
        </w:tc>
      </w:tr>
      <w:tr w:rsidR="00317405" w:rsidRPr="00C26E2D" w14:paraId="582C53DC" w14:textId="77777777" w:rsidTr="00F5660D">
        <w:trPr>
          <w:trHeight w:val="452"/>
          <w:jc w:val="center"/>
        </w:trPr>
        <w:tc>
          <w:tcPr>
            <w:tcW w:w="3265"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14:paraId="7267ED5E" w14:textId="77777777" w:rsidR="00317405" w:rsidRPr="00510214" w:rsidRDefault="00317405" w:rsidP="00F5660D">
            <w:pPr>
              <w:jc w:val="both"/>
              <w:rPr>
                <w:rFonts w:ascii="Helvetica" w:eastAsia="Times New Roman" w:hAnsi="Helvetica" w:cs="Helvetica"/>
                <w:color w:val="000000"/>
                <w:sz w:val="20"/>
                <w:szCs w:val="20"/>
                <w:lang w:val="en-NZ" w:eastAsia="en-NZ"/>
              </w:rPr>
            </w:pPr>
            <w:r w:rsidRPr="00510214">
              <w:rPr>
                <w:rFonts w:ascii="Helvetica" w:eastAsia="Times New Roman" w:hAnsi="Helvetica" w:cs="Helvetica"/>
                <w:color w:val="000000"/>
                <w:sz w:val="20"/>
                <w:szCs w:val="20"/>
                <w:lang w:val="en-NZ" w:eastAsia="en-NZ"/>
              </w:rPr>
              <w:t>From 1 December 2019</w:t>
            </w:r>
          </w:p>
        </w:tc>
        <w:tc>
          <w:tcPr>
            <w:tcW w:w="4391"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80A24A4" w14:textId="77777777" w:rsidR="00317405" w:rsidRPr="00510214" w:rsidRDefault="00317405" w:rsidP="00F5660D">
            <w:pPr>
              <w:jc w:val="both"/>
              <w:rPr>
                <w:rFonts w:ascii="Helvetica" w:eastAsia="Times New Roman" w:hAnsi="Helvetica" w:cs="Helvetica"/>
                <w:color w:val="000000"/>
                <w:sz w:val="20"/>
                <w:szCs w:val="20"/>
                <w:lang w:val="en-NZ" w:eastAsia="en-NZ"/>
              </w:rPr>
            </w:pPr>
            <w:r w:rsidRPr="00510214">
              <w:rPr>
                <w:rFonts w:ascii="Helvetica" w:eastAsia="Times New Roman" w:hAnsi="Helvetica" w:cs="Helvetica"/>
                <w:color w:val="000000"/>
                <w:sz w:val="20"/>
                <w:szCs w:val="20"/>
                <w:lang w:val="en-NZ" w:eastAsia="en-NZ"/>
              </w:rPr>
              <w:t>EEI &lt; 130</w:t>
            </w:r>
          </w:p>
        </w:tc>
      </w:tr>
      <w:tr w:rsidR="00317405" w:rsidRPr="00C26E2D" w14:paraId="2E19DF69" w14:textId="77777777" w:rsidTr="00F5660D">
        <w:trPr>
          <w:trHeight w:val="448"/>
          <w:jc w:val="center"/>
        </w:trPr>
        <w:tc>
          <w:tcPr>
            <w:tcW w:w="3265" w:type="dxa"/>
            <w:vMerge/>
            <w:tcBorders>
              <w:top w:val="single" w:sz="4" w:space="0" w:color="auto"/>
              <w:left w:val="single" w:sz="4" w:space="0" w:color="auto"/>
              <w:bottom w:val="single" w:sz="4" w:space="0" w:color="auto"/>
              <w:right w:val="single" w:sz="4" w:space="0" w:color="auto"/>
            </w:tcBorders>
            <w:vAlign w:val="center"/>
            <w:hideMark/>
          </w:tcPr>
          <w:p w14:paraId="379A062D" w14:textId="77777777" w:rsidR="00317405" w:rsidRPr="00C26E2D" w:rsidRDefault="00317405" w:rsidP="00F5660D">
            <w:pPr>
              <w:jc w:val="both"/>
              <w:rPr>
                <w:rFonts w:asciiTheme="minorHAnsi" w:eastAsia="Times New Roman" w:hAnsiTheme="minorHAnsi" w:cs="Calibri"/>
                <w:color w:val="000000"/>
                <w:sz w:val="22"/>
                <w:szCs w:val="22"/>
                <w:lang w:val="en-NZ" w:eastAsia="en-NZ"/>
              </w:rPr>
            </w:pPr>
          </w:p>
        </w:tc>
        <w:tc>
          <w:tcPr>
            <w:tcW w:w="4391" w:type="dxa"/>
            <w:vMerge/>
            <w:tcBorders>
              <w:top w:val="single" w:sz="4" w:space="0" w:color="auto"/>
              <w:left w:val="single" w:sz="4" w:space="0" w:color="auto"/>
              <w:bottom w:val="single" w:sz="4" w:space="0" w:color="auto"/>
              <w:right w:val="single" w:sz="4" w:space="0" w:color="auto"/>
            </w:tcBorders>
            <w:vAlign w:val="center"/>
            <w:hideMark/>
          </w:tcPr>
          <w:p w14:paraId="2AEBAB5D" w14:textId="77777777" w:rsidR="00317405" w:rsidRPr="00C26E2D" w:rsidRDefault="00317405" w:rsidP="00F5660D">
            <w:pPr>
              <w:jc w:val="both"/>
              <w:rPr>
                <w:rFonts w:asciiTheme="minorHAnsi" w:eastAsia="Times New Roman" w:hAnsiTheme="minorHAnsi" w:cs="Calibri"/>
                <w:color w:val="000000"/>
                <w:sz w:val="22"/>
                <w:szCs w:val="22"/>
                <w:lang w:val="en-NZ" w:eastAsia="en-NZ"/>
              </w:rPr>
            </w:pPr>
          </w:p>
        </w:tc>
      </w:tr>
      <w:tr w:rsidR="00317405" w:rsidRPr="00C26E2D" w14:paraId="20A13DC9" w14:textId="77777777" w:rsidTr="00F5660D">
        <w:trPr>
          <w:trHeight w:val="448"/>
          <w:jc w:val="center"/>
        </w:trPr>
        <w:tc>
          <w:tcPr>
            <w:tcW w:w="3265" w:type="dxa"/>
            <w:vMerge/>
            <w:tcBorders>
              <w:top w:val="single" w:sz="4" w:space="0" w:color="auto"/>
              <w:left w:val="single" w:sz="4" w:space="0" w:color="auto"/>
              <w:bottom w:val="single" w:sz="4" w:space="0" w:color="auto"/>
              <w:right w:val="single" w:sz="4" w:space="0" w:color="auto"/>
            </w:tcBorders>
            <w:vAlign w:val="center"/>
            <w:hideMark/>
          </w:tcPr>
          <w:p w14:paraId="319C83B5" w14:textId="77777777" w:rsidR="00317405" w:rsidRPr="00C26E2D" w:rsidRDefault="00317405" w:rsidP="00F5660D">
            <w:pPr>
              <w:jc w:val="both"/>
              <w:rPr>
                <w:rFonts w:asciiTheme="minorHAnsi" w:eastAsia="Times New Roman" w:hAnsiTheme="minorHAnsi" w:cs="Calibri"/>
                <w:color w:val="000000"/>
                <w:sz w:val="22"/>
                <w:szCs w:val="22"/>
                <w:lang w:val="en-NZ" w:eastAsia="en-NZ"/>
              </w:rPr>
            </w:pPr>
          </w:p>
        </w:tc>
        <w:tc>
          <w:tcPr>
            <w:tcW w:w="4391" w:type="dxa"/>
            <w:vMerge/>
            <w:tcBorders>
              <w:top w:val="single" w:sz="4" w:space="0" w:color="auto"/>
              <w:left w:val="single" w:sz="4" w:space="0" w:color="auto"/>
              <w:bottom w:val="single" w:sz="4" w:space="0" w:color="auto"/>
              <w:right w:val="single" w:sz="4" w:space="0" w:color="auto"/>
            </w:tcBorders>
            <w:vAlign w:val="center"/>
            <w:hideMark/>
          </w:tcPr>
          <w:p w14:paraId="5C7571F2" w14:textId="77777777" w:rsidR="00317405" w:rsidRPr="00C26E2D" w:rsidRDefault="00317405" w:rsidP="00F5660D">
            <w:pPr>
              <w:jc w:val="both"/>
              <w:rPr>
                <w:rFonts w:asciiTheme="minorHAnsi" w:eastAsia="Times New Roman" w:hAnsiTheme="minorHAnsi" w:cs="Calibri"/>
                <w:color w:val="000000"/>
                <w:sz w:val="22"/>
                <w:szCs w:val="22"/>
                <w:lang w:val="en-NZ" w:eastAsia="en-NZ"/>
              </w:rPr>
            </w:pPr>
          </w:p>
        </w:tc>
      </w:tr>
    </w:tbl>
    <w:p w14:paraId="64CC1EEF" w14:textId="77777777" w:rsidR="00317405" w:rsidRPr="00C26E2D" w:rsidRDefault="00317405" w:rsidP="00317405">
      <w:pPr>
        <w:spacing w:after="120"/>
        <w:jc w:val="both"/>
        <w:rPr>
          <w:rFonts w:asciiTheme="minorHAnsi" w:hAnsiTheme="minorHAnsi" w:cstheme="minorHAnsi"/>
          <w:sz w:val="22"/>
          <w:szCs w:val="22"/>
        </w:rPr>
      </w:pPr>
    </w:p>
    <w:p w14:paraId="05CBABA4" w14:textId="77777777" w:rsidR="00317405" w:rsidRPr="0093439C" w:rsidRDefault="00317405" w:rsidP="00317405">
      <w:pPr>
        <w:pBdr>
          <w:top w:val="nil"/>
          <w:left w:val="nil"/>
          <w:bottom w:val="nil"/>
          <w:right w:val="nil"/>
          <w:between w:val="nil"/>
          <w:bar w:val="nil"/>
        </w:pBdr>
        <w:spacing w:after="0" w:line="240" w:lineRule="auto"/>
        <w:jc w:val="both"/>
        <w:rPr>
          <w:rFonts w:eastAsia="Calibri" w:cs="Helvetica"/>
          <w:b/>
          <w:color w:val="0D0D0D"/>
          <w:sz w:val="24"/>
          <w:u w:color="0D0D0D"/>
          <w:bdr w:val="nil"/>
          <w:lang w:val="en-US" w:eastAsia="en-AU"/>
        </w:rPr>
      </w:pPr>
      <w:r w:rsidRPr="0093439C">
        <w:rPr>
          <w:rFonts w:eastAsia="Calibri" w:cs="Helvetica"/>
          <w:b/>
          <w:color w:val="0D0D0D"/>
          <w:sz w:val="24"/>
          <w:u w:color="0D0D0D"/>
          <w:bdr w:val="nil"/>
          <w:lang w:val="en-US" w:eastAsia="en-AU"/>
        </w:rPr>
        <w:t>Recommendation 2: Adoption of EU efficiency levels for refrigerated storage cabinets.</w:t>
      </w:r>
    </w:p>
    <w:p w14:paraId="71846CDF" w14:textId="77777777" w:rsidR="00317405" w:rsidRPr="00C26E2D" w:rsidRDefault="00317405" w:rsidP="00317405">
      <w:pPr>
        <w:pBdr>
          <w:top w:val="nil"/>
          <w:left w:val="nil"/>
          <w:bottom w:val="nil"/>
          <w:right w:val="nil"/>
          <w:between w:val="nil"/>
          <w:bar w:val="nil"/>
        </w:pBdr>
        <w:spacing w:after="0" w:line="240" w:lineRule="auto"/>
        <w:jc w:val="both"/>
        <w:rPr>
          <w:rFonts w:eastAsia="Calibri" w:cs="Calibri"/>
          <w:bCs/>
          <w:color w:val="0D0D0D"/>
          <w:sz w:val="24"/>
          <w:u w:color="0D0D0D"/>
          <w:bdr w:val="nil"/>
          <w:lang w:val="en-US" w:eastAsia="en-AU"/>
        </w:rPr>
      </w:pPr>
    </w:p>
    <w:p w14:paraId="00518CFE" w14:textId="77777777" w:rsidR="00317405" w:rsidRPr="00C26E2D" w:rsidRDefault="00317405" w:rsidP="00317405">
      <w:pPr>
        <w:spacing w:line="240" w:lineRule="auto"/>
        <w:jc w:val="both"/>
        <w:rPr>
          <w:rFonts w:cstheme="minorHAnsi"/>
          <w:sz w:val="24"/>
        </w:rPr>
      </w:pPr>
      <w:r w:rsidRPr="00C26E2D">
        <w:rPr>
          <w:rFonts w:cstheme="minorHAnsi"/>
          <w:sz w:val="24"/>
        </w:rPr>
        <w:t>The TWG recommends the adoption of EU efficiency levels for Refrigerated Storage Cabinets. The proposed efficiency levels for Refrigerated Storage Cabinets are those currently applying in Europe which were implemented under Commission Regulation (EU) 2015/1095 on 5 May 2015 (see Consultation RIS July 2016 Page 27).</w:t>
      </w:r>
    </w:p>
    <w:p w14:paraId="539AA7FE" w14:textId="77777777" w:rsidR="00317405" w:rsidRPr="00C26E2D" w:rsidRDefault="00317405" w:rsidP="00317405">
      <w:pPr>
        <w:spacing w:before="240" w:line="240" w:lineRule="auto"/>
        <w:jc w:val="both"/>
        <w:rPr>
          <w:rFonts w:cstheme="minorHAnsi"/>
          <w:sz w:val="24"/>
        </w:rPr>
      </w:pPr>
      <w:r w:rsidRPr="00C26E2D">
        <w:rPr>
          <w:rFonts w:cstheme="minorHAnsi"/>
          <w:sz w:val="24"/>
        </w:rPr>
        <w:t>The efficiency levels based on an Energy Efficiency Index (EEI), and the proposed date of introduction, are shown in the table below.</w:t>
      </w:r>
    </w:p>
    <w:p w14:paraId="6F2B8C32" w14:textId="77777777" w:rsidR="00317405" w:rsidRPr="00C26E2D" w:rsidRDefault="00317405" w:rsidP="00317405">
      <w:pPr>
        <w:jc w:val="both"/>
        <w:rPr>
          <w:rFonts w:ascii="Calibri" w:hAnsi="Calibri" w:cstheme="minorHAnsi"/>
          <w:sz w:val="22"/>
          <w:szCs w:val="22"/>
        </w:rPr>
      </w:pPr>
    </w:p>
    <w:tbl>
      <w:tblPr>
        <w:tblW w:w="9180" w:type="dxa"/>
        <w:tblInd w:w="108" w:type="dxa"/>
        <w:tblLook w:val="04A0" w:firstRow="1" w:lastRow="0" w:firstColumn="1" w:lastColumn="0" w:noHBand="0" w:noVBand="1"/>
      </w:tblPr>
      <w:tblGrid>
        <w:gridCol w:w="2031"/>
        <w:gridCol w:w="3369"/>
        <w:gridCol w:w="3780"/>
      </w:tblGrid>
      <w:tr w:rsidR="00317405" w:rsidRPr="00C26E2D" w14:paraId="5D32B7E6" w14:textId="77777777" w:rsidTr="00F5660D">
        <w:trPr>
          <w:trHeight w:val="300"/>
        </w:trPr>
        <w:tc>
          <w:tcPr>
            <w:tcW w:w="9180" w:type="dxa"/>
            <w:gridSpan w:val="3"/>
            <w:tcBorders>
              <w:top w:val="nil"/>
              <w:left w:val="single" w:sz="4" w:space="0" w:color="auto"/>
              <w:bottom w:val="nil"/>
              <w:right w:val="nil"/>
            </w:tcBorders>
            <w:shd w:val="clear" w:color="000000" w:fill="000000"/>
            <w:noWrap/>
            <w:vAlign w:val="center"/>
            <w:hideMark/>
          </w:tcPr>
          <w:p w14:paraId="74AE48FB" w14:textId="77777777" w:rsidR="00317405" w:rsidRPr="00510214" w:rsidRDefault="00317405" w:rsidP="00510214">
            <w:pPr>
              <w:spacing w:before="60" w:after="60"/>
              <w:rPr>
                <w:rFonts w:ascii="Helvetica" w:eastAsia="Times New Roman" w:hAnsi="Helvetica" w:cs="Helvetica"/>
                <w:color w:val="FFFFFF"/>
                <w:sz w:val="20"/>
                <w:szCs w:val="20"/>
                <w:lang w:val="en-NZ" w:eastAsia="en-NZ"/>
              </w:rPr>
            </w:pPr>
            <w:r w:rsidRPr="00510214">
              <w:rPr>
                <w:rFonts w:ascii="Helvetica" w:eastAsia="Times New Roman" w:hAnsi="Helvetica" w:cs="Helvetica"/>
                <w:color w:val="FFFFFF"/>
                <w:sz w:val="20"/>
                <w:szCs w:val="20"/>
                <w:lang w:val="en-NZ" w:eastAsia="en-NZ"/>
              </w:rPr>
              <w:t>Proposed EU energy efficiency level for refrigerated storage cabinets</w:t>
            </w:r>
          </w:p>
        </w:tc>
      </w:tr>
      <w:tr w:rsidR="00317405" w:rsidRPr="00C26E2D" w14:paraId="35E205A6" w14:textId="77777777" w:rsidTr="00F5660D">
        <w:trPr>
          <w:trHeight w:val="300"/>
        </w:trPr>
        <w:tc>
          <w:tcPr>
            <w:tcW w:w="2031" w:type="dxa"/>
            <w:tcBorders>
              <w:top w:val="single" w:sz="4" w:space="0" w:color="auto"/>
              <w:left w:val="single" w:sz="4" w:space="0" w:color="auto"/>
              <w:bottom w:val="single" w:sz="4" w:space="0" w:color="auto"/>
              <w:right w:val="single" w:sz="4" w:space="0" w:color="auto"/>
            </w:tcBorders>
            <w:shd w:val="clear" w:color="000000" w:fill="D7E4BC"/>
            <w:vAlign w:val="bottom"/>
            <w:hideMark/>
          </w:tcPr>
          <w:p w14:paraId="7DC5CFFD" w14:textId="77777777" w:rsidR="00317405" w:rsidRPr="00510214" w:rsidRDefault="00317405" w:rsidP="00F5660D">
            <w:pPr>
              <w:jc w:val="center"/>
              <w:rPr>
                <w:rFonts w:ascii="Helvetica" w:eastAsia="Times New Roman" w:hAnsi="Helvetica" w:cs="Helvetica"/>
                <w:color w:val="000000"/>
                <w:sz w:val="20"/>
                <w:szCs w:val="20"/>
                <w:lang w:val="en-NZ" w:eastAsia="en-NZ"/>
              </w:rPr>
            </w:pPr>
            <w:r w:rsidRPr="00510214">
              <w:rPr>
                <w:rFonts w:ascii="Helvetica" w:eastAsia="Times New Roman" w:hAnsi="Helvetica" w:cs="Helvetica"/>
                <w:color w:val="000000"/>
                <w:sz w:val="20"/>
                <w:szCs w:val="20"/>
                <w:lang w:val="en-NZ" w:eastAsia="en-NZ"/>
              </w:rPr>
              <w:t>Introduction</w:t>
            </w:r>
          </w:p>
        </w:tc>
        <w:tc>
          <w:tcPr>
            <w:tcW w:w="3369" w:type="dxa"/>
            <w:tcBorders>
              <w:top w:val="single" w:sz="4" w:space="0" w:color="auto"/>
              <w:left w:val="nil"/>
              <w:bottom w:val="single" w:sz="4" w:space="0" w:color="auto"/>
              <w:right w:val="single" w:sz="4" w:space="0" w:color="000000"/>
            </w:tcBorders>
            <w:shd w:val="clear" w:color="000000" w:fill="D7E4BC"/>
            <w:vAlign w:val="center"/>
            <w:hideMark/>
          </w:tcPr>
          <w:p w14:paraId="28C90A28" w14:textId="77777777" w:rsidR="00317405" w:rsidRPr="00510214" w:rsidRDefault="00317405" w:rsidP="00F5660D">
            <w:pPr>
              <w:jc w:val="center"/>
              <w:rPr>
                <w:rFonts w:ascii="Helvetica" w:eastAsia="Times New Roman" w:hAnsi="Helvetica" w:cs="Helvetica"/>
                <w:color w:val="000000"/>
                <w:sz w:val="20"/>
                <w:szCs w:val="20"/>
                <w:lang w:val="en-NZ" w:eastAsia="en-NZ"/>
              </w:rPr>
            </w:pPr>
            <w:r w:rsidRPr="00510214">
              <w:rPr>
                <w:rFonts w:ascii="Helvetica" w:eastAsia="Times New Roman" w:hAnsi="Helvetica" w:cs="Helvetica"/>
                <w:color w:val="000000"/>
                <w:sz w:val="20"/>
                <w:szCs w:val="20"/>
                <w:lang w:val="en-NZ" w:eastAsia="en-NZ"/>
              </w:rPr>
              <w:t>Refrigerated storage cabinets</w:t>
            </w:r>
          </w:p>
          <w:p w14:paraId="43977414" w14:textId="77777777" w:rsidR="00317405" w:rsidRPr="00510214" w:rsidRDefault="00317405" w:rsidP="00F5660D">
            <w:pPr>
              <w:jc w:val="center"/>
              <w:rPr>
                <w:rFonts w:ascii="Helvetica" w:eastAsia="Times New Roman" w:hAnsi="Helvetica" w:cs="Helvetica"/>
                <w:color w:val="000000"/>
                <w:sz w:val="20"/>
                <w:szCs w:val="20"/>
                <w:lang w:val="en-NZ" w:eastAsia="en-NZ"/>
              </w:rPr>
            </w:pPr>
            <w:r w:rsidRPr="00510214">
              <w:rPr>
                <w:rFonts w:ascii="Helvetica" w:eastAsia="Times New Roman" w:hAnsi="Helvetica" w:cs="Helvetica"/>
                <w:color w:val="000000"/>
                <w:sz w:val="20"/>
                <w:szCs w:val="20"/>
                <w:lang w:val="en-NZ" w:eastAsia="en-NZ"/>
              </w:rPr>
              <w:t>Light and Normal Duty</w:t>
            </w:r>
          </w:p>
        </w:tc>
        <w:tc>
          <w:tcPr>
            <w:tcW w:w="3780" w:type="dxa"/>
            <w:tcBorders>
              <w:top w:val="single" w:sz="4" w:space="0" w:color="auto"/>
              <w:left w:val="nil"/>
              <w:bottom w:val="single" w:sz="4" w:space="0" w:color="auto"/>
              <w:right w:val="single" w:sz="4" w:space="0" w:color="000000"/>
            </w:tcBorders>
            <w:shd w:val="clear" w:color="000000" w:fill="D7E4BC"/>
            <w:noWrap/>
            <w:vAlign w:val="center"/>
            <w:hideMark/>
          </w:tcPr>
          <w:p w14:paraId="244CEB0D" w14:textId="77777777" w:rsidR="00317405" w:rsidRPr="00510214" w:rsidRDefault="00317405" w:rsidP="00F5660D">
            <w:pPr>
              <w:jc w:val="center"/>
              <w:rPr>
                <w:rFonts w:ascii="Helvetica" w:eastAsia="Times New Roman" w:hAnsi="Helvetica" w:cs="Helvetica"/>
                <w:color w:val="000000"/>
                <w:sz w:val="20"/>
                <w:szCs w:val="20"/>
                <w:lang w:val="en-NZ" w:eastAsia="en-NZ"/>
              </w:rPr>
            </w:pPr>
            <w:r w:rsidRPr="00510214">
              <w:rPr>
                <w:rFonts w:ascii="Helvetica" w:eastAsia="Times New Roman" w:hAnsi="Helvetica" w:cs="Helvetica"/>
                <w:color w:val="000000"/>
                <w:sz w:val="20"/>
                <w:szCs w:val="20"/>
                <w:lang w:val="en-NZ" w:eastAsia="en-NZ"/>
              </w:rPr>
              <w:t>Heavy duty cabinets</w:t>
            </w:r>
          </w:p>
        </w:tc>
      </w:tr>
      <w:tr w:rsidR="00317405" w:rsidRPr="00C26E2D" w14:paraId="3D971EB3" w14:textId="77777777" w:rsidTr="00F5660D">
        <w:trPr>
          <w:trHeight w:val="382"/>
        </w:trPr>
        <w:tc>
          <w:tcPr>
            <w:tcW w:w="2031" w:type="dxa"/>
            <w:vMerge w:val="restart"/>
            <w:tcBorders>
              <w:top w:val="nil"/>
              <w:left w:val="single" w:sz="4" w:space="0" w:color="auto"/>
              <w:bottom w:val="single" w:sz="4" w:space="0" w:color="000000"/>
              <w:right w:val="single" w:sz="4" w:space="0" w:color="auto"/>
            </w:tcBorders>
            <w:shd w:val="clear" w:color="auto" w:fill="auto"/>
            <w:vAlign w:val="center"/>
            <w:hideMark/>
          </w:tcPr>
          <w:p w14:paraId="3AFF866D" w14:textId="77777777" w:rsidR="00317405" w:rsidRPr="00510214" w:rsidRDefault="00317405" w:rsidP="00F5660D">
            <w:pPr>
              <w:jc w:val="center"/>
              <w:rPr>
                <w:rFonts w:ascii="Helvetica" w:eastAsia="Times New Roman" w:hAnsi="Helvetica" w:cs="Helvetica"/>
                <w:color w:val="000000"/>
                <w:sz w:val="20"/>
                <w:szCs w:val="20"/>
                <w:lang w:val="en-NZ" w:eastAsia="en-NZ"/>
              </w:rPr>
            </w:pPr>
            <w:r w:rsidRPr="00510214">
              <w:rPr>
                <w:rFonts w:ascii="Helvetica" w:eastAsia="Times New Roman" w:hAnsi="Helvetica" w:cs="Helvetica"/>
                <w:color w:val="000000"/>
                <w:sz w:val="20"/>
                <w:szCs w:val="20"/>
                <w:lang w:val="en-NZ" w:eastAsia="en-NZ"/>
              </w:rPr>
              <w:t>1 December 2019</w:t>
            </w:r>
          </w:p>
        </w:tc>
        <w:tc>
          <w:tcPr>
            <w:tcW w:w="336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7D4C442" w14:textId="77777777" w:rsidR="00317405" w:rsidRPr="00510214" w:rsidRDefault="00317405" w:rsidP="00F5660D">
            <w:pPr>
              <w:jc w:val="center"/>
              <w:rPr>
                <w:rFonts w:ascii="Helvetica" w:eastAsia="Times New Roman" w:hAnsi="Helvetica" w:cs="Helvetica"/>
                <w:color w:val="000000"/>
                <w:sz w:val="20"/>
                <w:szCs w:val="20"/>
                <w:lang w:val="en-NZ" w:eastAsia="en-NZ"/>
              </w:rPr>
            </w:pPr>
            <w:r w:rsidRPr="00510214">
              <w:rPr>
                <w:rFonts w:ascii="Helvetica" w:eastAsia="Times New Roman" w:hAnsi="Helvetica" w:cs="Helvetica"/>
                <w:color w:val="000000"/>
                <w:sz w:val="20"/>
                <w:szCs w:val="20"/>
                <w:lang w:val="en-NZ" w:eastAsia="en-NZ"/>
              </w:rPr>
              <w:t>EEI &lt; 95</w:t>
            </w:r>
          </w:p>
        </w:tc>
        <w:tc>
          <w:tcPr>
            <w:tcW w:w="378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87A0ED0" w14:textId="77777777" w:rsidR="00317405" w:rsidRPr="00510214" w:rsidRDefault="00317405" w:rsidP="00F5660D">
            <w:pPr>
              <w:jc w:val="center"/>
              <w:rPr>
                <w:rFonts w:ascii="Helvetica" w:eastAsia="Times New Roman" w:hAnsi="Helvetica" w:cs="Helvetica"/>
                <w:color w:val="000000"/>
                <w:sz w:val="20"/>
                <w:szCs w:val="20"/>
                <w:lang w:val="en-NZ" w:eastAsia="en-NZ"/>
              </w:rPr>
            </w:pPr>
            <w:r w:rsidRPr="00510214">
              <w:rPr>
                <w:rFonts w:ascii="Helvetica" w:eastAsia="Times New Roman" w:hAnsi="Helvetica" w:cs="Helvetica"/>
                <w:color w:val="000000"/>
                <w:sz w:val="20"/>
                <w:szCs w:val="20"/>
                <w:lang w:val="en-NZ" w:eastAsia="en-NZ"/>
              </w:rPr>
              <w:t>EEI &lt; 115</w:t>
            </w:r>
          </w:p>
        </w:tc>
      </w:tr>
      <w:tr w:rsidR="00317405" w:rsidRPr="00C26E2D" w14:paraId="20BD2307" w14:textId="77777777" w:rsidTr="00F5660D">
        <w:trPr>
          <w:trHeight w:val="448"/>
        </w:trPr>
        <w:tc>
          <w:tcPr>
            <w:tcW w:w="2031" w:type="dxa"/>
            <w:vMerge/>
            <w:tcBorders>
              <w:top w:val="nil"/>
              <w:left w:val="single" w:sz="4" w:space="0" w:color="auto"/>
              <w:bottom w:val="single" w:sz="4" w:space="0" w:color="000000"/>
              <w:right w:val="single" w:sz="4" w:space="0" w:color="auto"/>
            </w:tcBorders>
            <w:vAlign w:val="center"/>
            <w:hideMark/>
          </w:tcPr>
          <w:p w14:paraId="69818A66" w14:textId="77777777" w:rsidR="00317405" w:rsidRPr="00C26E2D" w:rsidRDefault="00317405" w:rsidP="00F5660D">
            <w:pPr>
              <w:rPr>
                <w:rFonts w:ascii="Calibri" w:eastAsia="Times New Roman" w:hAnsi="Calibri" w:cs="Calibri"/>
                <w:color w:val="000000"/>
                <w:highlight w:val="yellow"/>
                <w:lang w:val="en-NZ" w:eastAsia="en-NZ"/>
              </w:rPr>
            </w:pPr>
          </w:p>
        </w:tc>
        <w:tc>
          <w:tcPr>
            <w:tcW w:w="3369" w:type="dxa"/>
            <w:vMerge/>
            <w:tcBorders>
              <w:top w:val="single" w:sz="4" w:space="0" w:color="auto"/>
              <w:left w:val="single" w:sz="4" w:space="0" w:color="auto"/>
              <w:bottom w:val="single" w:sz="4" w:space="0" w:color="000000"/>
              <w:right w:val="single" w:sz="4" w:space="0" w:color="000000"/>
            </w:tcBorders>
            <w:vAlign w:val="center"/>
            <w:hideMark/>
          </w:tcPr>
          <w:p w14:paraId="29A74EF0" w14:textId="77777777" w:rsidR="00317405" w:rsidRPr="00C26E2D" w:rsidRDefault="00317405" w:rsidP="00F5660D">
            <w:pPr>
              <w:rPr>
                <w:rFonts w:ascii="Calibri" w:eastAsia="Times New Roman" w:hAnsi="Calibri" w:cs="Calibri"/>
                <w:color w:val="000000"/>
                <w:highlight w:val="yellow"/>
                <w:lang w:val="en-NZ" w:eastAsia="en-NZ"/>
              </w:rPr>
            </w:pPr>
          </w:p>
        </w:tc>
        <w:tc>
          <w:tcPr>
            <w:tcW w:w="3780" w:type="dxa"/>
            <w:vMerge/>
            <w:tcBorders>
              <w:top w:val="single" w:sz="4" w:space="0" w:color="auto"/>
              <w:left w:val="single" w:sz="4" w:space="0" w:color="auto"/>
              <w:bottom w:val="single" w:sz="4" w:space="0" w:color="000000"/>
              <w:right w:val="single" w:sz="4" w:space="0" w:color="000000"/>
            </w:tcBorders>
            <w:vAlign w:val="center"/>
            <w:hideMark/>
          </w:tcPr>
          <w:p w14:paraId="128C0589" w14:textId="77777777" w:rsidR="00317405" w:rsidRPr="00C26E2D" w:rsidRDefault="00317405" w:rsidP="00F5660D">
            <w:pPr>
              <w:rPr>
                <w:rFonts w:ascii="Calibri" w:eastAsia="Times New Roman" w:hAnsi="Calibri" w:cs="Calibri"/>
                <w:color w:val="000000"/>
                <w:highlight w:val="yellow"/>
                <w:lang w:val="en-NZ" w:eastAsia="en-NZ"/>
              </w:rPr>
            </w:pPr>
          </w:p>
        </w:tc>
      </w:tr>
      <w:tr w:rsidR="00317405" w:rsidRPr="00C26E2D" w14:paraId="58F8674E" w14:textId="77777777" w:rsidTr="00F5660D">
        <w:trPr>
          <w:trHeight w:val="448"/>
        </w:trPr>
        <w:tc>
          <w:tcPr>
            <w:tcW w:w="2031" w:type="dxa"/>
            <w:vMerge/>
            <w:tcBorders>
              <w:top w:val="nil"/>
              <w:left w:val="single" w:sz="4" w:space="0" w:color="auto"/>
              <w:bottom w:val="single" w:sz="4" w:space="0" w:color="000000"/>
              <w:right w:val="single" w:sz="4" w:space="0" w:color="auto"/>
            </w:tcBorders>
            <w:vAlign w:val="center"/>
            <w:hideMark/>
          </w:tcPr>
          <w:p w14:paraId="12F5773F" w14:textId="77777777" w:rsidR="00317405" w:rsidRPr="00C26E2D" w:rsidRDefault="00317405" w:rsidP="00F5660D">
            <w:pPr>
              <w:rPr>
                <w:rFonts w:ascii="Calibri" w:eastAsia="Times New Roman" w:hAnsi="Calibri" w:cs="Calibri"/>
                <w:color w:val="000000"/>
                <w:lang w:val="en-NZ" w:eastAsia="en-NZ"/>
              </w:rPr>
            </w:pPr>
          </w:p>
        </w:tc>
        <w:tc>
          <w:tcPr>
            <w:tcW w:w="3369" w:type="dxa"/>
            <w:vMerge/>
            <w:tcBorders>
              <w:top w:val="single" w:sz="4" w:space="0" w:color="auto"/>
              <w:left w:val="single" w:sz="4" w:space="0" w:color="auto"/>
              <w:bottom w:val="single" w:sz="4" w:space="0" w:color="000000"/>
              <w:right w:val="single" w:sz="4" w:space="0" w:color="000000"/>
            </w:tcBorders>
            <w:vAlign w:val="center"/>
            <w:hideMark/>
          </w:tcPr>
          <w:p w14:paraId="6DEC6C19" w14:textId="77777777" w:rsidR="00317405" w:rsidRPr="00C26E2D" w:rsidRDefault="00317405" w:rsidP="00F5660D">
            <w:pPr>
              <w:rPr>
                <w:rFonts w:ascii="Calibri" w:eastAsia="Times New Roman" w:hAnsi="Calibri" w:cs="Calibri"/>
                <w:color w:val="000000"/>
                <w:lang w:val="en-NZ" w:eastAsia="en-NZ"/>
              </w:rPr>
            </w:pPr>
          </w:p>
        </w:tc>
        <w:tc>
          <w:tcPr>
            <w:tcW w:w="3780" w:type="dxa"/>
            <w:vMerge/>
            <w:tcBorders>
              <w:top w:val="single" w:sz="4" w:space="0" w:color="auto"/>
              <w:left w:val="single" w:sz="4" w:space="0" w:color="auto"/>
              <w:bottom w:val="single" w:sz="4" w:space="0" w:color="000000"/>
              <w:right w:val="single" w:sz="4" w:space="0" w:color="000000"/>
            </w:tcBorders>
            <w:vAlign w:val="center"/>
            <w:hideMark/>
          </w:tcPr>
          <w:p w14:paraId="21FBEE79" w14:textId="77777777" w:rsidR="00317405" w:rsidRPr="00C26E2D" w:rsidRDefault="00317405" w:rsidP="00F5660D">
            <w:pPr>
              <w:rPr>
                <w:rFonts w:ascii="Calibri" w:eastAsia="Times New Roman" w:hAnsi="Calibri" w:cs="Calibri"/>
                <w:color w:val="000000"/>
                <w:lang w:val="en-NZ" w:eastAsia="en-NZ"/>
              </w:rPr>
            </w:pPr>
          </w:p>
        </w:tc>
      </w:tr>
    </w:tbl>
    <w:p w14:paraId="4CA002E3" w14:textId="77777777" w:rsidR="00317405" w:rsidRPr="00C26E2D" w:rsidRDefault="00317405" w:rsidP="00317405">
      <w:pPr>
        <w:rPr>
          <w:rFonts w:ascii="Calibri" w:hAnsi="Calibri" w:cstheme="minorHAnsi"/>
          <w:sz w:val="22"/>
          <w:szCs w:val="22"/>
        </w:rPr>
      </w:pPr>
    </w:p>
    <w:p w14:paraId="319B995B" w14:textId="77777777" w:rsidR="00317405" w:rsidRPr="00C26E2D" w:rsidRDefault="00317405" w:rsidP="00317405">
      <w:pPr>
        <w:spacing w:after="120" w:line="240" w:lineRule="auto"/>
        <w:jc w:val="both"/>
        <w:rPr>
          <w:rFonts w:cstheme="minorHAnsi"/>
          <w:sz w:val="24"/>
        </w:rPr>
      </w:pPr>
      <w:r w:rsidRPr="00C26E2D">
        <w:rPr>
          <w:rFonts w:cstheme="minorHAnsi"/>
          <w:sz w:val="24"/>
        </w:rPr>
        <w:t xml:space="preserve">For regulatory purposes, Refrigerated Storage Cabinets are grouped into four categories based on physical characteristics: </w:t>
      </w:r>
    </w:p>
    <w:p w14:paraId="3956F833" w14:textId="77777777" w:rsidR="00317405" w:rsidRPr="00C26E2D" w:rsidRDefault="00317405" w:rsidP="00317405">
      <w:pPr>
        <w:numPr>
          <w:ilvl w:val="1"/>
          <w:numId w:val="53"/>
        </w:numPr>
        <w:contextualSpacing/>
        <w:jc w:val="both"/>
        <w:rPr>
          <w:rFonts w:cstheme="minorHAnsi"/>
          <w:sz w:val="24"/>
        </w:rPr>
      </w:pPr>
      <w:r w:rsidRPr="00C26E2D">
        <w:rPr>
          <w:rFonts w:cstheme="minorHAnsi"/>
          <w:sz w:val="24"/>
        </w:rPr>
        <w:t>Vertical Chilled</w:t>
      </w:r>
    </w:p>
    <w:p w14:paraId="587C8296" w14:textId="77777777" w:rsidR="00317405" w:rsidRPr="00C26E2D" w:rsidRDefault="00317405" w:rsidP="00317405">
      <w:pPr>
        <w:numPr>
          <w:ilvl w:val="1"/>
          <w:numId w:val="53"/>
        </w:numPr>
        <w:contextualSpacing/>
        <w:jc w:val="both"/>
        <w:rPr>
          <w:rFonts w:cstheme="minorHAnsi"/>
          <w:sz w:val="24"/>
        </w:rPr>
      </w:pPr>
      <w:r w:rsidRPr="00C26E2D">
        <w:rPr>
          <w:rFonts w:cstheme="minorHAnsi"/>
          <w:sz w:val="24"/>
        </w:rPr>
        <w:t>Vertical Frozen</w:t>
      </w:r>
    </w:p>
    <w:p w14:paraId="3BAA87F7" w14:textId="77777777" w:rsidR="00317405" w:rsidRPr="00C26E2D" w:rsidRDefault="00317405" w:rsidP="00317405">
      <w:pPr>
        <w:numPr>
          <w:ilvl w:val="1"/>
          <w:numId w:val="53"/>
        </w:numPr>
        <w:contextualSpacing/>
        <w:jc w:val="both"/>
        <w:rPr>
          <w:rFonts w:cstheme="minorHAnsi"/>
          <w:sz w:val="24"/>
        </w:rPr>
      </w:pPr>
      <w:r w:rsidRPr="00C26E2D">
        <w:rPr>
          <w:rFonts w:cstheme="minorHAnsi"/>
          <w:sz w:val="24"/>
        </w:rPr>
        <w:t>Counter Chilled</w:t>
      </w:r>
    </w:p>
    <w:p w14:paraId="182ECF8C" w14:textId="77777777" w:rsidR="00317405" w:rsidRPr="00C26E2D" w:rsidRDefault="00317405" w:rsidP="00317405">
      <w:pPr>
        <w:numPr>
          <w:ilvl w:val="1"/>
          <w:numId w:val="53"/>
        </w:numPr>
        <w:contextualSpacing/>
        <w:jc w:val="both"/>
        <w:rPr>
          <w:rFonts w:cstheme="minorHAnsi"/>
          <w:sz w:val="24"/>
        </w:rPr>
      </w:pPr>
      <w:r w:rsidRPr="00C26E2D">
        <w:rPr>
          <w:rFonts w:cstheme="minorHAnsi"/>
          <w:sz w:val="24"/>
        </w:rPr>
        <w:t>Counter Frozen</w:t>
      </w:r>
    </w:p>
    <w:p w14:paraId="56DCE5E8" w14:textId="77777777" w:rsidR="00317405" w:rsidRPr="00C26E2D" w:rsidRDefault="00317405" w:rsidP="00317405">
      <w:pPr>
        <w:spacing w:after="120"/>
        <w:jc w:val="both"/>
        <w:rPr>
          <w:rFonts w:cstheme="minorHAnsi"/>
          <w:sz w:val="24"/>
        </w:rPr>
      </w:pPr>
      <w:r w:rsidRPr="00C26E2D">
        <w:rPr>
          <w:rFonts w:cstheme="minorHAnsi"/>
          <w:sz w:val="24"/>
        </w:rPr>
        <w:t>These products are then further classified by a Duty Rating based on the ambient conditions in which the cabinets are intended to operate:</w:t>
      </w:r>
    </w:p>
    <w:p w14:paraId="736CCA06" w14:textId="77777777" w:rsidR="00317405" w:rsidRPr="00C26E2D" w:rsidRDefault="00317405" w:rsidP="00317405">
      <w:pPr>
        <w:numPr>
          <w:ilvl w:val="0"/>
          <w:numId w:val="54"/>
        </w:numPr>
        <w:contextualSpacing/>
        <w:jc w:val="both"/>
        <w:rPr>
          <w:rFonts w:cstheme="minorHAnsi"/>
          <w:sz w:val="24"/>
        </w:rPr>
      </w:pPr>
      <w:r w:rsidRPr="00C26E2D">
        <w:rPr>
          <w:rFonts w:cstheme="minorHAnsi"/>
          <w:sz w:val="24"/>
        </w:rPr>
        <w:t xml:space="preserve">Light duty </w:t>
      </w:r>
    </w:p>
    <w:p w14:paraId="2F8F32BB" w14:textId="77777777" w:rsidR="00317405" w:rsidRPr="00C26E2D" w:rsidRDefault="00317405" w:rsidP="00317405">
      <w:pPr>
        <w:numPr>
          <w:ilvl w:val="0"/>
          <w:numId w:val="54"/>
        </w:numPr>
        <w:contextualSpacing/>
        <w:jc w:val="both"/>
        <w:rPr>
          <w:rFonts w:cstheme="minorHAnsi"/>
          <w:sz w:val="24"/>
        </w:rPr>
      </w:pPr>
      <w:r w:rsidRPr="00C26E2D">
        <w:rPr>
          <w:rFonts w:cstheme="minorHAnsi"/>
          <w:sz w:val="24"/>
        </w:rPr>
        <w:t>Normal duty</w:t>
      </w:r>
    </w:p>
    <w:p w14:paraId="2399EECD" w14:textId="77777777" w:rsidR="00317405" w:rsidRPr="00C26E2D" w:rsidRDefault="00317405" w:rsidP="00317405">
      <w:pPr>
        <w:numPr>
          <w:ilvl w:val="0"/>
          <w:numId w:val="54"/>
        </w:numPr>
        <w:contextualSpacing/>
        <w:jc w:val="both"/>
        <w:rPr>
          <w:rFonts w:cstheme="minorHAnsi"/>
          <w:sz w:val="24"/>
        </w:rPr>
      </w:pPr>
      <w:r w:rsidRPr="00C26E2D">
        <w:rPr>
          <w:rFonts w:cstheme="minorHAnsi"/>
          <w:sz w:val="24"/>
        </w:rPr>
        <w:t>Heavy duty</w:t>
      </w:r>
    </w:p>
    <w:p w14:paraId="636AF128" w14:textId="77777777" w:rsidR="00317405" w:rsidRPr="00C26E2D" w:rsidRDefault="00317405" w:rsidP="00317405">
      <w:pPr>
        <w:spacing w:before="240"/>
        <w:jc w:val="both"/>
        <w:rPr>
          <w:rFonts w:cstheme="minorHAnsi"/>
          <w:sz w:val="24"/>
        </w:rPr>
      </w:pPr>
      <w:r w:rsidRPr="00C26E2D">
        <w:rPr>
          <w:rFonts w:cstheme="minorHAnsi"/>
          <w:sz w:val="24"/>
        </w:rPr>
        <w:t xml:space="preserve">The Standard detailing the test method for these cabinets is EN 16825:2016, </w:t>
      </w:r>
      <w:r w:rsidRPr="00C26E2D">
        <w:rPr>
          <w:rFonts w:cstheme="minorHAnsi"/>
          <w:i/>
          <w:sz w:val="24"/>
        </w:rPr>
        <w:t xml:space="preserve">Refrigerated storage cabinets for professional use – Classification, requirements and test conditions. </w:t>
      </w:r>
      <w:r w:rsidRPr="00C26E2D">
        <w:rPr>
          <w:rFonts w:cstheme="minorHAnsi"/>
          <w:sz w:val="24"/>
        </w:rPr>
        <w:t xml:space="preserve">Temperature performance and energy consumption are tested to determine energy </w:t>
      </w:r>
      <w:r w:rsidRPr="00C26E2D">
        <w:rPr>
          <w:rFonts w:cstheme="minorHAnsi"/>
          <w:sz w:val="24"/>
        </w:rPr>
        <w:lastRenderedPageBreak/>
        <w:t xml:space="preserve">efficiency in the form of an Energy Efficiency Index (EEI), with the EEI calculated using formulae prescribed by EU Regulations. </w:t>
      </w:r>
    </w:p>
    <w:p w14:paraId="18B27EB3" w14:textId="77777777" w:rsidR="00317405" w:rsidRPr="00842B90" w:rsidRDefault="00317405" w:rsidP="00317405">
      <w:pPr>
        <w:pBdr>
          <w:top w:val="nil"/>
          <w:left w:val="nil"/>
          <w:bottom w:val="nil"/>
          <w:right w:val="nil"/>
          <w:between w:val="nil"/>
          <w:bar w:val="nil"/>
        </w:pBdr>
        <w:spacing w:before="240" w:after="0" w:line="240" w:lineRule="auto"/>
        <w:jc w:val="both"/>
        <w:rPr>
          <w:rFonts w:eastAsia="Calibri" w:cs="Helvetica"/>
          <w:b/>
          <w:color w:val="0D0D0D"/>
          <w:sz w:val="24"/>
          <w:u w:color="0D0D0D"/>
          <w:bdr w:val="nil"/>
          <w:lang w:val="en-US" w:eastAsia="en-AU"/>
        </w:rPr>
      </w:pPr>
      <w:r w:rsidRPr="00842B90">
        <w:rPr>
          <w:rFonts w:eastAsia="Calibri" w:cs="Helvetica"/>
          <w:b/>
          <w:color w:val="0D0D0D"/>
          <w:sz w:val="24"/>
          <w:u w:color="0D0D0D"/>
          <w:bdr w:val="nil"/>
          <w:lang w:val="en-US" w:eastAsia="en-AU"/>
        </w:rPr>
        <w:t>Recommendation 3: Three defined registration channels</w:t>
      </w:r>
    </w:p>
    <w:p w14:paraId="12B35379" w14:textId="77777777" w:rsidR="00317405" w:rsidRPr="00842B90" w:rsidRDefault="00317405" w:rsidP="00317405">
      <w:pPr>
        <w:pBdr>
          <w:top w:val="nil"/>
          <w:left w:val="nil"/>
          <w:bottom w:val="nil"/>
          <w:right w:val="nil"/>
          <w:between w:val="nil"/>
          <w:bar w:val="nil"/>
        </w:pBdr>
        <w:spacing w:after="0" w:line="240" w:lineRule="auto"/>
        <w:jc w:val="both"/>
        <w:rPr>
          <w:rFonts w:eastAsia="Calibri" w:cs="Helvetica"/>
          <w:b/>
          <w:color w:val="0D0D0D"/>
          <w:sz w:val="24"/>
          <w:u w:color="0D0D0D"/>
          <w:bdr w:val="nil"/>
          <w:lang w:val="en-US" w:eastAsia="en-AU"/>
        </w:rPr>
      </w:pPr>
    </w:p>
    <w:p w14:paraId="04961683" w14:textId="77777777" w:rsidR="00317405" w:rsidRPr="00C26E2D" w:rsidRDefault="00317405" w:rsidP="00317405">
      <w:pPr>
        <w:pBdr>
          <w:top w:val="nil"/>
          <w:left w:val="nil"/>
          <w:bottom w:val="nil"/>
          <w:right w:val="nil"/>
          <w:between w:val="nil"/>
          <w:bar w:val="nil"/>
        </w:pBdr>
        <w:spacing w:after="0" w:line="240" w:lineRule="auto"/>
        <w:jc w:val="both"/>
        <w:rPr>
          <w:rFonts w:eastAsia="Calibri" w:cs="Helvetica"/>
          <w:b/>
          <w:bCs/>
          <w:color w:val="0D0D0D"/>
          <w:sz w:val="24"/>
          <w:u w:color="0D0D0D"/>
          <w:bdr w:val="nil"/>
          <w:lang w:val="en-US" w:eastAsia="en-AU"/>
        </w:rPr>
      </w:pPr>
      <w:r w:rsidRPr="00C26E2D">
        <w:rPr>
          <w:rFonts w:eastAsia="Calibri" w:cs="Helvetica"/>
          <w:bCs/>
          <w:color w:val="0D0D0D"/>
          <w:sz w:val="24"/>
          <w:u w:color="0D0D0D"/>
          <w:bdr w:val="nil"/>
          <w:lang w:val="en-US" w:eastAsia="en-AU"/>
        </w:rPr>
        <w:t>The TWG identified three defined registration channels:</w:t>
      </w:r>
    </w:p>
    <w:p w14:paraId="0CEA52FE" w14:textId="77777777" w:rsidR="00317405" w:rsidRPr="00C26E2D" w:rsidRDefault="00317405" w:rsidP="00317405">
      <w:pPr>
        <w:pBdr>
          <w:top w:val="nil"/>
          <w:left w:val="nil"/>
          <w:bottom w:val="nil"/>
          <w:right w:val="nil"/>
          <w:between w:val="nil"/>
          <w:bar w:val="nil"/>
        </w:pBdr>
        <w:spacing w:after="0" w:line="240" w:lineRule="auto"/>
        <w:jc w:val="both"/>
        <w:rPr>
          <w:rFonts w:eastAsia="Calibri" w:cs="Calibri"/>
          <w:bCs/>
          <w:color w:val="0D0D0D"/>
          <w:sz w:val="24"/>
          <w:u w:color="0D0D0D"/>
          <w:bdr w:val="nil"/>
          <w:lang w:val="en-US" w:eastAsia="en-AU"/>
        </w:rPr>
      </w:pPr>
    </w:p>
    <w:p w14:paraId="147EA4FB" w14:textId="77777777" w:rsidR="00317405" w:rsidRPr="00C26E2D" w:rsidRDefault="00317405" w:rsidP="00317405">
      <w:pPr>
        <w:numPr>
          <w:ilvl w:val="0"/>
          <w:numId w:val="52"/>
        </w:numPr>
        <w:pBdr>
          <w:top w:val="nil"/>
          <w:left w:val="nil"/>
          <w:bottom w:val="nil"/>
          <w:right w:val="nil"/>
          <w:between w:val="nil"/>
          <w:bar w:val="nil"/>
        </w:pBdr>
        <w:spacing w:after="120" w:line="240" w:lineRule="auto"/>
        <w:jc w:val="both"/>
        <w:rPr>
          <w:rFonts w:eastAsia="Calibri" w:cs="Calibri"/>
          <w:bCs/>
          <w:color w:val="0D0D0D"/>
          <w:sz w:val="24"/>
          <w:u w:color="0D0D0D"/>
          <w:bdr w:val="nil"/>
          <w:lang w:val="en-US" w:eastAsia="en-AU"/>
        </w:rPr>
      </w:pPr>
      <w:r w:rsidRPr="00C26E2D">
        <w:rPr>
          <w:rFonts w:eastAsia="Calibri" w:cs="Calibri"/>
          <w:bCs/>
          <w:color w:val="0D0D0D"/>
          <w:sz w:val="24"/>
          <w:u w:color="0D0D0D"/>
          <w:bdr w:val="nil"/>
          <w:lang w:val="en-US" w:eastAsia="en-AU"/>
        </w:rPr>
        <w:t>Single model registrations.</w:t>
      </w:r>
    </w:p>
    <w:p w14:paraId="598BE854" w14:textId="77777777" w:rsidR="00317405" w:rsidRPr="00C26E2D" w:rsidRDefault="00317405" w:rsidP="00317405">
      <w:pPr>
        <w:numPr>
          <w:ilvl w:val="0"/>
          <w:numId w:val="52"/>
        </w:numPr>
        <w:pBdr>
          <w:top w:val="nil"/>
          <w:left w:val="nil"/>
          <w:bottom w:val="nil"/>
          <w:right w:val="nil"/>
          <w:between w:val="nil"/>
          <w:bar w:val="nil"/>
        </w:pBdr>
        <w:spacing w:after="120" w:line="240" w:lineRule="auto"/>
        <w:jc w:val="both"/>
        <w:rPr>
          <w:rFonts w:eastAsia="Calibri" w:cs="Calibri"/>
          <w:bCs/>
          <w:color w:val="0D0D0D"/>
          <w:sz w:val="24"/>
          <w:u w:color="0D0D0D"/>
          <w:bdr w:val="nil"/>
          <w:lang w:val="en-US" w:eastAsia="en-AU"/>
        </w:rPr>
      </w:pPr>
      <w:r w:rsidRPr="00C26E2D">
        <w:rPr>
          <w:rFonts w:eastAsia="Calibri" w:cs="Calibri"/>
          <w:bCs/>
          <w:color w:val="0D0D0D"/>
          <w:sz w:val="24"/>
          <w:u w:color="0D0D0D"/>
          <w:bdr w:val="nil"/>
          <w:lang w:val="en-US" w:eastAsia="en-AU"/>
        </w:rPr>
        <w:t>Family model registrations - in a ‘family’ registration the maximum energy consumption and minimum energy efficiency performance will be evidenced by a certified performance test conducted on the worst performing cabinet model. The worst performing model will be designated as the “parent” model in a family registration.</w:t>
      </w:r>
    </w:p>
    <w:p w14:paraId="675CD2BA" w14:textId="77777777" w:rsidR="00317405" w:rsidRPr="00C26E2D" w:rsidRDefault="00317405" w:rsidP="00317405">
      <w:pPr>
        <w:numPr>
          <w:ilvl w:val="0"/>
          <w:numId w:val="52"/>
        </w:numPr>
        <w:pBdr>
          <w:top w:val="nil"/>
          <w:left w:val="nil"/>
          <w:bottom w:val="nil"/>
          <w:right w:val="nil"/>
          <w:between w:val="nil"/>
          <w:bar w:val="nil"/>
        </w:pBdr>
        <w:spacing w:after="240" w:line="240" w:lineRule="auto"/>
        <w:jc w:val="both"/>
        <w:rPr>
          <w:rFonts w:eastAsia="Calibri" w:cs="Calibri"/>
          <w:bCs/>
          <w:color w:val="0D0D0D"/>
          <w:sz w:val="24"/>
          <w:u w:color="0D0D0D"/>
          <w:bdr w:val="nil"/>
          <w:lang w:val="en-US" w:eastAsia="en-AU"/>
        </w:rPr>
      </w:pPr>
      <w:r w:rsidRPr="00C26E2D">
        <w:rPr>
          <w:rFonts w:eastAsia="Calibri" w:cs="Calibri"/>
          <w:bCs/>
          <w:color w:val="0D0D0D"/>
          <w:sz w:val="24"/>
          <w:u w:color="0D0D0D"/>
          <w:bdr w:val="nil"/>
          <w:lang w:val="en-US" w:eastAsia="en-AU"/>
        </w:rPr>
        <w:t>Deemed to Comply registrations – reserved for low volume bespoke/custom units that cannot be tested in a standard testing facility. This channel will have prescribed technical information required at the point of registration to enable a (ISO 23953 based) calculated efficiency level.</w:t>
      </w:r>
    </w:p>
    <w:p w14:paraId="6F0D1F35" w14:textId="77777777" w:rsidR="00317405" w:rsidRPr="00C26E2D" w:rsidRDefault="00317405" w:rsidP="00317405">
      <w:pPr>
        <w:pBdr>
          <w:top w:val="nil"/>
          <w:left w:val="nil"/>
          <w:bottom w:val="nil"/>
          <w:right w:val="nil"/>
          <w:between w:val="nil"/>
          <w:bar w:val="nil"/>
        </w:pBdr>
        <w:spacing w:after="240" w:line="240" w:lineRule="auto"/>
        <w:jc w:val="both"/>
        <w:rPr>
          <w:rFonts w:eastAsia="Calibri" w:cs="Calibri"/>
          <w:b/>
          <w:bCs/>
          <w:color w:val="0D0D0D"/>
          <w:sz w:val="24"/>
          <w:u w:color="0D0D0D"/>
          <w:bdr w:val="nil"/>
          <w:lang w:val="en-US" w:eastAsia="en-AU"/>
        </w:rPr>
      </w:pPr>
      <w:r w:rsidRPr="00C26E2D">
        <w:rPr>
          <w:rFonts w:eastAsia="Calibri" w:cs="Calibri"/>
          <w:b/>
          <w:bCs/>
          <w:color w:val="0D0D0D"/>
          <w:sz w:val="24"/>
          <w:u w:color="0D0D0D"/>
          <w:bdr w:val="nil"/>
          <w:lang w:val="en-US" w:eastAsia="en-AU"/>
        </w:rPr>
        <w:t>Family of models – definition</w:t>
      </w:r>
    </w:p>
    <w:p w14:paraId="657314D6" w14:textId="040B11C0" w:rsidR="00317405" w:rsidRPr="00C26E2D" w:rsidRDefault="00317405" w:rsidP="00317405">
      <w:pPr>
        <w:spacing w:after="240"/>
        <w:jc w:val="both"/>
        <w:rPr>
          <w:sz w:val="24"/>
        </w:rPr>
      </w:pPr>
      <w:r w:rsidRPr="00C26E2D">
        <w:rPr>
          <w:sz w:val="24"/>
        </w:rPr>
        <w:t>A family of models is a range of models of the same brand.</w:t>
      </w:r>
      <w:r w:rsidR="003443D0">
        <w:rPr>
          <w:rStyle w:val="FootnoteReference"/>
          <w:sz w:val="24"/>
        </w:rPr>
        <w:footnoteReference w:id="61"/>
      </w:r>
      <w:r w:rsidRPr="00C26E2D">
        <w:rPr>
          <w:sz w:val="24"/>
        </w:rPr>
        <w:t xml:space="preserve">  Each family is based on a ‘parent’ model that has undergone a certified performance test and is registered on the energyrating.govt.au website. All other models in the family must have the same or better energy </w:t>
      </w:r>
      <w:r w:rsidRPr="00C26E2D">
        <w:rPr>
          <w:rFonts w:eastAsia="Calibri" w:cs="Calibri"/>
          <w:bCs/>
          <w:color w:val="0D0D0D"/>
          <w:sz w:val="24"/>
          <w:u w:color="0D0D0D"/>
          <w:lang w:eastAsia="en-AU"/>
        </w:rPr>
        <w:t>rating</w:t>
      </w:r>
      <w:r w:rsidRPr="00C26E2D">
        <w:rPr>
          <w:sz w:val="24"/>
        </w:rPr>
        <w:t xml:space="preserve"> characteristics than the ‘parent’ model. The parent model’s certified performance test documentation is required to be uploaded at the point of registration, along with (physically identifiable) model number variations for all other models that are being registered as members of the same family. The TWG recommended that a maximum of 20 family member models be permitted in a family registration.</w:t>
      </w:r>
    </w:p>
    <w:p w14:paraId="2F3E6FC0" w14:textId="77777777" w:rsidR="00317405" w:rsidRPr="00C26E2D" w:rsidRDefault="00317405" w:rsidP="00317405">
      <w:pPr>
        <w:spacing w:before="240" w:after="120"/>
        <w:jc w:val="both"/>
        <w:rPr>
          <w:b/>
          <w:sz w:val="24"/>
        </w:rPr>
      </w:pPr>
      <w:r w:rsidRPr="00C26E2D">
        <w:rPr>
          <w:b/>
          <w:sz w:val="24"/>
        </w:rPr>
        <w:t xml:space="preserve">Models that are part of a family </w:t>
      </w:r>
    </w:p>
    <w:p w14:paraId="0951DE36" w14:textId="77777777" w:rsidR="00317405" w:rsidRPr="00C26E2D" w:rsidRDefault="00317405" w:rsidP="00317405">
      <w:pPr>
        <w:spacing w:before="240" w:after="120"/>
        <w:jc w:val="both"/>
        <w:rPr>
          <w:sz w:val="24"/>
        </w:rPr>
      </w:pPr>
      <w:r w:rsidRPr="00C26E2D">
        <w:rPr>
          <w:sz w:val="24"/>
        </w:rPr>
        <w:t>To be included as a member of a family, it is proposed that all of the following conditions must be met:</w:t>
      </w:r>
    </w:p>
    <w:p w14:paraId="24C67FB5" w14:textId="77777777" w:rsidR="00317405" w:rsidRPr="00C26E2D" w:rsidRDefault="00317405" w:rsidP="00317405">
      <w:pPr>
        <w:numPr>
          <w:ilvl w:val="0"/>
          <w:numId w:val="55"/>
        </w:numPr>
        <w:spacing w:after="0" w:line="240" w:lineRule="auto"/>
        <w:contextualSpacing/>
        <w:jc w:val="both"/>
        <w:rPr>
          <w:rFonts w:eastAsiaTheme="minorHAnsi"/>
          <w:sz w:val="24"/>
        </w:rPr>
      </w:pPr>
      <w:r w:rsidRPr="00C26E2D">
        <w:rPr>
          <w:rFonts w:eastAsiaTheme="minorHAnsi"/>
          <w:sz w:val="24"/>
        </w:rPr>
        <w:t>At the point of registration the least efficient model is selected as the parent model and the registration individually identifies all other same or better efficiency models in the family; and,</w:t>
      </w:r>
    </w:p>
    <w:p w14:paraId="6E1DFE2B" w14:textId="77777777" w:rsidR="00317405" w:rsidRPr="00C26E2D" w:rsidRDefault="00317405" w:rsidP="00317405">
      <w:pPr>
        <w:numPr>
          <w:ilvl w:val="0"/>
          <w:numId w:val="55"/>
        </w:numPr>
        <w:spacing w:after="0" w:line="240" w:lineRule="auto"/>
        <w:contextualSpacing/>
        <w:jc w:val="both"/>
        <w:rPr>
          <w:rFonts w:eastAsiaTheme="minorHAnsi"/>
          <w:sz w:val="24"/>
        </w:rPr>
      </w:pPr>
      <w:r w:rsidRPr="00C26E2D">
        <w:rPr>
          <w:rFonts w:eastAsiaTheme="minorHAnsi"/>
          <w:sz w:val="24"/>
        </w:rPr>
        <w:lastRenderedPageBreak/>
        <w:t>Family member models must not exceed the allowable maximum energy consumption</w:t>
      </w:r>
      <w:r w:rsidRPr="0037697A">
        <w:rPr>
          <w:rFonts w:eastAsiaTheme="minorHAnsi"/>
          <w:sz w:val="24"/>
          <w:vertAlign w:val="superscript"/>
        </w:rPr>
        <w:footnoteReference w:id="62"/>
      </w:r>
      <w:r w:rsidRPr="00C26E2D">
        <w:rPr>
          <w:rFonts w:eastAsiaTheme="minorHAnsi"/>
          <w:sz w:val="24"/>
        </w:rPr>
        <w:t xml:space="preserve"> (TEC/TDA) in kWh/day/m</w:t>
      </w:r>
      <w:r w:rsidRPr="00C26E2D">
        <w:rPr>
          <w:rFonts w:eastAsiaTheme="minorHAnsi"/>
          <w:sz w:val="24"/>
          <w:vertAlign w:val="superscript"/>
        </w:rPr>
        <w:t>2</w:t>
      </w:r>
      <w:r w:rsidRPr="00C26E2D">
        <w:rPr>
          <w:rFonts w:eastAsiaTheme="minorHAnsi"/>
          <w:sz w:val="24"/>
        </w:rPr>
        <w:t xml:space="preserve"> or (TEC/V</w:t>
      </w:r>
      <w:r w:rsidRPr="00C26E2D">
        <w:rPr>
          <w:rFonts w:eastAsiaTheme="minorHAnsi"/>
          <w:sz w:val="24"/>
          <w:vertAlign w:val="subscript"/>
        </w:rPr>
        <w:t>N</w:t>
      </w:r>
      <w:r w:rsidRPr="00C26E2D">
        <w:rPr>
          <w:rFonts w:eastAsiaTheme="minorHAnsi"/>
          <w:sz w:val="24"/>
        </w:rPr>
        <w:t>) in kWh/day/m</w:t>
      </w:r>
      <w:r w:rsidRPr="00C26E2D">
        <w:rPr>
          <w:rFonts w:eastAsiaTheme="minorHAnsi"/>
          <w:sz w:val="24"/>
          <w:vertAlign w:val="superscript"/>
        </w:rPr>
        <w:t>3</w:t>
      </w:r>
      <w:r w:rsidRPr="00C26E2D">
        <w:rPr>
          <w:rFonts w:eastAsiaTheme="minorHAnsi"/>
          <w:sz w:val="24"/>
        </w:rPr>
        <w:t xml:space="preserve"> of the parent model; and,</w:t>
      </w:r>
    </w:p>
    <w:p w14:paraId="7051489B" w14:textId="77777777" w:rsidR="00317405" w:rsidRPr="00C26E2D" w:rsidRDefault="00317405" w:rsidP="00317405">
      <w:pPr>
        <w:numPr>
          <w:ilvl w:val="0"/>
          <w:numId w:val="55"/>
        </w:numPr>
        <w:spacing w:after="0" w:line="240" w:lineRule="auto"/>
        <w:contextualSpacing/>
        <w:jc w:val="both"/>
        <w:rPr>
          <w:rFonts w:eastAsiaTheme="minorHAnsi"/>
          <w:sz w:val="24"/>
        </w:rPr>
      </w:pPr>
      <w:r w:rsidRPr="00C26E2D">
        <w:rPr>
          <w:rFonts w:eastAsiaTheme="minorHAnsi"/>
          <w:sz w:val="24"/>
        </w:rPr>
        <w:t>Family member models must have an identical or warmer product temperature range (M-package temperature) than the parent model; and,</w:t>
      </w:r>
    </w:p>
    <w:p w14:paraId="795B583E" w14:textId="77777777" w:rsidR="00317405" w:rsidRDefault="00317405" w:rsidP="00317405">
      <w:pPr>
        <w:numPr>
          <w:ilvl w:val="0"/>
          <w:numId w:val="55"/>
        </w:numPr>
        <w:spacing w:after="120" w:line="240" w:lineRule="auto"/>
        <w:contextualSpacing/>
        <w:jc w:val="both"/>
        <w:rPr>
          <w:sz w:val="24"/>
        </w:rPr>
      </w:pPr>
      <w:r w:rsidRPr="00C26E2D">
        <w:rPr>
          <w:rFonts w:eastAsiaTheme="minorHAnsi"/>
          <w:sz w:val="24"/>
        </w:rPr>
        <w:t>Family member models must be of an i</w:t>
      </w:r>
      <w:r w:rsidRPr="00C26E2D">
        <w:rPr>
          <w:rFonts w:eastAsiaTheme="minorHAnsi" w:cstheme="minorBidi"/>
          <w:sz w:val="24"/>
        </w:rPr>
        <w:t>den</w:t>
      </w:r>
      <w:r w:rsidRPr="00C26E2D">
        <w:rPr>
          <w:sz w:val="24"/>
        </w:rPr>
        <w:t>tical cabinet type and use the same method of access to products being displayed or stored as the parent model (either all open or all closed cabinets).</w:t>
      </w:r>
    </w:p>
    <w:p w14:paraId="40553F21" w14:textId="77777777" w:rsidR="00317405" w:rsidRPr="00C26E2D" w:rsidRDefault="00317405" w:rsidP="00317405">
      <w:pPr>
        <w:spacing w:after="120" w:line="240" w:lineRule="auto"/>
        <w:ind w:left="460"/>
        <w:contextualSpacing/>
        <w:jc w:val="both"/>
        <w:rPr>
          <w:sz w:val="24"/>
        </w:rPr>
      </w:pPr>
    </w:p>
    <w:p w14:paraId="2163B187" w14:textId="77777777" w:rsidR="00317405" w:rsidRPr="00C26E2D" w:rsidRDefault="00317405" w:rsidP="00317405">
      <w:pPr>
        <w:jc w:val="both"/>
        <w:rPr>
          <w:rFonts w:eastAsiaTheme="minorHAnsi"/>
          <w:color w:val="1F497D"/>
          <w:sz w:val="24"/>
        </w:rPr>
      </w:pPr>
      <w:r w:rsidRPr="00C26E2D">
        <w:rPr>
          <w:sz w:val="24"/>
        </w:rPr>
        <w:t xml:space="preserve">To assist in determining the model to be selected as the ‘parent’ of a family of self-contained cabinet models or remote cabinet models, criteria can be applied to identify the model that will produce the highest allowable maximum energy consumption and thus be the least energy efficient (refer </w:t>
      </w:r>
      <w:r w:rsidRPr="00C26E2D">
        <w:rPr>
          <w:b/>
          <w:sz w:val="24"/>
        </w:rPr>
        <w:t>Technical Appendix</w:t>
      </w:r>
      <w:r w:rsidRPr="00C26E2D">
        <w:rPr>
          <w:sz w:val="24"/>
        </w:rPr>
        <w:t xml:space="preserve"> for criteria: </w:t>
      </w:r>
      <w:hyperlink r:id="rId65" w:history="1">
        <w:r w:rsidRPr="0037697A">
          <w:rPr>
            <w:color w:val="0000FF"/>
            <w:sz w:val="24"/>
            <w:u w:val="single"/>
          </w:rPr>
          <w:t>http://energyrating.gov.au/document/industry-update-refrigerated-display-and-storage-cabinets-technical-working-group</w:t>
        </w:r>
      </w:hyperlink>
      <w:r w:rsidRPr="00C26E2D">
        <w:rPr>
          <w:sz w:val="24"/>
        </w:rPr>
        <w:t>).</w:t>
      </w:r>
    </w:p>
    <w:p w14:paraId="089E4809" w14:textId="77777777" w:rsidR="00317405" w:rsidRPr="00C26E2D" w:rsidRDefault="00317405" w:rsidP="00317405">
      <w:pPr>
        <w:spacing w:after="120" w:line="240" w:lineRule="auto"/>
        <w:jc w:val="both"/>
        <w:rPr>
          <w:sz w:val="24"/>
        </w:rPr>
      </w:pPr>
      <w:r w:rsidRPr="00C26E2D">
        <w:rPr>
          <w:sz w:val="24"/>
        </w:rPr>
        <w:t xml:space="preserve">Alternate components are permitted to be substituted in a cabinet that is part of a family registration provided the components have the same or better specification and performance.  Compliance activity and check testing will be used to ensure registered performance is maintained. </w:t>
      </w:r>
    </w:p>
    <w:p w14:paraId="3B3E3964" w14:textId="77777777" w:rsidR="00317405" w:rsidRPr="00C26E2D" w:rsidRDefault="00317405" w:rsidP="00317405">
      <w:pPr>
        <w:spacing w:before="240" w:after="240" w:line="240" w:lineRule="auto"/>
        <w:jc w:val="both"/>
        <w:rPr>
          <w:b/>
          <w:sz w:val="24"/>
        </w:rPr>
      </w:pPr>
      <w:r w:rsidRPr="00C26E2D">
        <w:rPr>
          <w:b/>
          <w:sz w:val="24"/>
        </w:rPr>
        <w:t>Deemed to comply registrations</w:t>
      </w:r>
    </w:p>
    <w:p w14:paraId="5D2C8D0A" w14:textId="77777777" w:rsidR="00317405" w:rsidRPr="00C26E2D" w:rsidRDefault="00317405" w:rsidP="00317405">
      <w:pPr>
        <w:spacing w:after="120" w:line="240" w:lineRule="auto"/>
        <w:jc w:val="both"/>
        <w:rPr>
          <w:sz w:val="24"/>
        </w:rPr>
      </w:pPr>
      <w:r w:rsidRPr="00C26E2D">
        <w:rPr>
          <w:sz w:val="24"/>
        </w:rPr>
        <w:t xml:space="preserve">Deemed to comply is an alternative registration method for cabinets that are produced in low quantities (i.e. one-offs, bespoke/custom or built in) that cannot be tested in a standard testing facility. </w:t>
      </w:r>
    </w:p>
    <w:p w14:paraId="112B9F10" w14:textId="77777777" w:rsidR="00317405" w:rsidRPr="00C26E2D" w:rsidRDefault="00317405" w:rsidP="00317405">
      <w:pPr>
        <w:spacing w:before="120" w:after="120" w:line="240" w:lineRule="auto"/>
        <w:jc w:val="both"/>
        <w:rPr>
          <w:sz w:val="24"/>
        </w:rPr>
      </w:pPr>
      <w:r w:rsidRPr="00C26E2D">
        <w:rPr>
          <w:sz w:val="24"/>
        </w:rPr>
        <w:t>A certified performance test to the recognised Standard is the most certain method for a risk free registration but the practicalities and relative costs are prohibitive with low volume cabinets, and generally outweigh the overall benefits. In this scenario, a simple method of analysing the energy characteristics of a design to demonstrate the energy efficiency of a cabinet, relative to the regulated minimum efficiency level, is considered to be a more viable approach.</w:t>
      </w:r>
    </w:p>
    <w:p w14:paraId="5181E7E7" w14:textId="77777777" w:rsidR="00317405" w:rsidRPr="00C26E2D" w:rsidRDefault="00317405" w:rsidP="00317405">
      <w:pPr>
        <w:spacing w:before="120" w:after="120" w:line="240" w:lineRule="auto"/>
        <w:jc w:val="both"/>
        <w:rPr>
          <w:sz w:val="24"/>
        </w:rPr>
      </w:pPr>
      <w:r w:rsidRPr="00C26E2D">
        <w:rPr>
          <w:sz w:val="24"/>
        </w:rPr>
        <w:t>ISO 23953.2:2015 (Annex D) sets out a method for establishing data requirements for Standard Ratings and evaluating alternative components for both remote and self-contained refrigerated display cabinets based on the AHRI 1200 Standard.</w:t>
      </w:r>
      <w:r w:rsidRPr="0037697A">
        <w:rPr>
          <w:sz w:val="24"/>
          <w:vertAlign w:val="superscript"/>
        </w:rPr>
        <w:footnoteReference w:id="63"/>
      </w:r>
      <w:r w:rsidRPr="00C26E2D">
        <w:rPr>
          <w:sz w:val="24"/>
        </w:rPr>
        <w:t xml:space="preserve"> This method is also incorporated into Annex B of EN 16838:2016 (Refrigerated display scooping cabinets for gelato).</w:t>
      </w:r>
    </w:p>
    <w:p w14:paraId="46454207" w14:textId="77777777" w:rsidR="00317405" w:rsidRPr="00C26E2D" w:rsidRDefault="00317405" w:rsidP="00317405">
      <w:pPr>
        <w:spacing w:before="120" w:after="120" w:line="240" w:lineRule="auto"/>
        <w:jc w:val="both"/>
        <w:rPr>
          <w:sz w:val="24"/>
        </w:rPr>
      </w:pPr>
      <w:r w:rsidRPr="00C26E2D">
        <w:rPr>
          <w:sz w:val="24"/>
        </w:rPr>
        <w:t xml:space="preserve">These methods have conditions. For example, if an electrical component increases energy consumption then the cabinet efficiency must be revised based on actual measurements. If there has been an energy reduction, the calculation </w:t>
      </w:r>
      <w:r w:rsidRPr="00C26E2D">
        <w:rPr>
          <w:sz w:val="24"/>
          <w:u w:val="single"/>
        </w:rPr>
        <w:t>or</w:t>
      </w:r>
      <w:r w:rsidRPr="00C26E2D">
        <w:rPr>
          <w:sz w:val="24"/>
        </w:rPr>
        <w:t xml:space="preserve"> measurement method can be used. </w:t>
      </w:r>
    </w:p>
    <w:p w14:paraId="6A02E879" w14:textId="77777777" w:rsidR="00317405" w:rsidRPr="00C26E2D" w:rsidRDefault="00317405" w:rsidP="00317405">
      <w:pPr>
        <w:spacing w:before="120" w:after="240" w:line="240" w:lineRule="auto"/>
        <w:jc w:val="both"/>
        <w:rPr>
          <w:sz w:val="24"/>
        </w:rPr>
      </w:pPr>
      <w:r w:rsidRPr="00C26E2D">
        <w:rPr>
          <w:sz w:val="24"/>
        </w:rPr>
        <w:lastRenderedPageBreak/>
        <w:t>When submitting efficiency data for a commercial cabinet that has been calculated rather than physically tested, it is expected that a calculation adjustment factor of an additional 15% would be added to the claimed energy consumption to take into account real-world operation.</w:t>
      </w:r>
    </w:p>
    <w:p w14:paraId="0C9D534F" w14:textId="77777777" w:rsidR="00317405" w:rsidRPr="00C26E2D" w:rsidRDefault="00317405" w:rsidP="00317405">
      <w:pPr>
        <w:pBdr>
          <w:top w:val="nil"/>
          <w:left w:val="nil"/>
          <w:bottom w:val="nil"/>
          <w:right w:val="nil"/>
          <w:between w:val="nil"/>
          <w:bar w:val="nil"/>
        </w:pBdr>
        <w:spacing w:after="240" w:line="240" w:lineRule="auto"/>
        <w:jc w:val="both"/>
        <w:rPr>
          <w:rFonts w:eastAsia="Calibri" w:cs="Calibri"/>
          <w:b/>
          <w:bCs/>
          <w:color w:val="0D0D0D"/>
          <w:sz w:val="24"/>
          <w:u w:color="0D0D0D"/>
          <w:bdr w:val="nil"/>
          <w:lang w:val="en-US" w:eastAsia="en-AU"/>
        </w:rPr>
      </w:pPr>
      <w:r w:rsidRPr="00C26E2D">
        <w:rPr>
          <w:rFonts w:eastAsia="Calibri" w:cs="Calibri"/>
          <w:b/>
          <w:bCs/>
          <w:color w:val="0D0D0D"/>
          <w:sz w:val="24"/>
          <w:u w:color="0D0D0D"/>
          <w:bdr w:val="nil"/>
          <w:lang w:val="en-US" w:eastAsia="en-AU"/>
        </w:rPr>
        <w:t>Registration costs</w:t>
      </w:r>
    </w:p>
    <w:p w14:paraId="0A91C004" w14:textId="77777777" w:rsidR="00317405" w:rsidRPr="00C26E2D" w:rsidRDefault="00317405" w:rsidP="00317405">
      <w:pPr>
        <w:spacing w:before="120" w:after="120" w:line="240" w:lineRule="auto"/>
        <w:jc w:val="both"/>
        <w:rPr>
          <w:rFonts w:eastAsia="Calibri" w:cs="Calibri"/>
          <w:bCs/>
          <w:color w:val="0D0D0D"/>
          <w:sz w:val="24"/>
          <w:u w:color="0D0D0D"/>
          <w:lang w:val="en-US"/>
        </w:rPr>
      </w:pPr>
      <w:r w:rsidRPr="00C26E2D">
        <w:rPr>
          <w:rFonts w:eastAsia="Calibri" w:cs="Calibri"/>
          <w:bCs/>
          <w:color w:val="0D0D0D"/>
          <w:sz w:val="24"/>
          <w:u w:color="0D0D0D"/>
          <w:lang w:val="en-US"/>
        </w:rPr>
        <w:t>The TWG had broad representation from local manufacturers, importers and companies who have experience in both manufacturing and importing in the Australian and New Zealand markets.  Extensive discussion and debate was directed at ensuring that registration costs would be fair and equitable under the new regulatory structure.  Provision of wider registration channels through the ‘family of models’ and ‘deemed to comply’ pathways was accepted as providing industry with the means to comply with legal requirements at a fair and reasonable cost.</w:t>
      </w:r>
    </w:p>
    <w:p w14:paraId="1480036A" w14:textId="77777777" w:rsidR="00317405" w:rsidRPr="00842B90" w:rsidRDefault="00317405" w:rsidP="00317405">
      <w:pPr>
        <w:pBdr>
          <w:top w:val="nil"/>
          <w:left w:val="nil"/>
          <w:bottom w:val="nil"/>
          <w:right w:val="nil"/>
          <w:between w:val="nil"/>
          <w:bar w:val="nil"/>
        </w:pBdr>
        <w:spacing w:before="240" w:after="240" w:line="240" w:lineRule="auto"/>
        <w:jc w:val="both"/>
        <w:rPr>
          <w:rFonts w:eastAsia="Calibri" w:cs="Helvetica"/>
          <w:b/>
          <w:color w:val="0D0D0D"/>
          <w:sz w:val="24"/>
          <w:u w:color="0D0D0D"/>
          <w:bdr w:val="nil"/>
          <w:lang w:val="en-US" w:eastAsia="en-AU"/>
        </w:rPr>
      </w:pPr>
      <w:r w:rsidRPr="00842B90">
        <w:rPr>
          <w:rFonts w:eastAsia="Calibri" w:cs="Helvetica"/>
          <w:b/>
          <w:color w:val="0D0D0D"/>
          <w:sz w:val="24"/>
          <w:u w:color="0D0D0D"/>
          <w:bdr w:val="nil"/>
          <w:lang w:val="en-US" w:eastAsia="en-AU"/>
        </w:rPr>
        <w:t>Recommendation 4: Voluntary online labelling</w:t>
      </w:r>
    </w:p>
    <w:p w14:paraId="0E0FC88F" w14:textId="77777777" w:rsidR="00317405" w:rsidRPr="00C26E2D" w:rsidRDefault="00317405" w:rsidP="00317405">
      <w:pPr>
        <w:spacing w:before="120" w:after="120" w:line="240" w:lineRule="auto"/>
        <w:jc w:val="both"/>
        <w:rPr>
          <w:rFonts w:eastAsia="Calibri" w:cs="Calibri"/>
          <w:bCs/>
          <w:color w:val="0D0D0D"/>
          <w:sz w:val="24"/>
          <w:u w:color="0D0D0D"/>
          <w:lang w:val="en-US"/>
        </w:rPr>
      </w:pPr>
      <w:r w:rsidRPr="00C26E2D">
        <w:rPr>
          <w:rFonts w:eastAsia="Calibri" w:cs="Calibri"/>
          <w:bCs/>
          <w:color w:val="0D0D0D"/>
          <w:sz w:val="24"/>
          <w:u w:color="0D0D0D"/>
          <w:lang w:val="en-US"/>
        </w:rPr>
        <w:t xml:space="preserve">While a mandatory labelling system was not supported by industry, there was consensus by industry and regulators at TWG meetings that there was still a compelling case for labelling which should be online and voluntary (however, some manufacturers may still choose to apply physical labels to cabinets under a </w:t>
      </w:r>
      <w:r>
        <w:rPr>
          <w:rFonts w:eastAsia="Calibri" w:cs="Calibri"/>
          <w:bCs/>
          <w:color w:val="0D0D0D"/>
          <w:sz w:val="24"/>
          <w:u w:color="0D0D0D"/>
          <w:lang w:val="en-US"/>
        </w:rPr>
        <w:t>online energy rating information</w:t>
      </w:r>
      <w:r w:rsidRPr="00C26E2D">
        <w:rPr>
          <w:rFonts w:eastAsia="Calibri" w:cs="Calibri"/>
          <w:bCs/>
          <w:color w:val="0D0D0D"/>
          <w:sz w:val="24"/>
          <w:u w:color="0D0D0D"/>
          <w:lang w:val="en-US"/>
        </w:rPr>
        <w:t xml:space="preserve"> scheme). </w:t>
      </w:r>
    </w:p>
    <w:p w14:paraId="0E8DE1A1" w14:textId="77777777" w:rsidR="00317405" w:rsidRPr="00C26E2D" w:rsidRDefault="00317405" w:rsidP="00317405">
      <w:pPr>
        <w:spacing w:before="120" w:after="120" w:line="240" w:lineRule="auto"/>
        <w:jc w:val="both"/>
        <w:rPr>
          <w:rFonts w:eastAsia="Calibri" w:cs="Calibri"/>
          <w:bCs/>
          <w:color w:val="0D0D0D"/>
          <w:sz w:val="24"/>
          <w:u w:color="0D0D0D"/>
          <w:lang w:val="en-US"/>
        </w:rPr>
      </w:pPr>
      <w:r w:rsidRPr="00C26E2D">
        <w:rPr>
          <w:rFonts w:eastAsia="Calibri" w:cs="Calibri"/>
          <w:bCs/>
          <w:color w:val="0D0D0D"/>
          <w:sz w:val="24"/>
          <w:u w:color="0D0D0D"/>
          <w:lang w:val="en-US"/>
        </w:rPr>
        <w:t>The cabinet efficiency characteristics shall be provided online, and in a standardised star rating format. The development of a star rating label (and the transition to the European Energy Efficiency Index) will require labelling algorithms to be developed by consultants (and published prior to implementation of the new MEPS scheme) in conjunction with New Zealand and Australian regulators.</w:t>
      </w:r>
    </w:p>
    <w:p w14:paraId="7415A27F" w14:textId="77777777" w:rsidR="00317405" w:rsidRPr="00842B90" w:rsidRDefault="00317405" w:rsidP="00317405">
      <w:pPr>
        <w:pBdr>
          <w:top w:val="nil"/>
          <w:left w:val="nil"/>
          <w:bottom w:val="nil"/>
          <w:right w:val="nil"/>
          <w:between w:val="nil"/>
          <w:bar w:val="nil"/>
        </w:pBdr>
        <w:spacing w:before="240" w:after="0" w:line="240" w:lineRule="auto"/>
        <w:jc w:val="both"/>
        <w:rPr>
          <w:rFonts w:eastAsia="Calibri" w:cs="Helvetica"/>
          <w:b/>
          <w:color w:val="0D0D0D"/>
          <w:sz w:val="24"/>
          <w:u w:color="0D0D0D"/>
          <w:bdr w:val="nil"/>
          <w:lang w:val="en-US" w:eastAsia="en-AU"/>
        </w:rPr>
      </w:pPr>
      <w:r w:rsidRPr="00842B90">
        <w:rPr>
          <w:rFonts w:eastAsia="Calibri" w:cs="Helvetica"/>
          <w:b/>
          <w:color w:val="0D0D0D"/>
          <w:sz w:val="24"/>
          <w:u w:color="0D0D0D"/>
          <w:bdr w:val="nil"/>
          <w:lang w:val="en-US" w:eastAsia="en-AU"/>
        </w:rPr>
        <w:t>Recommendation 5: Adoption of ISO 23953 (Refrigerated Display Cabinets) with minor amendments</w:t>
      </w:r>
    </w:p>
    <w:p w14:paraId="7D07C723" w14:textId="77777777" w:rsidR="00317405" w:rsidRPr="00C26E2D" w:rsidRDefault="00317405" w:rsidP="00317405">
      <w:pPr>
        <w:pBdr>
          <w:top w:val="nil"/>
          <w:left w:val="nil"/>
          <w:bottom w:val="nil"/>
          <w:right w:val="nil"/>
          <w:between w:val="nil"/>
          <w:bar w:val="nil"/>
        </w:pBdr>
        <w:spacing w:after="0" w:line="240" w:lineRule="auto"/>
        <w:jc w:val="both"/>
        <w:rPr>
          <w:rFonts w:eastAsia="Calibri" w:cs="Calibri"/>
          <w:bCs/>
          <w:color w:val="0D0D0D"/>
          <w:sz w:val="24"/>
          <w:u w:color="0D0D0D"/>
          <w:bdr w:val="nil"/>
          <w:lang w:val="en-US" w:eastAsia="en-AU"/>
        </w:rPr>
      </w:pPr>
    </w:p>
    <w:p w14:paraId="2E6F8439" w14:textId="77777777" w:rsidR="00317405" w:rsidRPr="00C26E2D" w:rsidRDefault="00317405" w:rsidP="00317405">
      <w:pPr>
        <w:pBdr>
          <w:top w:val="nil"/>
          <w:left w:val="nil"/>
          <w:bottom w:val="nil"/>
          <w:right w:val="nil"/>
          <w:between w:val="nil"/>
          <w:bar w:val="nil"/>
        </w:pBdr>
        <w:spacing w:after="120" w:line="240" w:lineRule="auto"/>
        <w:jc w:val="both"/>
        <w:rPr>
          <w:rFonts w:eastAsia="Calibri" w:cs="Calibri"/>
          <w:bCs/>
          <w:color w:val="0D0D0D"/>
          <w:sz w:val="24"/>
          <w:u w:color="0D0D0D"/>
          <w:bdr w:val="nil"/>
          <w:lang w:val="en-US" w:eastAsia="en-AU"/>
        </w:rPr>
      </w:pPr>
      <w:r w:rsidRPr="00C26E2D">
        <w:rPr>
          <w:rFonts w:eastAsia="Calibri" w:cs="Calibri"/>
          <w:bCs/>
          <w:color w:val="0D0D0D"/>
          <w:sz w:val="24"/>
          <w:u w:color="0D0D0D"/>
          <w:bdr w:val="nil"/>
          <w:lang w:val="en-US" w:eastAsia="en-AU"/>
        </w:rPr>
        <w:t xml:space="preserve">The TWG noted that the light transmission factor and the change to the higher frequency of door openings for closed chillers are the main test differences between ISO 23953 and AS 1731. </w:t>
      </w:r>
    </w:p>
    <w:p w14:paraId="073057F3" w14:textId="77777777" w:rsidR="00317405" w:rsidRPr="00C26E2D" w:rsidRDefault="00317405" w:rsidP="00317405">
      <w:pPr>
        <w:pBdr>
          <w:top w:val="nil"/>
          <w:left w:val="nil"/>
          <w:bottom w:val="nil"/>
          <w:right w:val="nil"/>
          <w:between w:val="nil"/>
          <w:bar w:val="nil"/>
        </w:pBdr>
        <w:spacing w:before="20" w:after="80" w:line="240" w:lineRule="auto"/>
        <w:jc w:val="both"/>
        <w:rPr>
          <w:rFonts w:eastAsia="Calibri" w:cs="Calibri"/>
          <w:bCs/>
          <w:color w:val="0D0D0D"/>
          <w:sz w:val="24"/>
          <w:u w:color="0D0D0D"/>
          <w:bdr w:val="nil"/>
          <w:lang w:val="en-US" w:eastAsia="en-AU"/>
        </w:rPr>
      </w:pPr>
      <w:r w:rsidRPr="00C26E2D">
        <w:rPr>
          <w:rFonts w:eastAsia="Calibri" w:cs="Calibri"/>
          <w:bCs/>
          <w:color w:val="0D0D0D"/>
          <w:sz w:val="24"/>
          <w:u w:color="0D0D0D"/>
          <w:bdr w:val="nil"/>
          <w:lang w:val="en-US" w:eastAsia="en-AU"/>
        </w:rPr>
        <w:t>It was agreed a key performance aspect is to ensure that a closed cabinet maintains the specified temperature when subject to door openings.</w:t>
      </w:r>
    </w:p>
    <w:p w14:paraId="64AAC590" w14:textId="77777777" w:rsidR="00317405" w:rsidRPr="00C26E2D" w:rsidRDefault="00317405" w:rsidP="00317405">
      <w:pPr>
        <w:spacing w:before="120" w:after="120" w:line="240" w:lineRule="auto"/>
        <w:jc w:val="both"/>
        <w:rPr>
          <w:sz w:val="24"/>
        </w:rPr>
      </w:pPr>
      <w:r w:rsidRPr="00C26E2D">
        <w:rPr>
          <w:sz w:val="24"/>
        </w:rPr>
        <w:t>The TWG accepted the ISO inclusion of a sneeze guard. However, the ISO dimensional limit of not less than 1500mm may not be appropriate for all commercial cabinet types. Specific dimensions may be required in certain jurisdictions. The wording on sneeze guards as used in AS 1731 is preferred.</w:t>
      </w:r>
    </w:p>
    <w:p w14:paraId="066A1FAD" w14:textId="77777777" w:rsidR="00317405" w:rsidRPr="00C26E2D" w:rsidRDefault="00317405" w:rsidP="00317405">
      <w:pPr>
        <w:spacing w:after="0" w:line="240" w:lineRule="auto"/>
        <w:contextualSpacing/>
        <w:jc w:val="both"/>
        <w:rPr>
          <w:rFonts w:eastAsia="Calibri" w:cs="Calibri"/>
          <w:color w:val="0D0D0D"/>
          <w:sz w:val="24"/>
          <w:u w:color="0D0D0D"/>
          <w:lang w:eastAsia="en-AU"/>
        </w:rPr>
      </w:pPr>
      <w:r w:rsidRPr="00C26E2D">
        <w:rPr>
          <w:rFonts w:eastAsia="Calibri" w:cs="Calibri"/>
          <w:color w:val="0D0D0D"/>
          <w:sz w:val="24"/>
          <w:u w:color="0D0D0D"/>
          <w:lang w:eastAsia="en-AU"/>
        </w:rPr>
        <w:t>The TWG accepted ISO 23953 Annex A which effectively removes the light transmission factor.</w:t>
      </w:r>
    </w:p>
    <w:p w14:paraId="304DD4B7" w14:textId="77777777" w:rsidR="00317405" w:rsidRPr="00842B90" w:rsidRDefault="00317405" w:rsidP="00317405">
      <w:pPr>
        <w:pBdr>
          <w:top w:val="nil"/>
          <w:left w:val="nil"/>
          <w:bottom w:val="nil"/>
          <w:right w:val="nil"/>
          <w:between w:val="nil"/>
          <w:bar w:val="nil"/>
        </w:pBdr>
        <w:spacing w:before="240" w:after="0" w:line="240" w:lineRule="auto"/>
        <w:jc w:val="both"/>
        <w:rPr>
          <w:rFonts w:eastAsia="Calibri" w:cs="Helvetica"/>
          <w:b/>
          <w:color w:val="0D0D0D"/>
          <w:sz w:val="24"/>
          <w:u w:color="0D0D0D"/>
          <w:bdr w:val="nil"/>
          <w:lang w:val="en-US" w:eastAsia="en-AU"/>
        </w:rPr>
      </w:pPr>
      <w:r w:rsidRPr="00842B90">
        <w:rPr>
          <w:rFonts w:eastAsia="Calibri" w:cs="Helvetica"/>
          <w:b/>
          <w:color w:val="0D0D0D"/>
          <w:sz w:val="24"/>
          <w:u w:color="0D0D0D"/>
          <w:bdr w:val="nil"/>
          <w:lang w:val="en-US" w:eastAsia="en-AU"/>
        </w:rPr>
        <w:t>Recommendation 6: Adoption of ISO 23953.1 (Vocabulary) – concerning groups of cabinets as classified by type</w:t>
      </w:r>
      <w:r w:rsidRPr="00842B90">
        <w:rPr>
          <w:rFonts w:eastAsia="Calibri" w:cs="Helvetica"/>
          <w:b/>
          <w:color w:val="0D0D0D"/>
          <w:sz w:val="24"/>
          <w:u w:color="0D0D0D"/>
          <w:bdr w:val="nil"/>
          <w:lang w:val="de-DE" w:eastAsia="en-AU"/>
        </w:rPr>
        <w:t>.</w:t>
      </w:r>
    </w:p>
    <w:p w14:paraId="34E6320B" w14:textId="77777777" w:rsidR="00317405" w:rsidRPr="00C26E2D" w:rsidRDefault="00317405" w:rsidP="00317405">
      <w:pPr>
        <w:pBdr>
          <w:top w:val="nil"/>
          <w:left w:val="nil"/>
          <w:bottom w:val="nil"/>
          <w:right w:val="nil"/>
          <w:between w:val="nil"/>
          <w:bar w:val="nil"/>
        </w:pBdr>
        <w:spacing w:after="0" w:line="240" w:lineRule="auto"/>
        <w:jc w:val="both"/>
        <w:rPr>
          <w:rFonts w:eastAsia="Calibri" w:cs="Calibri"/>
          <w:color w:val="0D0D0D"/>
          <w:sz w:val="24"/>
          <w:u w:color="0D0D0D"/>
          <w:bdr w:val="nil"/>
          <w:lang w:val="de-DE" w:eastAsia="en-AU"/>
        </w:rPr>
      </w:pPr>
    </w:p>
    <w:p w14:paraId="7E1AA75C" w14:textId="77777777" w:rsidR="00317405" w:rsidRPr="00C26E2D" w:rsidRDefault="00317405" w:rsidP="00317405">
      <w:pPr>
        <w:spacing w:after="0" w:line="240" w:lineRule="auto"/>
        <w:contextualSpacing/>
        <w:jc w:val="both"/>
        <w:rPr>
          <w:rFonts w:eastAsia="Calibri" w:cs="Calibri"/>
          <w:color w:val="0D0D0D"/>
          <w:sz w:val="24"/>
          <w:u w:color="0D0D0D"/>
          <w:lang w:eastAsia="en-AU"/>
        </w:rPr>
      </w:pPr>
      <w:r w:rsidRPr="00C26E2D">
        <w:rPr>
          <w:rFonts w:eastAsia="Calibri" w:cs="Calibri"/>
          <w:color w:val="0D0D0D"/>
          <w:sz w:val="24"/>
          <w:u w:color="0D0D0D"/>
          <w:lang w:eastAsia="en-AU"/>
        </w:rPr>
        <w:t>The TWG accepted ISO 23953.1 which concerns groups of cabinets as classified by Type (see</w:t>
      </w:r>
      <w:r w:rsidRPr="00C26E2D">
        <w:rPr>
          <w:rFonts w:eastAsia="Calibri" w:cs="Calibri"/>
          <w:b/>
          <w:color w:val="0D0D0D"/>
          <w:sz w:val="24"/>
          <w:u w:color="0D0D0D"/>
          <w:lang w:eastAsia="en-AU"/>
        </w:rPr>
        <w:t xml:space="preserve"> table </w:t>
      </w:r>
      <w:r w:rsidRPr="00C26E2D">
        <w:rPr>
          <w:rFonts w:eastAsia="Calibri" w:cs="Calibri"/>
          <w:color w:val="0D0D0D"/>
          <w:sz w:val="24"/>
          <w:u w:color="0D0D0D"/>
          <w:lang w:eastAsia="en-AU"/>
        </w:rPr>
        <w:t xml:space="preserve">below). </w:t>
      </w:r>
    </w:p>
    <w:p w14:paraId="5F936CAE" w14:textId="77777777" w:rsidR="00317405" w:rsidRPr="00C26E2D" w:rsidRDefault="00317405" w:rsidP="00317405">
      <w:pPr>
        <w:spacing w:after="0"/>
        <w:contextualSpacing/>
        <w:jc w:val="both"/>
        <w:rPr>
          <w:rFonts w:eastAsia="Calibri" w:cs="Calibri"/>
          <w:color w:val="0D0D0D"/>
          <w:sz w:val="24"/>
          <w:u w:color="0D0D0D"/>
          <w:lang w:eastAsia="en-AU"/>
        </w:rPr>
      </w:pPr>
    </w:p>
    <w:p w14:paraId="35BD3D95" w14:textId="77777777" w:rsidR="00317405" w:rsidRPr="00C26E2D" w:rsidRDefault="00317405" w:rsidP="00317405">
      <w:pPr>
        <w:spacing w:after="0"/>
        <w:contextualSpacing/>
        <w:rPr>
          <w:rFonts w:ascii="Calibri" w:eastAsia="Calibri" w:hAnsi="Calibri" w:cs="Calibri"/>
          <w:color w:val="0D0D0D"/>
          <w:u w:color="0D0D0D"/>
          <w:lang w:eastAsia="en-AU"/>
        </w:rPr>
      </w:pPr>
      <w:r w:rsidRPr="00C26E2D">
        <w:rPr>
          <w:noProof/>
          <w:u w:color="00000D"/>
          <w:lang w:eastAsia="en-AU"/>
        </w:rPr>
        <w:lastRenderedPageBreak/>
        <w:drawing>
          <wp:inline distT="0" distB="0" distL="0" distR="0" wp14:anchorId="1F374196" wp14:editId="6D6F13E3">
            <wp:extent cx="5962650" cy="6452840"/>
            <wp:effectExtent l="0" t="0" r="0" b="5715"/>
            <wp:docPr id="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5965644" cy="6456080"/>
                    </a:xfrm>
                    <a:prstGeom prst="rect">
                      <a:avLst/>
                    </a:prstGeom>
                    <a:noFill/>
                    <a:ln w="9525">
                      <a:noFill/>
                      <a:miter lim="800000"/>
                      <a:headEnd/>
                      <a:tailEnd/>
                    </a:ln>
                  </pic:spPr>
                </pic:pic>
              </a:graphicData>
            </a:graphic>
          </wp:inline>
        </w:drawing>
      </w:r>
    </w:p>
    <w:p w14:paraId="17B8B720" w14:textId="77777777" w:rsidR="00317405" w:rsidRPr="00842B90" w:rsidRDefault="00317405" w:rsidP="005D642D">
      <w:pPr>
        <w:pBdr>
          <w:top w:val="nil"/>
          <w:left w:val="nil"/>
          <w:bottom w:val="nil"/>
          <w:right w:val="nil"/>
          <w:between w:val="nil"/>
          <w:bar w:val="nil"/>
        </w:pBdr>
        <w:spacing w:before="240" w:after="0" w:line="240" w:lineRule="auto"/>
        <w:jc w:val="both"/>
        <w:rPr>
          <w:rFonts w:eastAsia="Calibri" w:cs="Helvetica"/>
          <w:b/>
          <w:color w:val="0D0D0D"/>
          <w:sz w:val="24"/>
          <w:u w:color="0D0D0D"/>
          <w:bdr w:val="nil"/>
          <w:lang w:val="en-US" w:eastAsia="en-AU"/>
        </w:rPr>
      </w:pPr>
      <w:r w:rsidRPr="00842B90">
        <w:rPr>
          <w:rFonts w:eastAsia="Calibri" w:cs="Helvetica"/>
          <w:b/>
          <w:color w:val="0D0D0D"/>
          <w:sz w:val="24"/>
          <w:u w:color="0D0D0D"/>
          <w:bdr w:val="nil"/>
          <w:lang w:val="en-US" w:eastAsia="en-AU"/>
        </w:rPr>
        <w:t xml:space="preserve">Recommendation 7: Adoption of ISO 23953.2 (Refrigerated Display Cabinets – Classifications, Requirements and Test Conditions) </w:t>
      </w:r>
    </w:p>
    <w:p w14:paraId="2456086A" w14:textId="77777777" w:rsidR="00317405" w:rsidRPr="00C26E2D" w:rsidRDefault="00317405" w:rsidP="00317405">
      <w:pPr>
        <w:pBdr>
          <w:top w:val="nil"/>
          <w:left w:val="nil"/>
          <w:bottom w:val="nil"/>
          <w:right w:val="nil"/>
          <w:between w:val="nil"/>
          <w:bar w:val="nil"/>
        </w:pBdr>
        <w:spacing w:after="0" w:line="240" w:lineRule="auto"/>
        <w:jc w:val="both"/>
        <w:rPr>
          <w:rFonts w:eastAsia="Calibri" w:cs="Calibri"/>
          <w:bCs/>
          <w:color w:val="0D0D0D"/>
          <w:sz w:val="24"/>
          <w:u w:color="0D0D0D"/>
          <w:bdr w:val="nil"/>
          <w:lang w:val="en-US" w:eastAsia="en-AU"/>
        </w:rPr>
      </w:pPr>
    </w:p>
    <w:p w14:paraId="138D906B" w14:textId="77777777" w:rsidR="00317405" w:rsidRPr="00C26E2D" w:rsidRDefault="00317405" w:rsidP="00317405">
      <w:pPr>
        <w:pBdr>
          <w:top w:val="nil"/>
          <w:left w:val="nil"/>
          <w:bottom w:val="nil"/>
          <w:right w:val="nil"/>
          <w:between w:val="nil"/>
          <w:bar w:val="nil"/>
        </w:pBdr>
        <w:spacing w:after="0" w:line="240" w:lineRule="auto"/>
        <w:jc w:val="both"/>
        <w:rPr>
          <w:rFonts w:eastAsia="Arial Unicode MS" w:cs="Arial Unicode MS"/>
          <w:color w:val="000000"/>
          <w:sz w:val="24"/>
          <w:u w:color="000000"/>
          <w:bdr w:val="nil"/>
          <w:lang w:val="de-DE" w:eastAsia="en-AU"/>
        </w:rPr>
      </w:pPr>
      <w:r w:rsidRPr="00C26E2D">
        <w:rPr>
          <w:rFonts w:eastAsia="Calibri" w:cs="Calibri"/>
          <w:bCs/>
          <w:color w:val="0D0D0D"/>
          <w:sz w:val="24"/>
          <w:u w:color="0D0D0D"/>
          <w:bdr w:val="nil"/>
          <w:lang w:val="en-US" w:eastAsia="en-AU"/>
        </w:rPr>
        <w:t>The TWG recommends that ISO 23953.2 be adopted in relation to Refrigerated Display Cabinets, including minor amendments to clauses concerning controls, closed chiller loading heights and component substitution</w:t>
      </w:r>
      <w:r w:rsidRPr="00C26E2D">
        <w:rPr>
          <w:rFonts w:eastAsia="Arial Unicode MS" w:cs="Arial Unicode MS"/>
          <w:color w:val="000000"/>
          <w:sz w:val="24"/>
          <w:u w:color="000000"/>
          <w:bdr w:val="nil"/>
          <w:lang w:val="de-DE" w:eastAsia="en-AU"/>
        </w:rPr>
        <w:t>.</w:t>
      </w:r>
      <w:r w:rsidRPr="0037697A">
        <w:rPr>
          <w:rFonts w:eastAsia="Arial Unicode MS" w:cs="Arial Unicode MS"/>
          <w:color w:val="000000"/>
          <w:sz w:val="24"/>
          <w:u w:color="000000"/>
          <w:bdr w:val="nil"/>
          <w:vertAlign w:val="superscript"/>
          <w:lang w:val="de-DE" w:eastAsia="en-AU"/>
        </w:rPr>
        <w:footnoteReference w:id="64"/>
      </w:r>
    </w:p>
    <w:p w14:paraId="089D44D7" w14:textId="77777777" w:rsidR="00317405" w:rsidRPr="00C26E2D" w:rsidRDefault="00317405" w:rsidP="00317405">
      <w:pPr>
        <w:pBdr>
          <w:top w:val="nil"/>
          <w:left w:val="nil"/>
          <w:bottom w:val="nil"/>
          <w:right w:val="nil"/>
          <w:between w:val="nil"/>
          <w:bar w:val="nil"/>
        </w:pBdr>
        <w:spacing w:after="0" w:line="240" w:lineRule="auto"/>
        <w:jc w:val="both"/>
        <w:rPr>
          <w:rFonts w:eastAsia="Arial Unicode MS" w:cs="Arial Unicode MS"/>
          <w:color w:val="000000"/>
          <w:sz w:val="24"/>
          <w:u w:color="000000"/>
          <w:bdr w:val="nil"/>
          <w:lang w:val="de-DE" w:eastAsia="en-AU"/>
        </w:rPr>
      </w:pPr>
    </w:p>
    <w:p w14:paraId="1466A368" w14:textId="77777777" w:rsidR="00317405" w:rsidRPr="00C26E2D" w:rsidRDefault="00317405" w:rsidP="00317405">
      <w:pPr>
        <w:pBdr>
          <w:top w:val="nil"/>
          <w:left w:val="nil"/>
          <w:bottom w:val="nil"/>
          <w:right w:val="nil"/>
          <w:between w:val="nil"/>
          <w:bar w:val="nil"/>
        </w:pBdr>
        <w:spacing w:after="0" w:line="240" w:lineRule="auto"/>
        <w:jc w:val="both"/>
        <w:rPr>
          <w:rFonts w:eastAsia="Calibri" w:cs="Calibri"/>
          <w:bCs/>
          <w:color w:val="0D0D0D"/>
          <w:sz w:val="24"/>
          <w:u w:color="0D0D0D"/>
          <w:bdr w:val="nil"/>
          <w:lang w:val="en-US" w:eastAsia="en-AU"/>
        </w:rPr>
      </w:pPr>
      <w:r w:rsidRPr="00C26E2D">
        <w:rPr>
          <w:rFonts w:eastAsia="Calibri" w:cs="Calibri"/>
          <w:bCs/>
          <w:color w:val="0D0D0D"/>
          <w:sz w:val="24"/>
          <w:u w:color="0D0D0D"/>
          <w:bdr w:val="nil"/>
          <w:lang w:val="en-US" w:eastAsia="en-AU"/>
        </w:rPr>
        <w:lastRenderedPageBreak/>
        <w:t>The TWG also accepted clause 5.3.2.7 and 5.3.2.8 (requirements for cabinet lighting controls). However, cabinets from Europe always contain a switch. To ensure the full interpretation of the ISO standard, and to encourage energy savings, it was recommended that AS 1731 wording be included to allow an automatic switch to be fitted.</w:t>
      </w:r>
    </w:p>
    <w:p w14:paraId="40978235" w14:textId="77777777" w:rsidR="00317405" w:rsidRPr="00C26E2D" w:rsidRDefault="00317405" w:rsidP="00317405">
      <w:pPr>
        <w:spacing w:before="240" w:after="0" w:line="240" w:lineRule="auto"/>
        <w:jc w:val="both"/>
        <w:rPr>
          <w:sz w:val="24"/>
        </w:rPr>
      </w:pPr>
      <w:r w:rsidRPr="00C26E2D">
        <w:rPr>
          <w:rFonts w:eastAsia="Calibri" w:cs="Calibri"/>
          <w:bCs/>
          <w:color w:val="0D0D0D"/>
          <w:sz w:val="24"/>
          <w:u w:color="0D0D0D"/>
          <w:lang w:val="en-US"/>
        </w:rPr>
        <w:t>The TWG accepted clause 5.3.2.3.2 (loading heights of closed cabinets), with a suggested variation to revert to the half-height loading of test packages using wording from AS 1731 (that provides clarity for the trans-Tasman market).</w:t>
      </w:r>
    </w:p>
    <w:p w14:paraId="0F6AF24A" w14:textId="77777777" w:rsidR="00317405" w:rsidRPr="00C26E2D" w:rsidRDefault="00317405" w:rsidP="00317405">
      <w:pPr>
        <w:spacing w:before="240" w:after="0" w:line="240" w:lineRule="auto"/>
        <w:jc w:val="both"/>
        <w:rPr>
          <w:sz w:val="24"/>
        </w:rPr>
      </w:pPr>
      <w:r w:rsidRPr="00C26E2D">
        <w:rPr>
          <w:sz w:val="24"/>
        </w:rPr>
        <w:t>The TWG accepted ISO 23953 Annex D, which defines the various components that determine the energy consumption and performance of a refrigerated cabinet. This allows the ability to substitute components and calculate the difference using the technical standard methodology. The TWG suggested clarity be provided to ensure Annex D is clearly translated into regulation.</w:t>
      </w:r>
    </w:p>
    <w:p w14:paraId="14DDBBDB" w14:textId="77777777" w:rsidR="00317405" w:rsidRPr="00C26E2D" w:rsidRDefault="00317405" w:rsidP="00317405">
      <w:pPr>
        <w:spacing w:before="120" w:after="0"/>
        <w:jc w:val="both"/>
        <w:rPr>
          <w:sz w:val="24"/>
        </w:rPr>
      </w:pPr>
      <w:r w:rsidRPr="00C26E2D">
        <w:rPr>
          <w:sz w:val="24"/>
        </w:rPr>
        <w:t>The TWG also accepted the Table 1 M-Package temperature classifications and the Table 3 Climate Classification of ISO 23953:2015, both of which incorporate additional classifications that were not present in AS 1731 (reproduced below).</w:t>
      </w:r>
    </w:p>
    <w:p w14:paraId="197C722A" w14:textId="77777777" w:rsidR="00317405" w:rsidRPr="00C26E2D" w:rsidRDefault="00317405" w:rsidP="00317405">
      <w:pPr>
        <w:spacing w:before="240" w:after="0" w:line="240" w:lineRule="auto"/>
        <w:jc w:val="both"/>
        <w:rPr>
          <w:rFonts w:ascii="Calibri" w:hAnsi="Calibri"/>
          <w:sz w:val="22"/>
          <w:szCs w:val="22"/>
        </w:rPr>
      </w:pPr>
    </w:p>
    <w:p w14:paraId="5634722C" w14:textId="77777777" w:rsidR="00317405" w:rsidRPr="00C26E2D" w:rsidRDefault="00317405" w:rsidP="00317405">
      <w:pPr>
        <w:spacing w:before="240" w:after="0" w:line="240" w:lineRule="auto"/>
        <w:jc w:val="both"/>
        <w:rPr>
          <w:rFonts w:asciiTheme="minorHAnsi" w:hAnsiTheme="minorHAnsi"/>
          <w:sz w:val="22"/>
          <w:szCs w:val="22"/>
        </w:rPr>
      </w:pPr>
      <w:r w:rsidRPr="00C26E2D">
        <w:rPr>
          <w:rFonts w:ascii="Calibri" w:eastAsia="Calibri" w:hAnsi="Calibri" w:cs="Calibri"/>
          <w:bCs/>
          <w:noProof/>
          <w:color w:val="0D0D0D"/>
          <w:lang w:eastAsia="en-AU"/>
        </w:rPr>
        <w:lastRenderedPageBreak/>
        <w:drawing>
          <wp:inline distT="0" distB="0" distL="0" distR="0" wp14:anchorId="7DC6C996" wp14:editId="4B8C9646">
            <wp:extent cx="5975498" cy="6885413"/>
            <wp:effectExtent l="0" t="0" r="635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77788" cy="6888052"/>
                    </a:xfrm>
                    <a:prstGeom prst="rect">
                      <a:avLst/>
                    </a:prstGeom>
                    <a:noFill/>
                    <a:ln>
                      <a:noFill/>
                    </a:ln>
                  </pic:spPr>
                </pic:pic>
              </a:graphicData>
            </a:graphic>
          </wp:inline>
        </w:drawing>
      </w:r>
    </w:p>
    <w:p w14:paraId="350CF5AD" w14:textId="77777777" w:rsidR="00317405" w:rsidRPr="00842B90" w:rsidRDefault="00317405" w:rsidP="00317405">
      <w:pPr>
        <w:pBdr>
          <w:top w:val="nil"/>
          <w:left w:val="nil"/>
          <w:bottom w:val="nil"/>
          <w:right w:val="nil"/>
          <w:between w:val="nil"/>
          <w:bar w:val="nil"/>
        </w:pBdr>
        <w:spacing w:before="240" w:after="0" w:line="240" w:lineRule="auto"/>
        <w:jc w:val="both"/>
        <w:rPr>
          <w:rFonts w:eastAsia="Calibri" w:cs="Helvetica"/>
          <w:b/>
          <w:color w:val="0D0D0D"/>
          <w:sz w:val="24"/>
          <w:u w:color="0D0D0D"/>
          <w:bdr w:val="nil"/>
          <w:lang w:val="en-US" w:eastAsia="en-AU"/>
        </w:rPr>
      </w:pPr>
      <w:r w:rsidRPr="00842B90">
        <w:rPr>
          <w:rFonts w:eastAsia="Calibri" w:cs="Helvetica"/>
          <w:b/>
          <w:color w:val="0D0D0D"/>
          <w:sz w:val="24"/>
          <w:u w:color="0D0D0D"/>
          <w:bdr w:val="nil"/>
          <w:lang w:val="en-US" w:eastAsia="en-AU"/>
        </w:rPr>
        <w:t xml:space="preserve">Recommendation 8: Adoption of EN 16825:2016 (Refrigerated Storage Cabinets and Counters for Professional Use) </w:t>
      </w:r>
    </w:p>
    <w:p w14:paraId="4D39B2B5" w14:textId="77777777" w:rsidR="00317405" w:rsidRPr="00C26E2D" w:rsidRDefault="00317405" w:rsidP="00317405">
      <w:pPr>
        <w:pBdr>
          <w:top w:val="nil"/>
          <w:left w:val="nil"/>
          <w:bottom w:val="nil"/>
          <w:right w:val="nil"/>
          <w:between w:val="nil"/>
          <w:bar w:val="nil"/>
        </w:pBdr>
        <w:spacing w:after="0" w:line="240" w:lineRule="auto"/>
        <w:jc w:val="both"/>
        <w:rPr>
          <w:rFonts w:eastAsia="Calibri" w:cs="Calibri"/>
          <w:bCs/>
          <w:color w:val="0D0D0D"/>
          <w:sz w:val="24"/>
          <w:u w:color="0D0D0D"/>
          <w:bdr w:val="nil"/>
          <w:lang w:val="en-US" w:eastAsia="en-AU"/>
        </w:rPr>
      </w:pPr>
    </w:p>
    <w:p w14:paraId="3989A0D2" w14:textId="77777777" w:rsidR="00317405" w:rsidRPr="00C26E2D" w:rsidRDefault="00317405" w:rsidP="00317405">
      <w:pPr>
        <w:pBdr>
          <w:top w:val="nil"/>
          <w:left w:val="nil"/>
          <w:bottom w:val="nil"/>
          <w:right w:val="nil"/>
          <w:between w:val="nil"/>
          <w:bar w:val="nil"/>
        </w:pBdr>
        <w:spacing w:after="0" w:line="240" w:lineRule="auto"/>
        <w:jc w:val="both"/>
        <w:rPr>
          <w:rFonts w:eastAsia="Calibri" w:cs="Calibri"/>
          <w:bCs/>
          <w:color w:val="0D0D0D"/>
          <w:sz w:val="24"/>
          <w:u w:color="0D0D0D"/>
          <w:bdr w:val="nil"/>
          <w:lang w:val="en-US" w:eastAsia="en-AU"/>
        </w:rPr>
      </w:pPr>
      <w:r w:rsidRPr="00C26E2D">
        <w:rPr>
          <w:rFonts w:eastAsia="Calibri" w:cs="Calibri"/>
          <w:bCs/>
          <w:color w:val="0D0D0D"/>
          <w:sz w:val="24"/>
          <w:u w:color="0D0D0D"/>
          <w:bdr w:val="nil"/>
          <w:lang w:val="en-US" w:eastAsia="en-AU"/>
        </w:rPr>
        <w:t>The TWG recommends adopting EN 16825:2016, with minor amendments to clauses concerning climate class testing, and including a specific additional clause regarding test room conditions for the water vapour test.</w:t>
      </w:r>
    </w:p>
    <w:p w14:paraId="6FEB74AC" w14:textId="77777777" w:rsidR="00317405" w:rsidRPr="00C26E2D" w:rsidRDefault="00317405" w:rsidP="00317405">
      <w:pPr>
        <w:pBdr>
          <w:top w:val="nil"/>
          <w:left w:val="nil"/>
          <w:bottom w:val="nil"/>
          <w:right w:val="nil"/>
          <w:between w:val="nil"/>
          <w:bar w:val="nil"/>
        </w:pBdr>
        <w:spacing w:after="0" w:line="240" w:lineRule="auto"/>
        <w:jc w:val="both"/>
        <w:rPr>
          <w:rFonts w:eastAsia="Calibri" w:cs="Calibri"/>
          <w:bCs/>
          <w:color w:val="0D0D0D"/>
          <w:sz w:val="24"/>
          <w:u w:color="0D0D0D"/>
          <w:bdr w:val="nil"/>
          <w:lang w:val="en-US" w:eastAsia="en-AU"/>
        </w:rPr>
      </w:pPr>
    </w:p>
    <w:p w14:paraId="36E7E944" w14:textId="77777777" w:rsidR="00317405" w:rsidRPr="00C26E2D" w:rsidRDefault="00317405" w:rsidP="00317405">
      <w:pPr>
        <w:pBdr>
          <w:top w:val="nil"/>
          <w:left w:val="nil"/>
          <w:bottom w:val="nil"/>
          <w:right w:val="nil"/>
          <w:between w:val="nil"/>
          <w:bar w:val="nil"/>
        </w:pBdr>
        <w:spacing w:after="0" w:line="240" w:lineRule="auto"/>
        <w:jc w:val="both"/>
        <w:rPr>
          <w:rFonts w:eastAsia="Calibri" w:cs="Calibri"/>
          <w:bCs/>
          <w:color w:val="0D0D0D"/>
          <w:sz w:val="24"/>
          <w:u w:color="0D0D0D"/>
          <w:bdr w:val="nil"/>
          <w:lang w:val="en-US" w:eastAsia="en-AU"/>
        </w:rPr>
      </w:pPr>
      <w:r w:rsidRPr="00C26E2D">
        <w:rPr>
          <w:rFonts w:eastAsiaTheme="minorHAnsi" w:cstheme="minorBidi"/>
          <w:sz w:val="24"/>
          <w:u w:color="000000"/>
          <w:lang w:val="en-NZ"/>
        </w:rPr>
        <w:t xml:space="preserve">The TWG noted a light duty cabinet is tested at Climate Class 3, and the efficiency value is multiplied by an Adjustment Factor of 1.2 (stated in Annex IV 2 (b), Page L177/36) to normalise the efficiency rating at Climate Class 4. </w:t>
      </w:r>
    </w:p>
    <w:p w14:paraId="0445E525" w14:textId="77777777" w:rsidR="00317405" w:rsidRPr="00C26E2D" w:rsidRDefault="00317405" w:rsidP="00907A99">
      <w:pPr>
        <w:pBdr>
          <w:top w:val="nil"/>
          <w:left w:val="nil"/>
          <w:bottom w:val="nil"/>
          <w:right w:val="nil"/>
          <w:between w:val="nil"/>
          <w:bar w:val="nil"/>
        </w:pBdr>
        <w:spacing w:after="120" w:line="240" w:lineRule="auto"/>
        <w:jc w:val="both"/>
        <w:rPr>
          <w:rFonts w:eastAsiaTheme="minorHAnsi" w:cstheme="minorBidi"/>
          <w:sz w:val="24"/>
          <w:u w:color="000000"/>
          <w:lang w:val="en-NZ"/>
        </w:rPr>
      </w:pPr>
      <w:r w:rsidRPr="00C26E2D">
        <w:rPr>
          <w:rFonts w:eastAsiaTheme="minorHAnsi" w:cstheme="minorBidi"/>
          <w:sz w:val="24"/>
          <w:u w:color="000000"/>
          <w:lang w:val="en-NZ"/>
        </w:rPr>
        <w:lastRenderedPageBreak/>
        <w:t>The TWG also noted the clause that specifies heavy duty cabinets need to be tested at three different Climate Classes:</w:t>
      </w:r>
    </w:p>
    <w:p w14:paraId="08745D57" w14:textId="77777777" w:rsidR="00317405" w:rsidRPr="00C26E2D" w:rsidRDefault="00317405" w:rsidP="00317405">
      <w:pPr>
        <w:numPr>
          <w:ilvl w:val="0"/>
          <w:numId w:val="56"/>
        </w:numPr>
        <w:autoSpaceDE w:val="0"/>
        <w:autoSpaceDN w:val="0"/>
        <w:adjustRightInd w:val="0"/>
        <w:spacing w:after="0" w:line="240" w:lineRule="auto"/>
        <w:contextualSpacing/>
        <w:rPr>
          <w:rFonts w:eastAsiaTheme="minorHAnsi" w:cstheme="minorBidi"/>
          <w:sz w:val="24"/>
          <w:lang w:val="en-NZ"/>
        </w:rPr>
      </w:pPr>
      <w:r w:rsidRPr="00C26E2D">
        <w:rPr>
          <w:rFonts w:eastAsiaTheme="minorHAnsi" w:cstheme="minorBidi"/>
          <w:sz w:val="24"/>
          <w:lang w:val="en-NZ"/>
        </w:rPr>
        <w:t>Climate Class 5 to validate that the cabinet could be operated at these conditions.</w:t>
      </w:r>
    </w:p>
    <w:p w14:paraId="732D7C1D" w14:textId="77777777" w:rsidR="00317405" w:rsidRPr="00C26E2D" w:rsidRDefault="00317405" w:rsidP="00317405">
      <w:pPr>
        <w:numPr>
          <w:ilvl w:val="0"/>
          <w:numId w:val="56"/>
        </w:numPr>
        <w:autoSpaceDE w:val="0"/>
        <w:autoSpaceDN w:val="0"/>
        <w:adjustRightInd w:val="0"/>
        <w:spacing w:after="0" w:line="240" w:lineRule="auto"/>
        <w:contextualSpacing/>
        <w:rPr>
          <w:rFonts w:eastAsiaTheme="minorHAnsi" w:cstheme="minorBidi"/>
          <w:sz w:val="24"/>
          <w:lang w:val="en-NZ"/>
        </w:rPr>
      </w:pPr>
      <w:r w:rsidRPr="00C26E2D">
        <w:rPr>
          <w:rFonts w:eastAsiaTheme="minorHAnsi" w:cstheme="minorBidi"/>
          <w:sz w:val="24"/>
          <w:lang w:val="en-NZ"/>
        </w:rPr>
        <w:t xml:space="preserve">Climate Class 4 for efficiency ratings. </w:t>
      </w:r>
    </w:p>
    <w:p w14:paraId="32FF5681" w14:textId="77777777" w:rsidR="00317405" w:rsidRPr="00C26E2D" w:rsidRDefault="00317405" w:rsidP="00317405">
      <w:pPr>
        <w:numPr>
          <w:ilvl w:val="0"/>
          <w:numId w:val="56"/>
        </w:numPr>
        <w:autoSpaceDE w:val="0"/>
        <w:autoSpaceDN w:val="0"/>
        <w:adjustRightInd w:val="0"/>
        <w:spacing w:after="0" w:line="240" w:lineRule="auto"/>
        <w:contextualSpacing/>
        <w:rPr>
          <w:rFonts w:eastAsiaTheme="minorHAnsi" w:cstheme="minorBidi"/>
          <w:sz w:val="24"/>
          <w:lang w:val="en-NZ"/>
        </w:rPr>
      </w:pPr>
      <w:r w:rsidRPr="00C26E2D">
        <w:rPr>
          <w:rFonts w:eastAsiaTheme="minorHAnsi" w:cstheme="minorBidi"/>
          <w:sz w:val="24"/>
          <w:lang w:val="en-NZ"/>
        </w:rPr>
        <w:t>Climate Class 7 to measure water vapour condensation.</w:t>
      </w:r>
    </w:p>
    <w:p w14:paraId="08A650FC" w14:textId="70732009" w:rsidR="00317405" w:rsidRPr="00C26E2D" w:rsidRDefault="00317405" w:rsidP="00317405">
      <w:pPr>
        <w:pBdr>
          <w:top w:val="nil"/>
          <w:left w:val="nil"/>
          <w:bottom w:val="nil"/>
          <w:right w:val="nil"/>
          <w:between w:val="nil"/>
          <w:bar w:val="nil"/>
        </w:pBdr>
        <w:spacing w:before="240" w:after="240" w:line="240" w:lineRule="auto"/>
        <w:jc w:val="both"/>
        <w:rPr>
          <w:rFonts w:eastAsia="Calibri" w:cs="Calibri"/>
          <w:bCs/>
          <w:color w:val="0D0D0D"/>
          <w:sz w:val="24"/>
          <w:u w:color="0D0D0D"/>
          <w:bdr w:val="nil"/>
          <w:lang w:val="en-US" w:eastAsia="en-AU"/>
        </w:rPr>
      </w:pPr>
      <w:r w:rsidRPr="00C26E2D">
        <w:rPr>
          <w:rFonts w:eastAsiaTheme="minorHAnsi" w:cstheme="minorBidi"/>
          <w:sz w:val="24"/>
          <w:u w:color="000000"/>
          <w:lang w:val="en-NZ"/>
        </w:rPr>
        <w:t>The TWG recommended inclusion of an option allowing for alternative Australian/NZ test filler packages as EN 16825 does not have provision for an alt</w:t>
      </w:r>
      <w:r w:rsidR="00907A99">
        <w:rPr>
          <w:rFonts w:eastAsiaTheme="minorHAnsi" w:cstheme="minorBidi"/>
          <w:sz w:val="24"/>
          <w:u w:color="000000"/>
          <w:lang w:val="en-NZ"/>
        </w:rPr>
        <w:t>ernative (as allowed for in ISO </w:t>
      </w:r>
      <w:r w:rsidRPr="00C26E2D">
        <w:rPr>
          <w:rFonts w:eastAsiaTheme="minorHAnsi" w:cstheme="minorBidi"/>
          <w:sz w:val="24"/>
          <w:u w:color="000000"/>
          <w:lang w:val="en-NZ"/>
        </w:rPr>
        <w:t>23953).</w:t>
      </w:r>
    </w:p>
    <w:p w14:paraId="6F7D76E9" w14:textId="77777777" w:rsidR="00317405" w:rsidRPr="00C26E2D" w:rsidRDefault="00317405" w:rsidP="00317405">
      <w:pPr>
        <w:spacing w:after="240" w:line="240" w:lineRule="auto"/>
        <w:rPr>
          <w:rFonts w:eastAsia="Calibri" w:cs="Calibri"/>
          <w:b/>
          <w:bCs/>
          <w:color w:val="0D0D0D"/>
          <w:sz w:val="24"/>
          <w:lang w:val="en-US"/>
        </w:rPr>
      </w:pPr>
      <w:r w:rsidRPr="00C26E2D">
        <w:rPr>
          <w:rFonts w:eastAsia="Calibri" w:cs="Calibri"/>
          <w:b/>
          <w:bCs/>
          <w:color w:val="0D0D0D"/>
          <w:sz w:val="24"/>
          <w:lang w:val="en-US"/>
        </w:rPr>
        <w:t xml:space="preserve">EN16825:2016 Addition – test room conditions for water vapour condensation test </w:t>
      </w:r>
    </w:p>
    <w:p w14:paraId="3B47BEA8" w14:textId="77777777" w:rsidR="00317405" w:rsidRPr="00C26E2D" w:rsidRDefault="00317405" w:rsidP="00317405">
      <w:pPr>
        <w:pBdr>
          <w:top w:val="nil"/>
          <w:left w:val="nil"/>
          <w:bottom w:val="nil"/>
          <w:right w:val="nil"/>
          <w:between w:val="nil"/>
          <w:bar w:val="nil"/>
        </w:pBdr>
        <w:spacing w:before="240" w:after="240" w:line="240" w:lineRule="auto"/>
        <w:jc w:val="both"/>
        <w:rPr>
          <w:rFonts w:eastAsia="Calibri" w:cs="Calibri"/>
          <w:bCs/>
          <w:color w:val="0D0D0D"/>
          <w:sz w:val="24"/>
          <w:u w:color="0D0D0D"/>
          <w:bdr w:val="nil"/>
          <w:lang w:val="en-US" w:eastAsia="en-AU"/>
        </w:rPr>
      </w:pPr>
      <w:r w:rsidRPr="00C26E2D">
        <w:rPr>
          <w:rFonts w:eastAsia="Calibri" w:cs="Calibri"/>
          <w:bCs/>
          <w:color w:val="0D0D0D"/>
          <w:sz w:val="24"/>
          <w:u w:color="0D0D0D"/>
          <w:bdr w:val="nil"/>
          <w:lang w:val="en-US" w:eastAsia="en-AU"/>
        </w:rPr>
        <w:t>The TWG noted it is unclear from the wording of EN16825 whether or not the condensation test can result in a pass or fail energy efficiency requirement. There is no logical reason for undertaking the condensation test to Climate Class 7 (as stated in the Standard), as opposed to the Climate Class for which the Light, Normal and Heavy duty cabinets are intended (i.e. classes 3, 4 and 5 respectively). Adopting EN 16825 verbatim would require an additional 24 hours testing time and expense for no quantifiable benefit. Generally cabinets are tested at the climate condition that they are intended to operate at and have been designed for.</w:t>
      </w:r>
    </w:p>
    <w:p w14:paraId="4A6A102B" w14:textId="77777777" w:rsidR="00317405" w:rsidRPr="00C26E2D" w:rsidRDefault="00317405" w:rsidP="00317405">
      <w:pPr>
        <w:pBdr>
          <w:top w:val="nil"/>
          <w:left w:val="nil"/>
          <w:bottom w:val="nil"/>
          <w:right w:val="nil"/>
          <w:between w:val="nil"/>
          <w:bar w:val="nil"/>
        </w:pBdr>
        <w:spacing w:before="240" w:after="240" w:line="240" w:lineRule="auto"/>
        <w:jc w:val="both"/>
        <w:rPr>
          <w:rFonts w:eastAsia="Calibri" w:cs="Calibri"/>
          <w:bCs/>
          <w:color w:val="0D0D0D"/>
          <w:sz w:val="24"/>
          <w:u w:color="0D0D0D"/>
          <w:bdr w:val="nil"/>
          <w:lang w:val="en-US" w:eastAsia="en-AU"/>
        </w:rPr>
      </w:pPr>
      <w:r w:rsidRPr="00C26E2D">
        <w:rPr>
          <w:rFonts w:eastAsia="Calibri" w:cs="Calibri"/>
          <w:bCs/>
          <w:color w:val="0D0D0D"/>
          <w:sz w:val="24"/>
          <w:u w:color="0D0D0D"/>
          <w:bdr w:val="nil"/>
          <w:lang w:val="en-US" w:eastAsia="en-AU"/>
        </w:rPr>
        <w:t>This ambiguity was evidenced by an independent MEPS test report to the FprEN16825:2016 test standard by a member of the TWG Committee. The report showed the test cabinet had condensation present during that test, but the result was not a fail.</w:t>
      </w:r>
    </w:p>
    <w:p w14:paraId="61FB12FE" w14:textId="77777777" w:rsidR="00317405" w:rsidRPr="00C26E2D" w:rsidRDefault="00317405" w:rsidP="00317405">
      <w:pPr>
        <w:pBdr>
          <w:top w:val="nil"/>
          <w:left w:val="nil"/>
          <w:bottom w:val="nil"/>
          <w:right w:val="nil"/>
          <w:between w:val="nil"/>
          <w:bar w:val="nil"/>
        </w:pBdr>
        <w:spacing w:before="240" w:after="240" w:line="240" w:lineRule="auto"/>
        <w:jc w:val="both"/>
        <w:rPr>
          <w:rFonts w:eastAsia="Calibri" w:cs="Calibri"/>
          <w:bCs/>
          <w:color w:val="0D0D0D"/>
          <w:sz w:val="24"/>
          <w:u w:color="0D0D0D"/>
          <w:bdr w:val="nil"/>
          <w:lang w:val="en-US" w:eastAsia="en-AU"/>
        </w:rPr>
      </w:pPr>
      <w:r w:rsidRPr="00C26E2D">
        <w:rPr>
          <w:rFonts w:eastAsia="Calibri" w:cs="Calibri"/>
          <w:bCs/>
          <w:color w:val="0D0D0D"/>
          <w:sz w:val="24"/>
          <w:u w:color="0D0D0D"/>
          <w:bdr w:val="nil"/>
          <w:lang w:val="en-US" w:eastAsia="en-AU"/>
        </w:rPr>
        <w:t>The TWG agreed to include the condensation test, and also to progress the action point of contacting the EN Standard project team in Europe, passing on the concerns from the TWG and requesting the rationale to rectify the ambiguity and possible contradiction in terms. Local variations will then be considered (i.e. requiring undertaking the test at the intended Climate Class but with the option of a test for information only at Climate Class 6 for Light duty and Normal duty cabinets, and at Climate Class 7 for Heavy duty cabinets). However, this local adaptation cannot occur until agreement is reached and direction obtained from the European Standard Committee.</w:t>
      </w:r>
    </w:p>
    <w:p w14:paraId="78147E26" w14:textId="77777777" w:rsidR="00317405" w:rsidRPr="00C26E2D" w:rsidRDefault="00317405" w:rsidP="00317405">
      <w:pPr>
        <w:pBdr>
          <w:top w:val="nil"/>
          <w:left w:val="nil"/>
          <w:bottom w:val="nil"/>
          <w:right w:val="nil"/>
          <w:between w:val="nil"/>
          <w:bar w:val="nil"/>
        </w:pBdr>
        <w:spacing w:before="240" w:after="0" w:line="240" w:lineRule="auto"/>
        <w:jc w:val="both"/>
        <w:rPr>
          <w:rFonts w:eastAsia="Calibri" w:cs="Calibri"/>
          <w:bCs/>
          <w:color w:val="0D0D0D"/>
          <w:sz w:val="24"/>
          <w:u w:color="0D0D0D"/>
          <w:bdr w:val="nil"/>
          <w:lang w:val="en-US" w:eastAsia="en-AU"/>
        </w:rPr>
      </w:pPr>
      <w:r w:rsidRPr="00842B90">
        <w:rPr>
          <w:rFonts w:eastAsia="Calibri" w:cs="Helvetica"/>
          <w:b/>
          <w:color w:val="0D0D0D"/>
          <w:sz w:val="24"/>
          <w:u w:color="0D0D0D"/>
          <w:bdr w:val="nil"/>
          <w:lang w:val="en-US" w:eastAsia="en-AU"/>
        </w:rPr>
        <w:t>Recommendation 9: Adoption of EN 16901:2016 (Ice-Cream Freezers – Classifications, Requirements and Test Conditions</w:t>
      </w:r>
      <w:r w:rsidRPr="00C26E2D">
        <w:rPr>
          <w:rFonts w:eastAsia="Calibri" w:cs="Calibri"/>
          <w:bCs/>
          <w:color w:val="0D0D0D"/>
          <w:sz w:val="24"/>
          <w:u w:color="0D0D0D"/>
          <w:bdr w:val="nil"/>
          <w:lang w:val="en-US" w:eastAsia="en-AU"/>
        </w:rPr>
        <w:t>)</w:t>
      </w:r>
    </w:p>
    <w:p w14:paraId="45387CE1" w14:textId="77777777" w:rsidR="00317405" w:rsidRPr="00C26E2D" w:rsidRDefault="00317405" w:rsidP="00317405">
      <w:pPr>
        <w:spacing w:before="240" w:line="240" w:lineRule="auto"/>
        <w:jc w:val="both"/>
        <w:rPr>
          <w:sz w:val="24"/>
        </w:rPr>
      </w:pPr>
      <w:r w:rsidRPr="00C26E2D">
        <w:rPr>
          <w:rFonts w:eastAsia="Calibri" w:cs="Calibri"/>
          <w:bCs/>
          <w:color w:val="0D0D0D"/>
          <w:sz w:val="24"/>
          <w:lang w:val="en-US"/>
        </w:rPr>
        <w:t xml:space="preserve">The TWG accepted EN 16901 for small ice-cream freezers subject to a number of minor changes required to clarify definitions and a minor modification to a diagram. </w:t>
      </w:r>
    </w:p>
    <w:p w14:paraId="231B8DFF" w14:textId="77777777" w:rsidR="00317405" w:rsidRPr="00842B90" w:rsidRDefault="00317405" w:rsidP="00317405">
      <w:pPr>
        <w:pBdr>
          <w:top w:val="nil"/>
          <w:left w:val="nil"/>
          <w:bottom w:val="nil"/>
          <w:right w:val="nil"/>
          <w:between w:val="nil"/>
          <w:bar w:val="nil"/>
        </w:pBdr>
        <w:spacing w:before="240" w:after="0" w:line="240" w:lineRule="auto"/>
        <w:jc w:val="both"/>
        <w:rPr>
          <w:rFonts w:eastAsia="Calibri" w:cs="Helvetica"/>
          <w:b/>
          <w:color w:val="0D0D0D"/>
          <w:sz w:val="24"/>
          <w:u w:color="0D0D0D"/>
          <w:bdr w:val="nil"/>
          <w:lang w:val="en-US" w:eastAsia="en-AU"/>
        </w:rPr>
      </w:pPr>
      <w:r w:rsidRPr="00842B90">
        <w:rPr>
          <w:rFonts w:eastAsia="Calibri" w:cs="Helvetica"/>
          <w:b/>
          <w:color w:val="0D0D0D"/>
          <w:sz w:val="24"/>
          <w:u w:color="0D0D0D"/>
          <w:bdr w:val="nil"/>
          <w:lang w:val="en-US" w:eastAsia="en-AU"/>
        </w:rPr>
        <w:t xml:space="preserve">Recommendation 10: Exclusion of EN 16902 (Commercial Beverage Coolers – Classifications, Requirements and Test Conditions). </w:t>
      </w:r>
    </w:p>
    <w:p w14:paraId="73232356" w14:textId="77777777" w:rsidR="00317405" w:rsidRPr="00C26E2D" w:rsidRDefault="00317405" w:rsidP="00317405">
      <w:pPr>
        <w:pBdr>
          <w:top w:val="nil"/>
          <w:left w:val="nil"/>
          <w:bottom w:val="nil"/>
          <w:right w:val="nil"/>
          <w:between w:val="nil"/>
          <w:bar w:val="nil"/>
        </w:pBdr>
        <w:spacing w:after="0" w:line="240" w:lineRule="auto"/>
        <w:jc w:val="both"/>
        <w:rPr>
          <w:rFonts w:eastAsia="Calibri" w:cs="Calibri"/>
          <w:bCs/>
          <w:color w:val="0D0D0D"/>
          <w:sz w:val="24"/>
          <w:u w:color="0D0D0D"/>
          <w:bdr w:val="nil"/>
          <w:lang w:val="en-US" w:eastAsia="en-AU"/>
        </w:rPr>
      </w:pPr>
    </w:p>
    <w:p w14:paraId="260F80D2" w14:textId="77777777" w:rsidR="00317405" w:rsidRPr="00C26E2D" w:rsidRDefault="00317405" w:rsidP="00317405">
      <w:pPr>
        <w:pBdr>
          <w:top w:val="nil"/>
          <w:left w:val="nil"/>
          <w:bottom w:val="nil"/>
          <w:right w:val="nil"/>
          <w:between w:val="nil"/>
          <w:bar w:val="nil"/>
        </w:pBdr>
        <w:spacing w:after="0" w:line="240" w:lineRule="auto"/>
        <w:jc w:val="both"/>
        <w:rPr>
          <w:rFonts w:eastAsia="Calibri" w:cs="Helvetica"/>
          <w:bCs/>
          <w:color w:val="0D0D0D"/>
          <w:sz w:val="24"/>
          <w:u w:color="0D0D0D"/>
          <w:bdr w:val="nil"/>
          <w:lang w:val="en-US" w:eastAsia="en-AU"/>
        </w:rPr>
      </w:pPr>
      <w:r w:rsidRPr="00C26E2D">
        <w:rPr>
          <w:rFonts w:eastAsia="Calibri" w:cs="Helvetica"/>
          <w:bCs/>
          <w:color w:val="0D0D0D"/>
          <w:sz w:val="24"/>
          <w:u w:color="0D0D0D"/>
          <w:bdr w:val="nil"/>
          <w:lang w:val="en-US" w:eastAsia="en-AU"/>
        </w:rPr>
        <w:t>The TWG considers that this Standard is not currently fit for purpose in the trans-Tasman setting. Instead,</w:t>
      </w:r>
      <w:r w:rsidRPr="0037697A">
        <w:rPr>
          <w:rFonts w:eastAsia="Calibri" w:cs="Helvetica"/>
          <w:bCs/>
          <w:color w:val="0D0D0D"/>
          <w:sz w:val="24"/>
          <w:u w:color="0D0D0D"/>
          <w:bdr w:val="nil"/>
          <w:lang w:val="en-US" w:eastAsia="en-AU"/>
        </w:rPr>
        <w:t xml:space="preserve"> </w:t>
      </w:r>
      <w:r w:rsidRPr="00C26E2D">
        <w:rPr>
          <w:rFonts w:eastAsia="Calibri" w:cs="Helvetica"/>
          <w:bCs/>
          <w:color w:val="0D0D0D"/>
          <w:sz w:val="24"/>
          <w:u w:color="0D0D0D"/>
          <w:bdr w:val="nil"/>
          <w:lang w:val="en-US" w:eastAsia="en-AU"/>
        </w:rPr>
        <w:t>the TWG</w:t>
      </w:r>
      <w:r w:rsidRPr="0037697A">
        <w:rPr>
          <w:rFonts w:eastAsia="Calibri" w:cs="Helvetica"/>
          <w:bCs/>
          <w:color w:val="0D0D0D"/>
          <w:sz w:val="24"/>
          <w:u w:color="0D0D0D"/>
          <w:bdr w:val="nil"/>
          <w:lang w:val="en-US" w:eastAsia="en-AU"/>
        </w:rPr>
        <w:t xml:space="preserve"> </w:t>
      </w:r>
      <w:r w:rsidRPr="00C26E2D">
        <w:rPr>
          <w:rFonts w:eastAsia="Calibri" w:cs="Helvetica"/>
          <w:bCs/>
          <w:color w:val="0D0D0D"/>
          <w:sz w:val="24"/>
          <w:u w:color="0D0D0D"/>
          <w:bdr w:val="nil"/>
          <w:lang w:val="en-US" w:eastAsia="en-AU"/>
        </w:rPr>
        <w:t>recommends that ISO 23953 be used to test beverage coolers.</w:t>
      </w:r>
    </w:p>
    <w:p w14:paraId="3BCDC564" w14:textId="77777777" w:rsidR="00317405" w:rsidRPr="00C26E2D" w:rsidRDefault="00317405" w:rsidP="00317405">
      <w:pPr>
        <w:pBdr>
          <w:top w:val="nil"/>
          <w:left w:val="nil"/>
          <w:bottom w:val="nil"/>
          <w:right w:val="nil"/>
          <w:between w:val="nil"/>
          <w:bar w:val="nil"/>
        </w:pBdr>
        <w:spacing w:before="240" w:after="0" w:line="240" w:lineRule="auto"/>
        <w:jc w:val="both"/>
        <w:rPr>
          <w:rFonts w:eastAsia="Calibri" w:cs="Helvetica"/>
          <w:bCs/>
          <w:color w:val="0D0D0D"/>
          <w:sz w:val="24"/>
          <w:u w:color="0D0D0D"/>
          <w:bdr w:val="nil"/>
          <w:lang w:val="en-US" w:eastAsia="en-AU"/>
        </w:rPr>
      </w:pPr>
      <w:r w:rsidRPr="00C26E2D">
        <w:rPr>
          <w:rFonts w:eastAsiaTheme="minorHAnsi" w:cs="Helvetica"/>
          <w:sz w:val="24"/>
          <w:u w:color="000000"/>
          <w:lang w:val="en-NZ"/>
        </w:rPr>
        <w:t>The TWG discussed the adequacy of adopting EN 16092 Commercial Beverage Coolers (currently all refrigerated display cabinets, including beverage coolers, are regulated by AS 1731).</w:t>
      </w:r>
    </w:p>
    <w:p w14:paraId="601A63A5" w14:textId="77777777" w:rsidR="00317405" w:rsidRPr="00C26E2D" w:rsidRDefault="00317405" w:rsidP="00317405">
      <w:pPr>
        <w:pBdr>
          <w:top w:val="nil"/>
          <w:left w:val="nil"/>
          <w:bottom w:val="nil"/>
          <w:right w:val="nil"/>
          <w:between w:val="nil"/>
          <w:bar w:val="nil"/>
        </w:pBdr>
        <w:spacing w:before="240" w:after="0" w:line="240" w:lineRule="auto"/>
        <w:jc w:val="both"/>
        <w:rPr>
          <w:rFonts w:eastAsia="Calibri" w:cs="Helvetica"/>
          <w:bCs/>
          <w:color w:val="0D0D0D"/>
          <w:sz w:val="24"/>
          <w:u w:color="0D0D0D"/>
          <w:bdr w:val="nil"/>
          <w:lang w:val="en-US" w:eastAsia="en-AU"/>
        </w:rPr>
      </w:pPr>
      <w:r w:rsidRPr="00C26E2D">
        <w:rPr>
          <w:rFonts w:eastAsiaTheme="minorHAnsi" w:cs="Helvetica"/>
          <w:sz w:val="24"/>
          <w:u w:color="000000"/>
          <w:lang w:val="en-NZ"/>
        </w:rPr>
        <w:t xml:space="preserve">A separate EN standard for beverage coolers was developed and published due to the requirement of large European based beverage companies specifying canned or bottled </w:t>
      </w:r>
      <w:r w:rsidRPr="00C26E2D">
        <w:rPr>
          <w:rFonts w:eastAsiaTheme="minorHAnsi" w:cs="Helvetica"/>
          <w:sz w:val="24"/>
          <w:u w:color="000000"/>
          <w:lang w:val="en-NZ"/>
        </w:rPr>
        <w:lastRenderedPageBreak/>
        <w:t xml:space="preserve">carbonated beverages be chilled to a defined temperature at the point of sale. In these dedicated beverage coolers an electronic management device (EMD) was commonly used. An EMD permits the cabinet to reduce refrigeration cooling overnight (i.e. reducing power consumption during non-retail hours by raising the temperature of the displayed goods), before pulling the cabinet temperature back down to the prescribed temperature in time for retail opening hours. Naturally, this was pertinent to cabinets only containing canned or bottled carbonated beverages but was unsuitable for cabinets that could contain perishable beverages or foodstuffs (such as milk or fruit juice based products). A label was often used by beverage companies - ‘cabinet not for use with perishable products’ to leave discretion and risk to end users. </w:t>
      </w:r>
    </w:p>
    <w:p w14:paraId="6F6D945E" w14:textId="77777777" w:rsidR="00317405" w:rsidRPr="00C26E2D" w:rsidRDefault="00317405" w:rsidP="00317405">
      <w:pPr>
        <w:pBdr>
          <w:top w:val="nil"/>
          <w:left w:val="nil"/>
          <w:bottom w:val="nil"/>
          <w:right w:val="nil"/>
          <w:between w:val="nil"/>
          <w:bar w:val="nil"/>
        </w:pBdr>
        <w:spacing w:before="240" w:after="0" w:line="240" w:lineRule="auto"/>
        <w:jc w:val="both"/>
        <w:rPr>
          <w:rFonts w:eastAsia="Calibri" w:cs="Helvetica"/>
          <w:bCs/>
          <w:color w:val="0D0D0D"/>
          <w:sz w:val="24"/>
          <w:u w:color="0D0D0D"/>
          <w:bdr w:val="nil"/>
          <w:lang w:val="en-US" w:eastAsia="en-AU"/>
        </w:rPr>
      </w:pPr>
      <w:r w:rsidRPr="00C26E2D">
        <w:rPr>
          <w:rFonts w:eastAsiaTheme="minorHAnsi" w:cs="Helvetica"/>
          <w:sz w:val="24"/>
          <w:u w:color="000000"/>
          <w:lang w:val="en-NZ"/>
        </w:rPr>
        <w:t>To adapt these beverage coolers to suit the perishable market, many manufacturers simply shipped them from factory in ‘perishable mode’ i.e. with the Energy Management Device (EMD) disabled. To enable supply to both markets most beverage coolers had to be tested to both EN 16902 and ISO 23953 (with the EMD enabled). In Australia and New Zealand the majority of these coolers are suitable as display cabinets for both perishable foodstuffs and non-perishable beverages.</w:t>
      </w:r>
    </w:p>
    <w:p w14:paraId="59E1DBC6" w14:textId="77777777" w:rsidR="00317405" w:rsidRPr="00C26E2D" w:rsidRDefault="00317405" w:rsidP="00317405">
      <w:pPr>
        <w:pBdr>
          <w:top w:val="nil"/>
          <w:left w:val="nil"/>
          <w:bottom w:val="nil"/>
          <w:right w:val="nil"/>
          <w:between w:val="nil"/>
          <w:bar w:val="nil"/>
        </w:pBdr>
        <w:spacing w:before="240" w:after="0" w:line="240" w:lineRule="auto"/>
        <w:jc w:val="both"/>
        <w:rPr>
          <w:rFonts w:eastAsiaTheme="minorHAnsi" w:cs="Helvetica"/>
          <w:sz w:val="24"/>
          <w:u w:color="000000"/>
          <w:lang w:val="en-NZ"/>
        </w:rPr>
      </w:pPr>
      <w:r w:rsidRPr="00C26E2D">
        <w:rPr>
          <w:rFonts w:eastAsiaTheme="minorHAnsi" w:cs="Helvetica"/>
          <w:sz w:val="24"/>
          <w:u w:color="000000"/>
          <w:lang w:val="en-NZ"/>
        </w:rPr>
        <w:t>From a technical perspective, EN 16902 is about pull down, not testing for energy efficiency. Test results supplied by TWG members showed cases tested under EN 16902, with the EMD enabled, portrayed an artificially low energy consumption measure (i.e. approx. 25% less) compared to actual, or when compared to a cabinet tested under ISO 23953 for refrigerated display cabinets. In addition, EN 16902 does not require a door opening test for closed cabinets to simulate actual use. The difference in energy consumption when comparing cabinets with and without doors was minimised during testing.</w:t>
      </w:r>
    </w:p>
    <w:p w14:paraId="48B91E0F" w14:textId="77777777" w:rsidR="00317405" w:rsidRPr="00C26E2D" w:rsidRDefault="00317405" w:rsidP="00317405">
      <w:pPr>
        <w:pBdr>
          <w:top w:val="nil"/>
          <w:left w:val="nil"/>
          <w:bottom w:val="nil"/>
          <w:right w:val="nil"/>
          <w:between w:val="nil"/>
          <w:bar w:val="nil"/>
        </w:pBdr>
        <w:spacing w:before="240" w:after="0" w:line="240" w:lineRule="auto"/>
        <w:jc w:val="both"/>
        <w:rPr>
          <w:rFonts w:eastAsiaTheme="minorHAnsi" w:cs="Helvetica"/>
          <w:sz w:val="24"/>
          <w:u w:color="000000"/>
          <w:lang w:val="en-NZ"/>
        </w:rPr>
      </w:pPr>
      <w:r w:rsidRPr="00C26E2D">
        <w:rPr>
          <w:rFonts w:eastAsiaTheme="minorHAnsi" w:cs="Helvetica"/>
          <w:sz w:val="24"/>
          <w:u w:color="000000"/>
          <w:lang w:val="en-NZ"/>
        </w:rPr>
        <w:t xml:space="preserve">The TWG acknowledged that the test conditions in this Standard do not simulate the real world situations beverage cabinets would be subject too. Overall the TWG was concerned that introducing this Standard would add unnecessary registration/compliance complexity and may allow lower efficiency products into the market as it promotes a less onerous test. </w:t>
      </w:r>
    </w:p>
    <w:p w14:paraId="00C30B35" w14:textId="77777777" w:rsidR="00317405" w:rsidRPr="00C26E2D" w:rsidRDefault="00317405" w:rsidP="00317405">
      <w:pPr>
        <w:pBdr>
          <w:top w:val="nil"/>
          <w:left w:val="nil"/>
          <w:bottom w:val="nil"/>
          <w:right w:val="nil"/>
          <w:between w:val="nil"/>
          <w:bar w:val="nil"/>
        </w:pBdr>
        <w:spacing w:before="240" w:after="0" w:line="240" w:lineRule="auto"/>
        <w:jc w:val="both"/>
        <w:rPr>
          <w:rFonts w:eastAsiaTheme="minorHAnsi" w:cs="Helvetica"/>
          <w:sz w:val="24"/>
          <w:u w:color="000000"/>
          <w:lang w:val="en-NZ"/>
        </w:rPr>
      </w:pPr>
      <w:r w:rsidRPr="00C26E2D">
        <w:rPr>
          <w:rFonts w:eastAsiaTheme="minorHAnsi" w:cs="Helvetica"/>
          <w:sz w:val="24"/>
          <w:u w:color="000000"/>
          <w:lang w:val="en-NZ"/>
        </w:rPr>
        <w:t>From the Government regulators perspective, there is no obvious way to distinguish beverage coolers from refrigerated display cabinets based on their appearance. It is almost impossible to flag a refrigerated display cabinet as a beverage cooler because the EMD can be enabled or disabled before entering the market. It was also noted by regulators that ISO is currently considering an incorporation of EN 16902. It makes sense to assess adoption of the ISO version of this Standard when available.</w:t>
      </w:r>
    </w:p>
    <w:p w14:paraId="559196FE" w14:textId="77777777" w:rsidR="00317405" w:rsidRPr="00842B90" w:rsidRDefault="00317405" w:rsidP="00317405">
      <w:pPr>
        <w:pBdr>
          <w:top w:val="nil"/>
          <w:left w:val="nil"/>
          <w:bottom w:val="nil"/>
          <w:right w:val="nil"/>
          <w:between w:val="nil"/>
          <w:bar w:val="nil"/>
        </w:pBdr>
        <w:spacing w:before="240" w:after="0" w:line="240" w:lineRule="auto"/>
        <w:jc w:val="both"/>
        <w:rPr>
          <w:rFonts w:eastAsiaTheme="minorHAnsi" w:cs="Helvetica"/>
          <w:sz w:val="24"/>
          <w:u w:color="000000"/>
          <w:lang w:val="en-NZ"/>
        </w:rPr>
      </w:pPr>
      <w:r w:rsidRPr="00C26E2D">
        <w:rPr>
          <w:rFonts w:eastAsiaTheme="minorHAnsi" w:cs="Helvetica"/>
          <w:sz w:val="24"/>
          <w:u w:color="000000"/>
          <w:lang w:val="en-NZ"/>
        </w:rPr>
        <w:t>TWG members therefore unanimously recommended that EN 16902 not be adopted and that ISO 23953 be used as the test Standard for beverage coolers.</w:t>
      </w:r>
    </w:p>
    <w:p w14:paraId="4D5A6497" w14:textId="77777777" w:rsidR="00317405" w:rsidRPr="00C26E2D" w:rsidRDefault="00317405" w:rsidP="00317405">
      <w:pPr>
        <w:pBdr>
          <w:top w:val="nil"/>
          <w:left w:val="nil"/>
          <w:bottom w:val="nil"/>
          <w:right w:val="nil"/>
          <w:between w:val="nil"/>
          <w:bar w:val="nil"/>
        </w:pBdr>
        <w:spacing w:before="240" w:after="0" w:line="240" w:lineRule="auto"/>
        <w:jc w:val="both"/>
        <w:rPr>
          <w:rFonts w:eastAsiaTheme="minorHAnsi" w:cs="Helvetica"/>
          <w:sz w:val="24"/>
          <w:u w:color="000000"/>
          <w:lang w:val="en-NZ"/>
        </w:rPr>
      </w:pPr>
      <w:r w:rsidRPr="00842B90">
        <w:rPr>
          <w:rFonts w:eastAsia="Calibri" w:cs="Helvetica"/>
          <w:b/>
          <w:color w:val="0D0D0D"/>
          <w:sz w:val="24"/>
          <w:u w:color="0D0D0D"/>
          <w:bdr w:val="nil"/>
          <w:lang w:val="en-US" w:eastAsia="en-AU"/>
        </w:rPr>
        <w:t xml:space="preserve">Recommendation 11: Adoption of EN 16838:2016 (Refrigerated Display Scooping Cabinets for Gelato – Classification, Requirements and Test Conditions). </w:t>
      </w:r>
    </w:p>
    <w:p w14:paraId="1FD1E3C0" w14:textId="77777777" w:rsidR="00317405" w:rsidRPr="00C26E2D" w:rsidRDefault="00317405" w:rsidP="00317405">
      <w:pPr>
        <w:pBdr>
          <w:top w:val="nil"/>
          <w:left w:val="nil"/>
          <w:bottom w:val="nil"/>
          <w:right w:val="nil"/>
          <w:between w:val="nil"/>
          <w:bar w:val="nil"/>
        </w:pBdr>
        <w:spacing w:after="0" w:line="240" w:lineRule="auto"/>
        <w:jc w:val="both"/>
        <w:rPr>
          <w:rFonts w:eastAsia="Calibri" w:cs="Calibri"/>
          <w:bCs/>
          <w:color w:val="0D0D0D"/>
          <w:sz w:val="24"/>
          <w:u w:color="0D0D0D"/>
          <w:bdr w:val="nil"/>
          <w:lang w:val="en-US" w:eastAsia="en-AU"/>
        </w:rPr>
      </w:pPr>
    </w:p>
    <w:p w14:paraId="521B0FFF" w14:textId="77777777" w:rsidR="00317405" w:rsidRPr="00C26E2D" w:rsidRDefault="00317405" w:rsidP="00317405">
      <w:pPr>
        <w:spacing w:after="0" w:line="240" w:lineRule="auto"/>
        <w:jc w:val="both"/>
        <w:rPr>
          <w:rFonts w:eastAsia="Calibri" w:cs="Calibri"/>
          <w:bCs/>
          <w:color w:val="0D0D0D"/>
          <w:sz w:val="24"/>
          <w:lang w:val="en-US"/>
        </w:rPr>
      </w:pPr>
      <w:r w:rsidRPr="00C26E2D">
        <w:rPr>
          <w:rFonts w:eastAsia="Calibri" w:cs="Calibri"/>
          <w:bCs/>
          <w:color w:val="0D0D0D"/>
          <w:sz w:val="24"/>
          <w:lang w:val="en-US"/>
        </w:rPr>
        <w:t xml:space="preserve">The TWG accepted EN 16901 for gelato scooping cabinets without any changes other than the possibility of applying this Standard to ice-cream scooping cabinets. </w:t>
      </w:r>
    </w:p>
    <w:p w14:paraId="73417BE8" w14:textId="77777777" w:rsidR="00317405" w:rsidRPr="00C26E2D" w:rsidRDefault="00317405" w:rsidP="00317405">
      <w:pPr>
        <w:spacing w:after="0" w:line="240" w:lineRule="auto"/>
        <w:jc w:val="both"/>
        <w:rPr>
          <w:sz w:val="24"/>
        </w:rPr>
      </w:pPr>
    </w:p>
    <w:p w14:paraId="323B5E0E" w14:textId="77777777" w:rsidR="00317405" w:rsidRPr="00842B90" w:rsidRDefault="00317405" w:rsidP="00317405">
      <w:pPr>
        <w:pBdr>
          <w:top w:val="nil"/>
          <w:left w:val="nil"/>
          <w:bottom w:val="nil"/>
          <w:right w:val="nil"/>
          <w:between w:val="nil"/>
          <w:bar w:val="nil"/>
        </w:pBdr>
        <w:spacing w:after="0" w:line="240" w:lineRule="auto"/>
        <w:jc w:val="both"/>
        <w:rPr>
          <w:rFonts w:eastAsia="Calibri" w:cs="Helvetica"/>
          <w:b/>
          <w:color w:val="0D0D0D"/>
          <w:sz w:val="24"/>
          <w:u w:color="0D0D0D"/>
          <w:bdr w:val="nil"/>
          <w:lang w:val="en-US" w:eastAsia="en-AU"/>
        </w:rPr>
      </w:pPr>
      <w:r w:rsidRPr="00842B90">
        <w:rPr>
          <w:rFonts w:eastAsia="Calibri" w:cs="Helvetica"/>
          <w:b/>
          <w:color w:val="0D0D0D"/>
          <w:sz w:val="24"/>
          <w:u w:color="0D0D0D"/>
          <w:bdr w:val="nil"/>
          <w:lang w:val="en-US" w:eastAsia="en-AU"/>
        </w:rPr>
        <w:t>Recommendation 12: Refrigerants are out of scope.</w:t>
      </w:r>
    </w:p>
    <w:p w14:paraId="2A9412C8" w14:textId="77777777" w:rsidR="00317405" w:rsidRPr="00C26E2D" w:rsidRDefault="00317405" w:rsidP="00317405">
      <w:pPr>
        <w:spacing w:after="0" w:line="240" w:lineRule="auto"/>
        <w:jc w:val="both"/>
        <w:rPr>
          <w:rFonts w:asciiTheme="minorHAnsi" w:hAnsiTheme="minorHAnsi"/>
          <w:sz w:val="22"/>
          <w:szCs w:val="22"/>
        </w:rPr>
      </w:pPr>
    </w:p>
    <w:p w14:paraId="0DA15861" w14:textId="77777777" w:rsidR="00317405" w:rsidRPr="006F5C60" w:rsidRDefault="00317405" w:rsidP="006F5C60">
      <w:pPr>
        <w:sectPr w:rsidR="00317405" w:rsidRPr="006F5C60" w:rsidSect="0067256B">
          <w:type w:val="continuous"/>
          <w:pgSz w:w="11907" w:h="16840" w:code="9"/>
          <w:pgMar w:top="1134" w:right="1134" w:bottom="1418" w:left="1134" w:header="709" w:footer="709" w:gutter="0"/>
          <w:cols w:space="720"/>
          <w:titlePg/>
          <w:docGrid w:linePitch="360"/>
        </w:sectPr>
      </w:pPr>
    </w:p>
    <w:p w14:paraId="01C82CED" w14:textId="77777777" w:rsidR="0016451B" w:rsidRPr="00DC1801" w:rsidRDefault="0016451B" w:rsidP="00AD73FE">
      <w:pPr>
        <w:pStyle w:val="E3ChapterTitle"/>
      </w:pPr>
    </w:p>
    <w:sectPr w:rsidR="0016451B" w:rsidRPr="00DC1801" w:rsidSect="00CB6EB6">
      <w:headerReference w:type="first" r:id="rId68"/>
      <w:footerReference w:type="first" r:id="rId69"/>
      <w:pgSz w:w="16840" w:h="11907" w:orient="landscape" w:code="9"/>
      <w:pgMar w:top="1134" w:right="1134" w:bottom="1134" w:left="1418"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58E87E" w14:textId="77777777" w:rsidR="00C22857" w:rsidRDefault="00C22857" w:rsidP="006715E4">
      <w:pPr>
        <w:spacing w:after="0" w:line="240" w:lineRule="auto"/>
      </w:pPr>
      <w:r>
        <w:separator/>
      </w:r>
    </w:p>
    <w:p w14:paraId="05DC1C45" w14:textId="77777777" w:rsidR="00C22857" w:rsidRDefault="00C22857"/>
    <w:p w14:paraId="68352528" w14:textId="77777777" w:rsidR="00C22857" w:rsidRDefault="00C22857"/>
  </w:endnote>
  <w:endnote w:type="continuationSeparator" w:id="0">
    <w:p w14:paraId="69C60860" w14:textId="77777777" w:rsidR="00C22857" w:rsidRDefault="00C22857" w:rsidP="006715E4">
      <w:pPr>
        <w:spacing w:after="0" w:line="240" w:lineRule="auto"/>
      </w:pPr>
      <w:r>
        <w:continuationSeparator/>
      </w:r>
    </w:p>
    <w:p w14:paraId="6D3C3545" w14:textId="77777777" w:rsidR="00C22857" w:rsidRDefault="00C22857"/>
    <w:p w14:paraId="39D49592" w14:textId="77777777" w:rsidR="00C22857" w:rsidRDefault="00C22857"/>
  </w:endnote>
  <w:endnote w:type="continuationNotice" w:id="1">
    <w:p w14:paraId="24C207DC" w14:textId="77777777" w:rsidR="00C22857" w:rsidRDefault="00C228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Helvetica Neue Light">
    <w:altName w:val="Corbel"/>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MS PMincho">
    <w:panose1 w:val="02020600040205080304"/>
    <w:charset w:val="80"/>
    <w:family w:val="roman"/>
    <w:pitch w:val="variable"/>
    <w:sig w:usb0="E00002FF" w:usb1="6AC7FDFB" w:usb2="00000012" w:usb3="00000000" w:csb0="0002009F" w:csb1="00000000"/>
  </w:font>
  <w:font w:name="TimesNewRomanPS">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SC STKaiti">
    <w:altName w:val="Malgun Gothic Semilight"/>
    <w:panose1 w:val="00000000000000000000"/>
    <w:charset w:val="86"/>
    <w:family w:val="auto"/>
    <w:notTrueType/>
    <w:pitch w:val="variable"/>
    <w:sig w:usb0="00000000" w:usb1="080E0000" w:usb2="00000010" w:usb3="00000000" w:csb0="00040000"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343F0" w14:textId="77777777" w:rsidR="00883D84" w:rsidRDefault="00883D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FF82B" w14:textId="7597464D" w:rsidR="00C22857" w:rsidRDefault="00516E40" w:rsidP="00401CA6">
    <w:pPr>
      <w:pStyle w:val="Footer"/>
      <w:tabs>
        <w:tab w:val="clear" w:pos="4320"/>
        <w:tab w:val="clear" w:pos="8640"/>
      </w:tabs>
    </w:pPr>
    <w:r>
      <w:pict w14:anchorId="44D44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1.55pt" o:hrpct="0" o:hralign="center" o:hr="t">
          <v:imagedata r:id="rId1" o:title="Default Line"/>
        </v:shape>
      </w:pict>
    </w:r>
    <w:r w:rsidR="00C22857">
      <w:t>Decision Regulation Impact Statement: Refrigerated Display and Storage Cabinets</w:t>
    </w:r>
    <w:r w:rsidR="00C22857">
      <w:tab/>
    </w:r>
  </w:p>
  <w:p w14:paraId="2D304557" w14:textId="624CF8A2" w:rsidR="00C22857" w:rsidRPr="00D14FB0" w:rsidRDefault="00C22857" w:rsidP="00401CA6">
    <w:pPr>
      <w:pStyle w:val="Footer"/>
      <w:tabs>
        <w:tab w:val="clear" w:pos="4320"/>
        <w:tab w:val="clear" w:pos="8640"/>
      </w:tabs>
    </w:pPr>
    <w:r>
      <w:tab/>
    </w:r>
    <w:r>
      <w:tab/>
    </w:r>
    <w:r w:rsidRPr="002D3654">
      <w:rPr>
        <w:rStyle w:val="PageNumber"/>
      </w:rPr>
      <w:fldChar w:fldCharType="begin"/>
    </w:r>
    <w:r w:rsidRPr="002D3654">
      <w:rPr>
        <w:rStyle w:val="PageNumber"/>
      </w:rPr>
      <w:instrText xml:space="preserve"> PAGE </w:instrText>
    </w:r>
    <w:r w:rsidRPr="002D3654">
      <w:rPr>
        <w:rStyle w:val="PageNumber"/>
      </w:rPr>
      <w:fldChar w:fldCharType="separate"/>
    </w:r>
    <w:r w:rsidR="00D51B4B">
      <w:rPr>
        <w:rStyle w:val="PageNumber"/>
        <w:noProof/>
      </w:rPr>
      <w:t>120</w:t>
    </w:r>
    <w:r w:rsidRPr="002D3654">
      <w:rPr>
        <w:rStyle w:val="PageNumber"/>
      </w:rPr>
      <w:fldChar w:fldCharType="end"/>
    </w:r>
  </w:p>
  <w:p w14:paraId="32EA0E31" w14:textId="037DC8E0" w:rsidR="00C22857" w:rsidRDefault="00C22857" w:rsidP="00401CA6">
    <w:pPr>
      <w:pStyle w:val="Footer"/>
      <w:tabs>
        <w:tab w:val="clear" w:pos="4320"/>
        <w:tab w:val="clear" w:pos="86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4E42F" w14:textId="77777777" w:rsidR="00C22857" w:rsidRPr="00E638CE" w:rsidRDefault="00C22857" w:rsidP="00E638CE">
    <w:pPr>
      <w:pStyle w:val="E3CoverFooter"/>
    </w:pPr>
    <w:r>
      <w:t>A joint initiative of Australian, State and Territory</w:t>
    </w:r>
    <w:r>
      <w:br/>
      <w:t>and New Zealand Governments.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39BF3" w14:textId="40CB856E" w:rsidR="00C22857" w:rsidRPr="00D14FB0" w:rsidRDefault="00C22857" w:rsidP="00636F61">
    <w:pPr>
      <w:pStyle w:val="Footer"/>
      <w:tabs>
        <w:tab w:val="clear" w:pos="4320"/>
        <w:tab w:val="clear" w:pos="864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79A65" w14:textId="260CB1E6" w:rsidR="00C22857" w:rsidRPr="00D14FB0" w:rsidRDefault="00516E40" w:rsidP="00401CA6">
    <w:pPr>
      <w:pStyle w:val="Footer"/>
      <w:tabs>
        <w:tab w:val="clear" w:pos="4320"/>
        <w:tab w:val="clear" w:pos="8640"/>
      </w:tabs>
    </w:pPr>
    <w:r>
      <w:pict w14:anchorId="1CAEDD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55pt;height:1.55pt" o:hrpct="0" o:hralign="center" o:hr="t">
          <v:imagedata r:id="rId1" o:title="Default Line"/>
        </v:shape>
      </w:pict>
    </w:r>
    <w:r w:rsidR="00C22857">
      <w:tab/>
    </w:r>
  </w:p>
  <w:p w14:paraId="199BA45B" w14:textId="1406008A" w:rsidR="00C22857" w:rsidRPr="00D14FB0" w:rsidRDefault="00C22857" w:rsidP="00D77C24">
    <w:pPr>
      <w:pStyle w:val="Footer"/>
      <w:tabs>
        <w:tab w:val="clear" w:pos="4320"/>
        <w:tab w:val="clear" w:pos="8640"/>
      </w:tabs>
    </w:pPr>
    <w:r>
      <w:t>E3 RIS</w:t>
    </w:r>
    <w:r>
      <w:tab/>
    </w:r>
    <w:r>
      <w:tab/>
    </w:r>
    <w:r w:rsidRPr="002D3654">
      <w:rPr>
        <w:rStyle w:val="PageNumber"/>
      </w:rPr>
      <w:fldChar w:fldCharType="begin"/>
    </w:r>
    <w:r w:rsidRPr="002D3654">
      <w:rPr>
        <w:rStyle w:val="PageNumber"/>
      </w:rPr>
      <w:instrText xml:space="preserve"> PAGE </w:instrText>
    </w:r>
    <w:r w:rsidRPr="002D3654">
      <w:rPr>
        <w:rStyle w:val="PageNumber"/>
      </w:rPr>
      <w:fldChar w:fldCharType="separate"/>
    </w:r>
    <w:r w:rsidR="00D51B4B">
      <w:rPr>
        <w:rStyle w:val="PageNumber"/>
        <w:noProof/>
      </w:rPr>
      <w:t>1</w:t>
    </w:r>
    <w:r w:rsidRPr="002D3654">
      <w:rPr>
        <w:rStyle w:val="PageNumber"/>
      </w:rPr>
      <w:fldChar w:fldCharType="end"/>
    </w:r>
  </w:p>
  <w:p w14:paraId="29AFE6FF" w14:textId="49BC797B" w:rsidR="00C22857" w:rsidRPr="00D14FB0" w:rsidRDefault="00C22857" w:rsidP="00D77C24">
    <w:pPr>
      <w:pStyle w:val="Footer"/>
      <w:tabs>
        <w:tab w:val="clear" w:pos="4320"/>
        <w:tab w:val="clear" w:pos="8640"/>
        <w:tab w:val="left" w:pos="854"/>
      </w:tabs>
      <w:jc w:val="left"/>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7191D" w14:textId="5B4C398A" w:rsidR="00C22857" w:rsidRDefault="00516E40" w:rsidP="00FA525C">
    <w:pPr>
      <w:pStyle w:val="Footer"/>
      <w:tabs>
        <w:tab w:val="clear" w:pos="4320"/>
        <w:tab w:val="clear" w:pos="8640"/>
      </w:tabs>
    </w:pPr>
    <w:r>
      <w:pict w14:anchorId="7B839B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06.7pt;height:1.3pt" o:hrpct="0" o:hralign="center" o:hr="t">
          <v:imagedata r:id="rId1" o:title="Default Line"/>
        </v:shape>
      </w:pict>
    </w:r>
    <w:r w:rsidR="00C22857" w:rsidRPr="00FA525C">
      <w:t xml:space="preserve"> </w:t>
    </w:r>
    <w:r w:rsidR="00C22857">
      <w:t>Decision Regulation Impact Statement: Refrigerated Display and Storage Cabinets</w:t>
    </w:r>
    <w:r w:rsidR="00C22857">
      <w:tab/>
    </w:r>
  </w:p>
  <w:p w14:paraId="1C1B3851" w14:textId="2AAE7C26" w:rsidR="00C22857" w:rsidRPr="00D14FB0" w:rsidRDefault="00C22857" w:rsidP="00FA525C">
    <w:pPr>
      <w:pStyle w:val="Footer"/>
      <w:tabs>
        <w:tab w:val="clear" w:pos="4320"/>
        <w:tab w:val="clear" w:pos="8640"/>
      </w:tabs>
    </w:pPr>
    <w:r>
      <w:tab/>
    </w:r>
    <w:r>
      <w:tab/>
    </w:r>
    <w:r w:rsidRPr="002D3654">
      <w:rPr>
        <w:rStyle w:val="PageNumber"/>
      </w:rPr>
      <w:fldChar w:fldCharType="begin"/>
    </w:r>
    <w:r w:rsidRPr="002D3654">
      <w:rPr>
        <w:rStyle w:val="PageNumber"/>
      </w:rPr>
      <w:instrText xml:space="preserve"> PAGE </w:instrText>
    </w:r>
    <w:r w:rsidRPr="002D3654">
      <w:rPr>
        <w:rStyle w:val="PageNumber"/>
      </w:rPr>
      <w:fldChar w:fldCharType="separate"/>
    </w:r>
    <w:r w:rsidR="00D51B4B">
      <w:rPr>
        <w:rStyle w:val="PageNumber"/>
        <w:noProof/>
      </w:rPr>
      <w:t>6</w:t>
    </w:r>
    <w:r w:rsidRPr="002D3654">
      <w:rPr>
        <w:rStyle w:val="PageNumber"/>
      </w:rPr>
      <w:fldChar w:fldCharType="end"/>
    </w:r>
  </w:p>
  <w:p w14:paraId="074005F9" w14:textId="4B07172E" w:rsidR="00C22857" w:rsidRPr="00A37E0E" w:rsidRDefault="00C22857" w:rsidP="00FA525C">
    <w:pPr>
      <w:pStyle w:val="Footer"/>
      <w:tabs>
        <w:tab w:val="clear" w:pos="4320"/>
        <w:tab w:val="clear" w:pos="8640"/>
      </w:tabs>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451A4" w14:textId="77777777" w:rsidR="00C22857" w:rsidRDefault="00516E40" w:rsidP="00FA525C">
    <w:pPr>
      <w:pStyle w:val="Footer"/>
      <w:tabs>
        <w:tab w:val="clear" w:pos="4320"/>
        <w:tab w:val="clear" w:pos="8640"/>
      </w:tabs>
    </w:pPr>
    <w:r>
      <w:pict w14:anchorId="770333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06.7pt;height:1.3pt" o:hrpct="0" o:hralign="center" o:hr="t">
          <v:imagedata r:id="rId1" o:title="Default Line"/>
        </v:shape>
      </w:pict>
    </w:r>
    <w:r w:rsidR="00C22857" w:rsidRPr="00FA525C">
      <w:t xml:space="preserve"> </w:t>
    </w:r>
    <w:r w:rsidR="00C22857">
      <w:t>Decision Regulation Impact Statement: Refrigerated Display and Storage Cabinets</w:t>
    </w:r>
    <w:r w:rsidR="00C22857">
      <w:tab/>
    </w:r>
  </w:p>
  <w:p w14:paraId="621CF025" w14:textId="03BB5DA8" w:rsidR="00C22857" w:rsidRPr="00D14FB0" w:rsidRDefault="00C22857" w:rsidP="00FA525C">
    <w:pPr>
      <w:pStyle w:val="Footer"/>
      <w:tabs>
        <w:tab w:val="clear" w:pos="4320"/>
        <w:tab w:val="clear" w:pos="8640"/>
      </w:tabs>
    </w:pPr>
    <w:r>
      <w:tab/>
    </w:r>
    <w:r>
      <w:tab/>
    </w:r>
    <w:r>
      <w:rPr>
        <w:rStyle w:val="PageNumber"/>
      </w:rPr>
      <w:t>7</w:t>
    </w:r>
  </w:p>
  <w:p w14:paraId="0B35A70B" w14:textId="77777777" w:rsidR="00C22857" w:rsidRPr="00A37E0E" w:rsidRDefault="00C22857" w:rsidP="00FA525C">
    <w:pPr>
      <w:pStyle w:val="Footer"/>
      <w:tabs>
        <w:tab w:val="clear" w:pos="4320"/>
        <w:tab w:val="clear" w:pos="8640"/>
      </w:tabs>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7F306" w14:textId="77777777" w:rsidR="00C22857" w:rsidRPr="00881F6E" w:rsidRDefault="00C22857" w:rsidP="00881F6E">
    <w:pPr>
      <w:pStyle w:val="E3FootnoteTex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D4A443" w14:textId="77777777" w:rsidR="00C22857" w:rsidRDefault="00C22857" w:rsidP="006715E4">
      <w:pPr>
        <w:spacing w:after="0" w:line="240" w:lineRule="auto"/>
      </w:pPr>
      <w:r>
        <w:separator/>
      </w:r>
    </w:p>
    <w:p w14:paraId="60AE41B4" w14:textId="77777777" w:rsidR="00C22857" w:rsidRDefault="00C22857"/>
    <w:p w14:paraId="181B8C68" w14:textId="77777777" w:rsidR="00C22857" w:rsidRDefault="00C22857"/>
  </w:footnote>
  <w:footnote w:type="continuationSeparator" w:id="0">
    <w:p w14:paraId="5FABC116" w14:textId="77777777" w:rsidR="00C22857" w:rsidRDefault="00C22857" w:rsidP="006715E4">
      <w:pPr>
        <w:spacing w:after="0" w:line="240" w:lineRule="auto"/>
      </w:pPr>
      <w:r>
        <w:continuationSeparator/>
      </w:r>
    </w:p>
    <w:p w14:paraId="5B1B5111" w14:textId="77777777" w:rsidR="00C22857" w:rsidRDefault="00C22857"/>
    <w:p w14:paraId="4201DE7B" w14:textId="77777777" w:rsidR="00C22857" w:rsidRDefault="00C22857"/>
  </w:footnote>
  <w:footnote w:type="continuationNotice" w:id="1">
    <w:p w14:paraId="6E1E7849" w14:textId="77777777" w:rsidR="00C22857" w:rsidRDefault="00C22857">
      <w:pPr>
        <w:spacing w:after="0" w:line="240" w:lineRule="auto"/>
      </w:pPr>
    </w:p>
  </w:footnote>
  <w:footnote w:id="2">
    <w:p w14:paraId="1ED4A20C" w14:textId="773981ED" w:rsidR="00C22857" w:rsidRPr="00AD114D" w:rsidRDefault="00C22857" w:rsidP="000B53C0">
      <w:pPr>
        <w:pStyle w:val="FootnoteText"/>
        <w:rPr>
          <w:lang w:val="en-NZ"/>
        </w:rPr>
      </w:pPr>
      <w:r>
        <w:rPr>
          <w:rStyle w:val="FootnoteReference"/>
        </w:rPr>
        <w:footnoteRef/>
      </w:r>
      <w:r>
        <w:t xml:space="preserve"> </w:t>
      </w:r>
      <w:r>
        <w:rPr>
          <w:lang w:val="en-NZ"/>
        </w:rPr>
        <w:t>Population growth is a primary driver</w:t>
      </w:r>
    </w:p>
    <w:p w14:paraId="5E597A94" w14:textId="77777777" w:rsidR="00C22857" w:rsidRPr="0041262C" w:rsidRDefault="00C22857" w:rsidP="000B53C0">
      <w:pPr>
        <w:pStyle w:val="FootnoteText"/>
        <w:rPr>
          <w:lang w:val="en-NZ"/>
        </w:rPr>
      </w:pPr>
    </w:p>
  </w:footnote>
  <w:footnote w:id="3">
    <w:p w14:paraId="29C05FE6" w14:textId="77777777" w:rsidR="00C22857" w:rsidRPr="006E48B1" w:rsidRDefault="00C22857" w:rsidP="000B53C0">
      <w:pPr>
        <w:pStyle w:val="FootnoteText"/>
        <w:rPr>
          <w:highlight w:val="yellow"/>
          <w:lang w:val="en-NZ"/>
        </w:rPr>
      </w:pPr>
      <w:r>
        <w:rPr>
          <w:rStyle w:val="FootnoteReference"/>
        </w:rPr>
        <w:footnoteRef/>
      </w:r>
      <w:r>
        <w:t xml:space="preserve"> December 1</w:t>
      </w:r>
      <w:r w:rsidRPr="001E1C3E">
        <w:rPr>
          <w:vertAlign w:val="superscript"/>
        </w:rPr>
        <w:t>st</w:t>
      </w:r>
      <w:r>
        <w:t xml:space="preserve"> 2019 is the proposed implementation date for both refrigerated display cabinets and storage cabinets</w:t>
      </w:r>
    </w:p>
  </w:footnote>
  <w:footnote w:id="4">
    <w:p w14:paraId="542BD61E" w14:textId="77777777" w:rsidR="00C22857" w:rsidRPr="006E48B1" w:rsidRDefault="00C22857" w:rsidP="000B53C0">
      <w:pPr>
        <w:pStyle w:val="FootnoteText"/>
        <w:rPr>
          <w:lang w:val="en-NZ"/>
        </w:rPr>
      </w:pPr>
      <w:r w:rsidRPr="001E1C3E">
        <w:rPr>
          <w:rStyle w:val="FootnoteReference"/>
        </w:rPr>
        <w:footnoteRef/>
      </w:r>
      <w:r w:rsidRPr="001E1C3E">
        <w:t xml:space="preserve"> ISO 23953, EN16825, EN16901, EN16838</w:t>
      </w:r>
    </w:p>
  </w:footnote>
  <w:footnote w:id="5">
    <w:p w14:paraId="30C21564" w14:textId="77777777" w:rsidR="00C22857" w:rsidRPr="004B6D51" w:rsidRDefault="00C22857" w:rsidP="000B53C0">
      <w:pPr>
        <w:pStyle w:val="FootnoteText"/>
        <w:rPr>
          <w:lang w:val="en-NZ"/>
        </w:rPr>
      </w:pPr>
      <w:r w:rsidRPr="001E1C3E">
        <w:rPr>
          <w:rStyle w:val="FootnoteReference"/>
        </w:rPr>
        <w:footnoteRef/>
      </w:r>
      <w:r w:rsidRPr="001E1C3E">
        <w:t xml:space="preserve"> </w:t>
      </w:r>
      <w:r w:rsidRPr="001E1C3E">
        <w:rPr>
          <w:lang w:val="en-NZ"/>
        </w:rPr>
        <w:t>AS1731</w:t>
      </w:r>
      <w:r>
        <w:rPr>
          <w:lang w:val="en-NZ"/>
        </w:rPr>
        <w:t xml:space="preserve"> parts 1-14</w:t>
      </w:r>
    </w:p>
  </w:footnote>
  <w:footnote w:id="6">
    <w:p w14:paraId="3D925DAF" w14:textId="55821601" w:rsidR="00C22857" w:rsidRPr="00120A42" w:rsidRDefault="00C22857">
      <w:pPr>
        <w:pStyle w:val="FootnoteText"/>
        <w:rPr>
          <w:lang w:val="en-AU"/>
        </w:rPr>
      </w:pPr>
      <w:r>
        <w:rPr>
          <w:rStyle w:val="FootnoteReference"/>
        </w:rPr>
        <w:footnoteRef/>
      </w:r>
      <w:r>
        <w:t xml:space="preserve"> </w:t>
      </w:r>
      <w:r w:rsidRPr="00120A42">
        <w:t>The analysis has been revised since the Consultation RIS. The period of the analysis is 2017 to 2035 (rather than 2014 to 2035), with a delay in the ability to accumulate savings through to 2020 (3 years less cumulative savings). The overall BCR is lower for New Zealand due to the use of the long run marginal electricity price and wholesale costs of electricity. A New Zealand discount rate of 6% has also been applied rather than the 5% used in the Consultation RIS analysis.</w:t>
      </w:r>
    </w:p>
  </w:footnote>
  <w:footnote w:id="7">
    <w:p w14:paraId="5C2BAD48" w14:textId="2AAEDC65" w:rsidR="00C22857" w:rsidRPr="00D90628" w:rsidRDefault="00C22857">
      <w:pPr>
        <w:pStyle w:val="FootnoteText"/>
        <w:rPr>
          <w:lang w:val="en-NZ"/>
        </w:rPr>
      </w:pPr>
      <w:r>
        <w:rPr>
          <w:rStyle w:val="FootnoteReference"/>
        </w:rPr>
        <w:footnoteRef/>
      </w:r>
      <w:r>
        <w:t xml:space="preserve"> The avoided costs of GHG emissions abatement due to the decrease in energy used by commercial refrigeration equipment</w:t>
      </w:r>
    </w:p>
  </w:footnote>
  <w:footnote w:id="8">
    <w:p w14:paraId="50117E3C" w14:textId="5E2529C8" w:rsidR="00C22857" w:rsidRPr="00555886" w:rsidRDefault="00C22857" w:rsidP="006D707F">
      <w:pPr>
        <w:pStyle w:val="E3FootnoteText"/>
        <w:rPr>
          <w:lang w:val="en-NZ"/>
        </w:rPr>
      </w:pPr>
      <w:r>
        <w:rPr>
          <w:rStyle w:val="FootnoteReference"/>
        </w:rPr>
        <w:footnoteRef/>
      </w:r>
      <w:r>
        <w:t xml:space="preserve"> </w:t>
      </w:r>
      <w:r w:rsidRPr="00120A42">
        <w:rPr>
          <w:sz w:val="19"/>
          <w:lang w:val="en-NZ"/>
        </w:rPr>
        <w:t>See the discussion in the Problem Section as to split-incentives arising from this aspect of the market.</w:t>
      </w:r>
    </w:p>
  </w:footnote>
  <w:footnote w:id="9">
    <w:p w14:paraId="4A24B1A4" w14:textId="77777777" w:rsidR="00C22857" w:rsidRPr="00120A42" w:rsidRDefault="00C22857" w:rsidP="006D707F">
      <w:pPr>
        <w:pStyle w:val="E3FootnoteText"/>
        <w:rPr>
          <w:sz w:val="19"/>
        </w:rPr>
      </w:pPr>
      <w:r>
        <w:rPr>
          <w:rStyle w:val="FootnoteReference"/>
        </w:rPr>
        <w:footnoteRef/>
      </w:r>
      <w:r>
        <w:t xml:space="preserve"> </w:t>
      </w:r>
      <w:r w:rsidRPr="00120A42">
        <w:rPr>
          <w:sz w:val="19"/>
        </w:rPr>
        <w:t>Refrigerated storage cabinets were the subject of an extensive European Eco-design study in 2011 which found that they comprised around 20% of the market by quantity.</w:t>
      </w:r>
    </w:p>
    <w:p w14:paraId="7CBFC55A" w14:textId="77777777" w:rsidR="00C22857" w:rsidRPr="00D24F4A" w:rsidRDefault="00C22857" w:rsidP="006D707F">
      <w:pPr>
        <w:pStyle w:val="FootnoteText"/>
        <w:rPr>
          <w:lang w:val="en-NZ"/>
        </w:rPr>
      </w:pPr>
    </w:p>
  </w:footnote>
  <w:footnote w:id="10">
    <w:p w14:paraId="65FC4DEC" w14:textId="74965DE7" w:rsidR="00C22857" w:rsidRPr="00120A42" w:rsidRDefault="00C22857" w:rsidP="00120A42">
      <w:pPr>
        <w:pStyle w:val="E3FootnoteText"/>
      </w:pPr>
      <w:r w:rsidRPr="0084790F">
        <w:rPr>
          <w:rStyle w:val="FootnoteReference"/>
          <w:szCs w:val="16"/>
        </w:rPr>
        <w:footnoteRef/>
      </w:r>
      <w:r w:rsidRPr="0084790F">
        <w:t xml:space="preserve"> </w:t>
      </w:r>
      <w:r w:rsidRPr="00120A42">
        <w:rPr>
          <w:sz w:val="19"/>
        </w:rPr>
        <w:t>Product Profile: Commercial Refrigeration - Refrigerated Display and Storage Cabinets. 28/08/2013. Energy rating website.</w:t>
      </w:r>
    </w:p>
  </w:footnote>
  <w:footnote w:id="11">
    <w:p w14:paraId="1B46354C" w14:textId="77777777" w:rsidR="00C22857" w:rsidRPr="0009144D" w:rsidRDefault="00C22857" w:rsidP="006D707F">
      <w:pPr>
        <w:pStyle w:val="E3FootnoteText"/>
        <w:rPr>
          <w:i/>
          <w:lang w:val="en-NZ"/>
        </w:rPr>
      </w:pPr>
      <w:r>
        <w:rPr>
          <w:rStyle w:val="FootnoteReference"/>
        </w:rPr>
        <w:footnoteRef/>
      </w:r>
      <w:r>
        <w:t xml:space="preserve"> </w:t>
      </w:r>
      <w:r w:rsidRPr="00120A42">
        <w:rPr>
          <w:sz w:val="19"/>
          <w:lang w:val="en-NZ"/>
        </w:rPr>
        <w:t xml:space="preserve">EECA has the power to collect sales data per model on an annual basis under the </w:t>
      </w:r>
      <w:r w:rsidRPr="00120A42">
        <w:rPr>
          <w:i/>
          <w:sz w:val="19"/>
          <w:lang w:val="en-NZ"/>
        </w:rPr>
        <w:t>Energy Efficiency (Energy Using Products) Regulations 2002.</w:t>
      </w:r>
    </w:p>
  </w:footnote>
  <w:footnote w:id="12">
    <w:p w14:paraId="53351C66" w14:textId="77777777" w:rsidR="00C22857" w:rsidRPr="00E20311" w:rsidRDefault="00C22857" w:rsidP="00AF04B1">
      <w:pPr>
        <w:pStyle w:val="E3FootnoteText"/>
      </w:pPr>
      <w:r w:rsidRPr="00D63481">
        <w:rPr>
          <w:rStyle w:val="FootnoteReference"/>
          <w:sz w:val="14"/>
          <w:szCs w:val="14"/>
        </w:rPr>
        <w:footnoteRef/>
      </w:r>
      <w:r w:rsidRPr="00D63481">
        <w:rPr>
          <w:sz w:val="14"/>
          <w:szCs w:val="14"/>
        </w:rPr>
        <w:t xml:space="preserve"> </w:t>
      </w:r>
      <w:r w:rsidRPr="00120A42">
        <w:rPr>
          <w:sz w:val="19"/>
        </w:rPr>
        <w:t xml:space="preserve">As 1731.1–2003: Refrigerated display cabinets-Part 14 contains the MEPS levels and cabinet type definitions and the applicable testing standards are in parts 1 to 13 (see also schedule 1 of the </w:t>
      </w:r>
      <w:r w:rsidRPr="00120A42">
        <w:rPr>
          <w:i/>
          <w:sz w:val="19"/>
        </w:rPr>
        <w:t xml:space="preserve">Energy Efficiency (Energy Using Products) Regulations </w:t>
      </w:r>
      <w:r w:rsidRPr="00120A42">
        <w:rPr>
          <w:sz w:val="19"/>
        </w:rPr>
        <w:t>2002).</w:t>
      </w:r>
    </w:p>
  </w:footnote>
  <w:footnote w:id="13">
    <w:p w14:paraId="51CE4667" w14:textId="77777777" w:rsidR="00C22857" w:rsidRPr="00E20311" w:rsidRDefault="00C22857" w:rsidP="006D707F">
      <w:pPr>
        <w:pStyle w:val="E3FootnoteText"/>
        <w:rPr>
          <w:lang w:val="en-NZ"/>
        </w:rPr>
      </w:pPr>
      <w:r w:rsidRPr="00664321">
        <w:rPr>
          <w:rStyle w:val="FootnoteReference"/>
          <w:szCs w:val="16"/>
        </w:rPr>
        <w:footnoteRef/>
      </w:r>
      <w:r w:rsidRPr="00664321">
        <w:t xml:space="preserve"> </w:t>
      </w:r>
      <w:r>
        <w:rPr>
          <w:lang w:val="en-NZ"/>
        </w:rPr>
        <w:t>AS 1731.1 – Part 1.1.</w:t>
      </w:r>
    </w:p>
  </w:footnote>
  <w:footnote w:id="14">
    <w:p w14:paraId="716FC33E" w14:textId="77777777" w:rsidR="00C22857" w:rsidRPr="00555886" w:rsidRDefault="00C22857" w:rsidP="006D707F">
      <w:pPr>
        <w:pStyle w:val="E3FootnoteText"/>
        <w:rPr>
          <w:lang w:val="en-NZ"/>
        </w:rPr>
      </w:pPr>
      <w:r>
        <w:rPr>
          <w:rStyle w:val="FootnoteReference"/>
        </w:rPr>
        <w:footnoteRef/>
      </w:r>
      <w:r>
        <w:t xml:space="preserve">  </w:t>
      </w:r>
      <w:r w:rsidRPr="00120A42">
        <w:rPr>
          <w:i/>
          <w:sz w:val="19"/>
          <w:lang w:val="en-NZ"/>
        </w:rPr>
        <w:t>Achievements of appliance energy efficiency standards and labelling programs – A Global Assessment</w:t>
      </w:r>
      <w:r w:rsidRPr="00120A42">
        <w:rPr>
          <w:sz w:val="19"/>
          <w:lang w:val="en-NZ"/>
        </w:rPr>
        <w:t xml:space="preserve"> – 4E Energy Efficient End-use Equipment International Energy Agency.</w:t>
      </w:r>
      <w:r>
        <w:rPr>
          <w:lang w:val="en-NZ"/>
        </w:rPr>
        <w:t xml:space="preserve"> </w:t>
      </w:r>
    </w:p>
  </w:footnote>
  <w:footnote w:id="15">
    <w:p w14:paraId="51175859" w14:textId="0A385BD0" w:rsidR="00C22857" w:rsidRPr="007A5346" w:rsidRDefault="00C22857" w:rsidP="00A952E6">
      <w:pPr>
        <w:pStyle w:val="E3FootnoteText"/>
        <w:rPr>
          <w:lang w:val="en-NZ"/>
        </w:rPr>
      </w:pPr>
      <w:r>
        <w:rPr>
          <w:rStyle w:val="FootnoteReference"/>
        </w:rPr>
        <w:footnoteRef/>
      </w:r>
      <w:r>
        <w:rPr>
          <w:sz w:val="19"/>
          <w:lang w:val="en-NZ"/>
        </w:rPr>
        <w:t xml:space="preserve"> </w:t>
      </w:r>
      <w:r w:rsidRPr="00120A42">
        <w:rPr>
          <w:sz w:val="19"/>
          <w:lang w:val="en-NZ"/>
        </w:rPr>
        <w:t>Based on average prices of 20c/kwh in AU and 16.6 c/kWh in NZ, and a 10% saving of the weighted average annual energy use for cabinets.</w:t>
      </w:r>
    </w:p>
  </w:footnote>
  <w:footnote w:id="16">
    <w:p w14:paraId="07A54014" w14:textId="77777777" w:rsidR="00C22857" w:rsidRPr="00732BBB" w:rsidRDefault="00C22857" w:rsidP="00197B9C">
      <w:pPr>
        <w:pStyle w:val="E3FootnoteText"/>
        <w:rPr>
          <w:lang w:val="en-NZ"/>
        </w:rPr>
      </w:pPr>
      <w:r w:rsidRPr="00732BBB">
        <w:rPr>
          <w:rStyle w:val="FootnoteReference"/>
          <w:sz w:val="18"/>
          <w:szCs w:val="18"/>
        </w:rPr>
        <w:footnoteRef/>
      </w:r>
      <w:r w:rsidRPr="00732BBB">
        <w:t xml:space="preserve"> </w:t>
      </w:r>
      <w:r w:rsidRPr="00120A42">
        <w:rPr>
          <w:sz w:val="19"/>
          <w:lang w:val="en-NZ"/>
        </w:rPr>
        <w:t xml:space="preserve">Australian Standard (AS 1731.1 – 2003) Refrigerated display cabinets, first published 1 October 2013; see also Schedule 1 of the </w:t>
      </w:r>
      <w:r w:rsidRPr="00120A42">
        <w:rPr>
          <w:i/>
          <w:sz w:val="19"/>
          <w:lang w:val="en-NZ"/>
        </w:rPr>
        <w:t xml:space="preserve">Energy Efficiency (Energy Using Products) Regulations 2002 </w:t>
      </w:r>
      <w:r w:rsidRPr="00120A42">
        <w:rPr>
          <w:sz w:val="19"/>
          <w:lang w:val="en-NZ"/>
        </w:rPr>
        <w:t>which specifies the MEPS requirements in New Zealand (AS 1731.14-2003).</w:t>
      </w:r>
    </w:p>
  </w:footnote>
  <w:footnote w:id="17">
    <w:p w14:paraId="6997E866" w14:textId="77777777" w:rsidR="00C22857" w:rsidRPr="00732BBB" w:rsidRDefault="00C22857" w:rsidP="00197B9C">
      <w:pPr>
        <w:pStyle w:val="E3FootnoteText"/>
        <w:rPr>
          <w:lang w:val="en-NZ"/>
        </w:rPr>
      </w:pPr>
      <w:r w:rsidRPr="00732BBB">
        <w:rPr>
          <w:rStyle w:val="FootnoteReference"/>
          <w:sz w:val="18"/>
          <w:szCs w:val="18"/>
        </w:rPr>
        <w:footnoteRef/>
      </w:r>
      <w:r w:rsidRPr="00732BBB">
        <w:t xml:space="preserve"> </w:t>
      </w:r>
      <w:r w:rsidRPr="00120A42">
        <w:rPr>
          <w:sz w:val="19"/>
          <w:lang w:val="en-NZ"/>
        </w:rPr>
        <w:t>The majority of refrigerated cabinets are imported, with more than 80% coming from Asia, notably China. Approximately 15% are imported from Europe, 2% from North America and 0.5% from South Africa.</w:t>
      </w:r>
    </w:p>
  </w:footnote>
  <w:footnote w:id="18">
    <w:p w14:paraId="03BB868C" w14:textId="77777777" w:rsidR="00C22857" w:rsidRPr="006D796B" w:rsidRDefault="00C22857" w:rsidP="00197B9C">
      <w:pPr>
        <w:pStyle w:val="FootnoteText"/>
        <w:rPr>
          <w:lang w:val="en-NZ"/>
        </w:rPr>
      </w:pPr>
      <w:r>
        <w:rPr>
          <w:rStyle w:val="FootnoteReference"/>
        </w:rPr>
        <w:footnoteRef/>
      </w:r>
      <w:r>
        <w:t xml:space="preserve"> For example,</w:t>
      </w:r>
      <w:r w:rsidRPr="00A24816">
        <w:t xml:space="preserve"> the definition of a family of models could refer to individual sections of cabinets (built as clip-on units stacked side by side) or the resulting cabinet once these units are put together.</w:t>
      </w:r>
    </w:p>
  </w:footnote>
  <w:footnote w:id="19">
    <w:p w14:paraId="4C255524" w14:textId="77777777" w:rsidR="00C22857" w:rsidRPr="00732BBB" w:rsidRDefault="00C22857" w:rsidP="00197B9C">
      <w:pPr>
        <w:pStyle w:val="FootnoteText"/>
        <w:rPr>
          <w:sz w:val="18"/>
          <w:szCs w:val="18"/>
        </w:rPr>
      </w:pPr>
      <w:r w:rsidRPr="00732BBB">
        <w:rPr>
          <w:rStyle w:val="FootnoteReference"/>
          <w:sz w:val="18"/>
          <w:szCs w:val="18"/>
        </w:rPr>
        <w:footnoteRef/>
      </w:r>
      <w:r w:rsidRPr="00732BBB">
        <w:rPr>
          <w:sz w:val="18"/>
          <w:szCs w:val="18"/>
        </w:rPr>
        <w:t xml:space="preserve"> </w:t>
      </w:r>
      <w:r w:rsidRPr="007A5346">
        <w:t>If they have no MEPS value, regulators can interpret this to mean that cabinets are exempt from testing and registration requirements.</w:t>
      </w:r>
      <w:r w:rsidRPr="00732BBB">
        <w:rPr>
          <w:sz w:val="18"/>
          <w:szCs w:val="18"/>
        </w:rPr>
        <w:t xml:space="preserve"> </w:t>
      </w:r>
    </w:p>
  </w:footnote>
  <w:footnote w:id="20">
    <w:p w14:paraId="4F402D54" w14:textId="77777777" w:rsidR="00C22857" w:rsidRPr="004D36D8" w:rsidRDefault="00C22857" w:rsidP="00197B9C">
      <w:pPr>
        <w:pStyle w:val="FootnoteText"/>
        <w:rPr>
          <w:lang w:val="en-NZ"/>
        </w:rPr>
      </w:pPr>
      <w:r>
        <w:rPr>
          <w:rStyle w:val="FootnoteReference"/>
        </w:rPr>
        <w:footnoteRef/>
      </w:r>
      <w:r>
        <w:t xml:space="preserve"> </w:t>
      </w:r>
      <w:r>
        <w:rPr>
          <w:lang w:val="en-NZ"/>
        </w:rPr>
        <w:t>These manufacturers represent only a small share of the overall market: see Section One for a more detailed discussion of the market.</w:t>
      </w:r>
    </w:p>
  </w:footnote>
  <w:footnote w:id="21">
    <w:p w14:paraId="6C17D4E4" w14:textId="77777777" w:rsidR="00C22857" w:rsidRPr="009352DD" w:rsidRDefault="00C22857" w:rsidP="00197B9C">
      <w:pPr>
        <w:pStyle w:val="FootnoteText"/>
        <w:spacing w:line="240" w:lineRule="auto"/>
        <w:jc w:val="both"/>
        <w:rPr>
          <w:sz w:val="18"/>
          <w:szCs w:val="18"/>
          <w:lang w:val="en-NZ"/>
        </w:rPr>
      </w:pPr>
      <w:r w:rsidRPr="0041262C">
        <w:rPr>
          <w:rStyle w:val="FootnoteReference"/>
          <w:szCs w:val="18"/>
        </w:rPr>
        <w:footnoteRef/>
      </w:r>
      <w:r w:rsidRPr="0041262C">
        <w:rPr>
          <w:szCs w:val="18"/>
        </w:rPr>
        <w:t xml:space="preserve">  </w:t>
      </w:r>
      <w:r w:rsidRPr="0041262C">
        <w:rPr>
          <w:szCs w:val="18"/>
          <w:lang w:val="en-NZ"/>
        </w:rPr>
        <w:t xml:space="preserve">A minor sub-category of storage cabinets are by definition potentially covered by the Standard: for example, some “solid door” storage cabinets have specified MEPS levels. </w:t>
      </w:r>
    </w:p>
  </w:footnote>
  <w:footnote w:id="22">
    <w:p w14:paraId="694F25D0" w14:textId="77777777" w:rsidR="00C22857" w:rsidRPr="0041262C" w:rsidRDefault="00C22857" w:rsidP="00197B9C">
      <w:pPr>
        <w:pStyle w:val="E3BodyText"/>
        <w:rPr>
          <w:sz w:val="16"/>
          <w:szCs w:val="16"/>
        </w:rPr>
      </w:pPr>
      <w:r w:rsidRPr="0041262C">
        <w:rPr>
          <w:rStyle w:val="FootnoteReference"/>
          <w:sz w:val="16"/>
          <w:szCs w:val="16"/>
        </w:rPr>
        <w:footnoteRef/>
      </w:r>
      <w:r w:rsidRPr="0041262C">
        <w:rPr>
          <w:sz w:val="16"/>
          <w:szCs w:val="16"/>
        </w:rPr>
        <w:t xml:space="preserve"> </w:t>
      </w:r>
      <w:r w:rsidRPr="001A279D">
        <w:rPr>
          <w:sz w:val="16"/>
          <w:szCs w:val="16"/>
        </w:rPr>
        <w:t>This market stock percentage is taken from Australian data and is estimated from the proportion of stock in Europe and stock count by outlet type.</w:t>
      </w:r>
      <w:r w:rsidRPr="0041262C">
        <w:rPr>
          <w:sz w:val="16"/>
          <w:szCs w:val="16"/>
        </w:rPr>
        <w:t xml:space="preserve"> </w:t>
      </w:r>
    </w:p>
  </w:footnote>
  <w:footnote w:id="23">
    <w:p w14:paraId="1C6A877D" w14:textId="77777777" w:rsidR="00C22857" w:rsidRPr="00D646FE" w:rsidRDefault="00C22857" w:rsidP="00197B9C">
      <w:pPr>
        <w:pStyle w:val="E3FootnoteText"/>
        <w:rPr>
          <w:szCs w:val="16"/>
          <w:lang w:val="en-NZ"/>
        </w:rPr>
      </w:pPr>
      <w:r w:rsidRPr="0041262C">
        <w:rPr>
          <w:rStyle w:val="FootnoteReference"/>
          <w:szCs w:val="16"/>
        </w:rPr>
        <w:footnoteRef/>
      </w:r>
      <w:r w:rsidRPr="001A279D">
        <w:rPr>
          <w:szCs w:val="16"/>
        </w:rPr>
        <w:t xml:space="preserve"> </w:t>
      </w:r>
      <w:r w:rsidRPr="00120A42">
        <w:rPr>
          <w:sz w:val="19"/>
        </w:rPr>
        <w:t>The submitter who disagreed was a small company who felt there was little to be gained (by way of energy savings and GHG reduction) from including storage cabinets within the scope of the regulatory measures.</w:t>
      </w:r>
    </w:p>
  </w:footnote>
  <w:footnote w:id="24">
    <w:p w14:paraId="3DDC819B" w14:textId="77777777" w:rsidR="00C22857" w:rsidRPr="000C3A37" w:rsidRDefault="00C22857" w:rsidP="00197B9C">
      <w:pPr>
        <w:pStyle w:val="E3FootnoteText"/>
        <w:rPr>
          <w:szCs w:val="16"/>
          <w:lang w:val="en-NZ"/>
        </w:rPr>
      </w:pPr>
      <w:r w:rsidRPr="0041262C">
        <w:rPr>
          <w:rStyle w:val="FootnoteReference"/>
          <w:szCs w:val="16"/>
        </w:rPr>
        <w:footnoteRef/>
      </w:r>
      <w:r w:rsidRPr="001A279D">
        <w:rPr>
          <w:szCs w:val="16"/>
        </w:rPr>
        <w:t xml:space="preserve"> </w:t>
      </w:r>
      <w:r w:rsidRPr="00120A42">
        <w:rPr>
          <w:i/>
          <w:sz w:val="19"/>
        </w:rPr>
        <w:t xml:space="preserve">European Commission DG ENTR, </w:t>
      </w:r>
      <w:r w:rsidRPr="00120A42">
        <w:rPr>
          <w:sz w:val="19"/>
        </w:rPr>
        <w:t xml:space="preserve">Preparatory Study for Eco-design (Refrigerating and freezing equipment, February 2011). The market stock proportion of 20% is consistent with market research undertaken in Australian and New Zealand as part of the Consultation RIS process: collecting data on </w:t>
      </w:r>
      <w:r w:rsidRPr="00120A42">
        <w:rPr>
          <w:rFonts w:eastAsia="Times New Roman" w:cstheme="minorHAnsi"/>
          <w:sz w:val="19"/>
          <w:lang w:eastAsia="en-NZ"/>
        </w:rPr>
        <w:t>types of catering and hospitality businesses/institutions, combined with estimates of the typical number of refrigeration cabinets by businesses/institution to derive a bottom up stock estimate, reviewing Department of Environment and Energy pre-charged import equipment data, a comprehensive review of existing suppliers and interviewing key market participants.</w:t>
      </w:r>
    </w:p>
  </w:footnote>
  <w:footnote w:id="25">
    <w:p w14:paraId="4F64DDD1" w14:textId="77777777" w:rsidR="00C22857" w:rsidRPr="00732BBB" w:rsidRDefault="00C22857" w:rsidP="00197B9C">
      <w:pPr>
        <w:pStyle w:val="FootnoteText"/>
        <w:jc w:val="both"/>
        <w:rPr>
          <w:sz w:val="18"/>
          <w:szCs w:val="18"/>
        </w:rPr>
      </w:pPr>
      <w:r w:rsidRPr="00732BBB">
        <w:rPr>
          <w:rStyle w:val="FootnoteReference"/>
          <w:sz w:val="18"/>
          <w:szCs w:val="18"/>
        </w:rPr>
        <w:footnoteRef/>
      </w:r>
      <w:r w:rsidRPr="00732BBB">
        <w:rPr>
          <w:sz w:val="18"/>
          <w:szCs w:val="18"/>
        </w:rPr>
        <w:t xml:space="preserve"> </w:t>
      </w:r>
      <w:r w:rsidRPr="00FB050B">
        <w:rPr>
          <w:szCs w:val="16"/>
        </w:rPr>
        <w:t>Based on the TEC of an “average” Supermarket display cabinet of 39 kWh/day with energy cost (commercial) of 16.9 c/kWh, increasing at 2.5% per annum. Cost of an “average” Supermarket display cabinet at $12,500. Over a 13 year lifetime the energy cost is $39,740. No depreciation or GST taken into account.</w:t>
      </w:r>
    </w:p>
  </w:footnote>
  <w:footnote w:id="26">
    <w:p w14:paraId="6B9E71D7" w14:textId="77777777" w:rsidR="00C22857" w:rsidRPr="0041262C" w:rsidRDefault="00C22857" w:rsidP="00197B9C">
      <w:pPr>
        <w:pStyle w:val="E3BodyText"/>
        <w:rPr>
          <w:sz w:val="16"/>
          <w:szCs w:val="16"/>
        </w:rPr>
      </w:pPr>
      <w:r w:rsidRPr="007A5346">
        <w:rPr>
          <w:rStyle w:val="FootnoteReference"/>
          <w:sz w:val="16"/>
          <w:szCs w:val="16"/>
        </w:rPr>
        <w:footnoteRef/>
      </w:r>
      <w:r w:rsidRPr="007A5346">
        <w:rPr>
          <w:sz w:val="16"/>
          <w:szCs w:val="16"/>
        </w:rPr>
        <w:t xml:space="preserve"> These</w:t>
      </w:r>
      <w:r w:rsidRPr="0041262C">
        <w:rPr>
          <w:sz w:val="16"/>
          <w:szCs w:val="16"/>
        </w:rPr>
        <w:t xml:space="preserve"> companies included: Coca-Cola Amatil, Frigoglass, Huxford-Orford, McAlpine Hussmann, Sanden International, Skope and Stoddart (Koldtech).</w:t>
      </w:r>
    </w:p>
  </w:footnote>
  <w:footnote w:id="27">
    <w:p w14:paraId="388239EB" w14:textId="77777777" w:rsidR="00C22857" w:rsidRPr="00C203E0" w:rsidRDefault="00C22857" w:rsidP="00197B9C">
      <w:pPr>
        <w:pStyle w:val="FootnoteText"/>
      </w:pPr>
      <w:r w:rsidRPr="001A279D">
        <w:rPr>
          <w:rStyle w:val="FootnoteReference"/>
          <w:szCs w:val="16"/>
        </w:rPr>
        <w:footnoteRef/>
      </w:r>
      <w:r w:rsidRPr="001A279D">
        <w:rPr>
          <w:szCs w:val="16"/>
        </w:rPr>
        <w:t xml:space="preserve"> </w:t>
      </w:r>
      <w:r w:rsidRPr="0093208D">
        <w:rPr>
          <w:szCs w:val="16"/>
        </w:rPr>
        <w:t>http://reg.energyrating.gov.au/comparator/product_types/</w:t>
      </w:r>
    </w:p>
  </w:footnote>
  <w:footnote w:id="28">
    <w:p w14:paraId="76F4CD1A" w14:textId="77777777" w:rsidR="00C22857" w:rsidRPr="00DA4189" w:rsidRDefault="00C22857" w:rsidP="00197B9C">
      <w:pPr>
        <w:pStyle w:val="E3FootnoteText"/>
        <w:rPr>
          <w:szCs w:val="16"/>
        </w:rPr>
      </w:pPr>
      <w:r w:rsidRPr="0041262C">
        <w:rPr>
          <w:rStyle w:val="FootnoteReference"/>
          <w:szCs w:val="16"/>
        </w:rPr>
        <w:footnoteRef/>
      </w:r>
      <w:r w:rsidRPr="001A279D">
        <w:rPr>
          <w:szCs w:val="16"/>
        </w:rPr>
        <w:t xml:space="preserve"> While New Zealand has a much higher level of renewable electricity generation than Australia, it does have so</w:t>
      </w:r>
      <w:r w:rsidRPr="0093208D">
        <w:rPr>
          <w:szCs w:val="16"/>
        </w:rPr>
        <w:t>me fossil fuel electricity generation.  New Zealand has an Emissions Trading Scheme (ETS) and a carbon price, however this is considered to be insufficient to drive significant emissions reduction and does not fully reflect the total costs of the greenhous</w:t>
      </w:r>
      <w:r w:rsidRPr="00D646FE">
        <w:rPr>
          <w:szCs w:val="16"/>
        </w:rPr>
        <w:t xml:space="preserve">e </w:t>
      </w:r>
      <w:r w:rsidRPr="00DA4189">
        <w:rPr>
          <w:szCs w:val="16"/>
        </w:rPr>
        <w:t>emissions arising from electricity use.</w:t>
      </w:r>
    </w:p>
    <w:p w14:paraId="286D4B65" w14:textId="77777777" w:rsidR="00C22857" w:rsidRPr="00AA0FBC" w:rsidRDefault="00C22857" w:rsidP="00197B9C">
      <w:pPr>
        <w:pStyle w:val="FootnoteText"/>
        <w:rPr>
          <w:lang w:val="en-NZ"/>
        </w:rPr>
      </w:pPr>
    </w:p>
  </w:footnote>
  <w:footnote w:id="29">
    <w:p w14:paraId="03F2195E" w14:textId="77777777" w:rsidR="00C22857" w:rsidRPr="0069706E" w:rsidRDefault="00C22857" w:rsidP="005875E7">
      <w:pPr>
        <w:pStyle w:val="FootnoteText"/>
        <w:jc w:val="both"/>
        <w:rPr>
          <w:lang w:val="en-NZ"/>
        </w:rPr>
      </w:pPr>
      <w:r>
        <w:rPr>
          <w:rStyle w:val="FootnoteReference"/>
        </w:rPr>
        <w:footnoteRef/>
      </w:r>
      <w:r>
        <w:t xml:space="preserve"> Preliminary analysis for this RIS showed that simply adopting these standards makes very little difference to energy savings or greenhouse gas reduction. Changing the MEPS levels makes the most difference to these. It does however subject a wider range of cabinet types, to regulation – and associated costs of registration and testing.</w:t>
      </w:r>
    </w:p>
  </w:footnote>
  <w:footnote w:id="30">
    <w:p w14:paraId="79C3DD0C" w14:textId="77777777" w:rsidR="00C22857" w:rsidRPr="00E55786" w:rsidRDefault="00C22857" w:rsidP="005875E7">
      <w:pPr>
        <w:pStyle w:val="FootnoteText"/>
        <w:jc w:val="both"/>
        <w:rPr>
          <w:lang w:val="en-NZ"/>
        </w:rPr>
      </w:pPr>
      <w:r>
        <w:rPr>
          <w:rStyle w:val="FootnoteReference"/>
        </w:rPr>
        <w:footnoteRef/>
      </w:r>
      <w:r>
        <w:t xml:space="preserve"> </w:t>
      </w:r>
      <w:r>
        <w:rPr>
          <w:lang w:val="en-NZ"/>
        </w:rPr>
        <w:t xml:space="preserve">Option 4 has been modified so that it no longer involves the adoption of EC MEPS for all cabinet types – it now involves developing AU/NZ MEPS (posed per group) which are based on the implemented EC MEPS levels (storage and gelato cabinets) or the draft EC MEPS levels (display cabinets and small ice-cream freezers). Adoption of EC MEPS will be considered once they have been implemented in Europe for all relevant cabinet types. </w:t>
      </w:r>
    </w:p>
  </w:footnote>
  <w:footnote w:id="31">
    <w:p w14:paraId="6A041483" w14:textId="77777777" w:rsidR="00C22857" w:rsidRPr="0022649C" w:rsidRDefault="00C22857" w:rsidP="005875E7">
      <w:pPr>
        <w:pStyle w:val="FootnoteText"/>
        <w:jc w:val="both"/>
        <w:rPr>
          <w:lang w:val="en-NZ"/>
        </w:rPr>
      </w:pPr>
      <w:r>
        <w:rPr>
          <w:rStyle w:val="FootnoteReference"/>
        </w:rPr>
        <w:footnoteRef/>
      </w:r>
      <w:r>
        <w:t xml:space="preserve"> </w:t>
      </w:r>
      <w:r>
        <w:rPr>
          <w:lang w:val="en-NZ"/>
        </w:rPr>
        <w:t>Option 5 includes incentive schemes and buyer education campaigns which were not modelled but are explained in the non-regulatory part of this section.</w:t>
      </w:r>
    </w:p>
  </w:footnote>
  <w:footnote w:id="32">
    <w:p w14:paraId="758DE056" w14:textId="77777777" w:rsidR="00C22857" w:rsidRPr="00081123" w:rsidRDefault="00C22857" w:rsidP="005875E7">
      <w:pPr>
        <w:pStyle w:val="FootnoteText"/>
        <w:jc w:val="both"/>
        <w:rPr>
          <w:lang w:val="en-NZ"/>
        </w:rPr>
      </w:pPr>
      <w:r>
        <w:rPr>
          <w:rStyle w:val="FootnoteReference"/>
        </w:rPr>
        <w:footnoteRef/>
      </w:r>
      <w:r>
        <w:t xml:space="preserve"> </w:t>
      </w:r>
      <w:r>
        <w:rPr>
          <w:lang w:val="en-NZ"/>
        </w:rPr>
        <w:t>Cabinets are defined into more than 50 different classes across four operating temperatures, with different MEPS levels and test procedures.</w:t>
      </w:r>
    </w:p>
  </w:footnote>
  <w:footnote w:id="33">
    <w:p w14:paraId="5EE42E77" w14:textId="77777777" w:rsidR="00C22857" w:rsidRPr="007D795B" w:rsidRDefault="00C22857" w:rsidP="001F3C44">
      <w:pPr>
        <w:pStyle w:val="E3Caption"/>
        <w:spacing w:after="0"/>
        <w:jc w:val="both"/>
        <w:rPr>
          <w:lang w:val="en-NZ"/>
        </w:rPr>
      </w:pPr>
      <w:r w:rsidRPr="00B91370">
        <w:rPr>
          <w:rStyle w:val="FootnoteReference"/>
        </w:rPr>
        <w:footnoteRef/>
      </w:r>
      <w:r w:rsidRPr="00B91370">
        <w:t xml:space="preserve"> </w:t>
      </w:r>
      <w:r w:rsidRPr="001F3C44">
        <w:rPr>
          <w:i w:val="0"/>
          <w:sz w:val="19"/>
          <w:szCs w:val="19"/>
        </w:rPr>
        <w:t>EECA data collected via the Energy Efficiency (Energy Using Products) Regulations 2002 sales profile was largely used to establish the local profile by cabinet type and sub-type. There was a slight adjustment for additional sales of IVC4 that was shared across the remote devices. This adjustment made the groupings more consistent with the stock count by outlet estimates</w:t>
      </w:r>
      <w:r w:rsidRPr="001F3C44">
        <w:rPr>
          <w:sz w:val="19"/>
          <w:szCs w:val="19"/>
        </w:rPr>
        <w:t xml:space="preserve">. </w:t>
      </w:r>
    </w:p>
  </w:footnote>
  <w:footnote w:id="34">
    <w:p w14:paraId="72D7625F" w14:textId="77777777" w:rsidR="00C22857" w:rsidRPr="007D795B" w:rsidRDefault="00C22857" w:rsidP="005875E7">
      <w:pPr>
        <w:pStyle w:val="FootnoteText"/>
        <w:rPr>
          <w:lang w:val="en-NZ"/>
        </w:rPr>
      </w:pPr>
      <w:r>
        <w:rPr>
          <w:rStyle w:val="FootnoteReference"/>
        </w:rPr>
        <w:footnoteRef/>
      </w:r>
      <w:r>
        <w:t xml:space="preserve"> </w:t>
      </w:r>
      <w:r w:rsidRPr="00532AE7">
        <w:t>An allowance was added for storage cabinets similar to the proportion found in the EU and stock count by outlet reviews. The cabinets account for 20% of total sales in Australia, and 22% in New Zealand</w:t>
      </w:r>
      <w:r>
        <w:t>.</w:t>
      </w:r>
    </w:p>
  </w:footnote>
  <w:footnote w:id="35">
    <w:p w14:paraId="4BE5B9DE" w14:textId="77777777" w:rsidR="00C22857" w:rsidRPr="00E55629" w:rsidRDefault="00C22857" w:rsidP="005875E7">
      <w:pPr>
        <w:pStyle w:val="FootnoteText"/>
        <w:jc w:val="both"/>
        <w:rPr>
          <w:lang w:val="en-NZ"/>
        </w:rPr>
      </w:pPr>
      <w:r>
        <w:rPr>
          <w:rStyle w:val="FootnoteReference"/>
        </w:rPr>
        <w:footnoteRef/>
      </w:r>
      <w:r>
        <w:t xml:space="preserve"> </w:t>
      </w:r>
      <w:r>
        <w:rPr>
          <w:lang w:val="en-NZ"/>
        </w:rPr>
        <w:t>For example, a model that had energy consumption which measured as being exactly equal to the Standard Annual Energy Efficiency has an EEI of 100%. A model that was better by half again would have an EEI score of 50%. The term “MEPS” is not used in the European Standards which instead uses the term “efficiency grade” to refer to two concepts: the efficiency grade from A to G and the requirement to meet a better efficiency grade. The EEI Score is based on the SAEC and extra reduction factors or coefficients for specific cabinet uses – both factors were devised by a working group of experts.</w:t>
      </w:r>
    </w:p>
  </w:footnote>
  <w:footnote w:id="36">
    <w:p w14:paraId="47184E18" w14:textId="77777777" w:rsidR="00C22857" w:rsidRDefault="00C22857" w:rsidP="005875E7">
      <w:pPr>
        <w:pStyle w:val="FootnoteText"/>
      </w:pPr>
      <w:r>
        <w:rPr>
          <w:rStyle w:val="FootnoteReference"/>
        </w:rPr>
        <w:footnoteRef/>
      </w:r>
      <w:r w:rsidRPr="006D1C46">
        <w:t xml:space="preserve"> For more information on voluntary online labelling, go to </w:t>
      </w:r>
      <w:hyperlink r:id="rId1" w:history="1">
        <w:r>
          <w:rPr>
            <w:rStyle w:val="Hyperlink"/>
          </w:rPr>
          <w:t>labelling resources on the Energy rating website</w:t>
        </w:r>
      </w:hyperlink>
      <w:r>
        <w:t>.</w:t>
      </w:r>
    </w:p>
  </w:footnote>
  <w:footnote w:id="37">
    <w:p w14:paraId="0A78BD66" w14:textId="77777777" w:rsidR="00C22857" w:rsidRPr="003672CE" w:rsidRDefault="00C22857" w:rsidP="005875E7">
      <w:pPr>
        <w:pStyle w:val="E3FootnoteText"/>
        <w:rPr>
          <w:lang w:val="en-NZ"/>
        </w:rPr>
      </w:pPr>
      <w:r>
        <w:rPr>
          <w:rStyle w:val="FootnoteReference"/>
        </w:rPr>
        <w:footnoteRef/>
      </w:r>
      <w:r>
        <w:t xml:space="preserve"> </w:t>
      </w:r>
      <w:hyperlink r:id="rId2" w:history="1">
        <w:r>
          <w:rPr>
            <w:rStyle w:val="Hyperlink"/>
          </w:rPr>
          <w:t>UK Government Energy Technology List</w:t>
        </w:r>
      </w:hyperlink>
    </w:p>
  </w:footnote>
  <w:footnote w:id="38">
    <w:p w14:paraId="55069AE4" w14:textId="77777777" w:rsidR="00C22857" w:rsidRDefault="00C22857" w:rsidP="006C0C1F">
      <w:pPr>
        <w:pStyle w:val="FootnoteText"/>
        <w:rPr>
          <w:lang w:val="en-NZ"/>
        </w:rPr>
      </w:pPr>
      <w:r>
        <w:rPr>
          <w:rStyle w:val="FootnoteReference"/>
        </w:rPr>
        <w:footnoteRef/>
      </w:r>
      <w:r>
        <w:t xml:space="preserve"> The costs and benefits analysis was conducted by the consultancy firms Expert Group and Expert Consult.</w:t>
      </w:r>
    </w:p>
  </w:footnote>
  <w:footnote w:id="39">
    <w:p w14:paraId="7970F670" w14:textId="77777777" w:rsidR="00C22857" w:rsidRDefault="00C22857" w:rsidP="006C0C1F">
      <w:pPr>
        <w:pStyle w:val="FootnoteText"/>
        <w:rPr>
          <w:lang w:val="en-NZ"/>
        </w:rPr>
      </w:pPr>
      <w:r>
        <w:rPr>
          <w:rStyle w:val="FootnoteReference"/>
        </w:rPr>
        <w:footnoteRef/>
      </w:r>
      <w:r>
        <w:t xml:space="preserve"> Australia 1,156 GWh per year by 2035, NZ 205 GWh per year by 2035. See CBA for further details.</w:t>
      </w:r>
    </w:p>
  </w:footnote>
  <w:footnote w:id="40">
    <w:p w14:paraId="7DAB302D" w14:textId="77777777" w:rsidR="00C22857" w:rsidRDefault="00C22857" w:rsidP="006C0C1F">
      <w:pPr>
        <w:pStyle w:val="FootnoteText"/>
        <w:rPr>
          <w:lang w:val="en-NZ"/>
        </w:rPr>
      </w:pPr>
      <w:r>
        <w:rPr>
          <w:rStyle w:val="FootnoteReference"/>
        </w:rPr>
        <w:footnoteRef/>
      </w:r>
      <w:r>
        <w:t xml:space="preserve"> </w:t>
      </w:r>
      <w:r>
        <w:rPr>
          <w:lang w:val="en-NZ"/>
        </w:rPr>
        <w:t>As mentioned earlier, most imported cabinets are manufactured to international Standards.</w:t>
      </w:r>
    </w:p>
  </w:footnote>
  <w:footnote w:id="41">
    <w:p w14:paraId="2B643A8A" w14:textId="77777777" w:rsidR="00C22857" w:rsidRPr="008F7BFC" w:rsidRDefault="00C22857" w:rsidP="006C0C1F">
      <w:pPr>
        <w:pStyle w:val="FootnoteText"/>
        <w:rPr>
          <w:lang w:val="en-NZ"/>
        </w:rPr>
      </w:pPr>
      <w:r>
        <w:rPr>
          <w:rStyle w:val="FootnoteReference"/>
        </w:rPr>
        <w:footnoteRef/>
      </w:r>
      <w:r>
        <w:t xml:space="preserve"> </w:t>
      </w:r>
      <w:r>
        <w:rPr>
          <w:lang w:val="en-NZ"/>
        </w:rPr>
        <w:t>Based on wholesale electricity price and manufacturing cost.</w:t>
      </w:r>
    </w:p>
  </w:footnote>
  <w:footnote w:id="42">
    <w:p w14:paraId="3F269447" w14:textId="77777777" w:rsidR="00C22857" w:rsidRPr="008F7BFC" w:rsidRDefault="00C22857" w:rsidP="006C0C1F">
      <w:pPr>
        <w:pStyle w:val="FootnoteText"/>
        <w:rPr>
          <w:lang w:val="en-NZ"/>
        </w:rPr>
      </w:pPr>
      <w:r>
        <w:rPr>
          <w:rStyle w:val="FootnoteReference"/>
        </w:rPr>
        <w:footnoteRef/>
      </w:r>
      <w:r>
        <w:t xml:space="preserve"> </w:t>
      </w:r>
      <w:r>
        <w:rPr>
          <w:lang w:val="en-NZ"/>
        </w:rPr>
        <w:t>Based on wholesale electricity price and manufacturing cost</w:t>
      </w:r>
    </w:p>
  </w:footnote>
  <w:footnote w:id="43">
    <w:p w14:paraId="461340F5" w14:textId="77777777" w:rsidR="00C22857" w:rsidRPr="008F7BFC" w:rsidRDefault="00C22857" w:rsidP="006C0C1F">
      <w:pPr>
        <w:pStyle w:val="FootnoteText"/>
        <w:rPr>
          <w:lang w:val="en-NZ"/>
        </w:rPr>
      </w:pPr>
      <w:r>
        <w:rPr>
          <w:rStyle w:val="FootnoteReference"/>
        </w:rPr>
        <w:footnoteRef/>
      </w:r>
      <w:r>
        <w:t xml:space="preserve"> </w:t>
      </w:r>
      <w:r>
        <w:rPr>
          <w:lang w:val="en-NZ"/>
        </w:rPr>
        <w:t>Based on wholesale electricity price and manufacturing cost</w:t>
      </w:r>
    </w:p>
  </w:footnote>
  <w:footnote w:id="44">
    <w:p w14:paraId="6BAFD6AF" w14:textId="77777777" w:rsidR="00C22857" w:rsidRDefault="00C22857" w:rsidP="006C0C1F">
      <w:pPr>
        <w:pStyle w:val="FootnoteText"/>
        <w:rPr>
          <w:lang w:val="en-NZ"/>
        </w:rPr>
      </w:pPr>
      <w:r>
        <w:rPr>
          <w:rStyle w:val="FootnoteReference"/>
        </w:rPr>
        <w:footnoteRef/>
      </w:r>
      <w:r>
        <w:t xml:space="preserve"> </w:t>
      </w:r>
      <w:r>
        <w:rPr>
          <w:lang w:val="en-NZ"/>
        </w:rPr>
        <w:t>It is assumed that all current models would be affected because suppliers would need to add labels to marketing material and all their continuing-to-be-supplied models.</w:t>
      </w:r>
    </w:p>
  </w:footnote>
  <w:footnote w:id="45">
    <w:p w14:paraId="53CBF60D" w14:textId="77777777" w:rsidR="00C22857" w:rsidRDefault="00C22857" w:rsidP="006C0C1F">
      <w:pPr>
        <w:pStyle w:val="E3FootnoteText"/>
        <w:rPr>
          <w:lang w:val="en-NZ"/>
        </w:rPr>
      </w:pPr>
      <w:r w:rsidRPr="00C44352">
        <w:rPr>
          <w:rStyle w:val="FootnoteReference"/>
          <w:szCs w:val="16"/>
        </w:rPr>
        <w:footnoteRef/>
      </w:r>
      <w:r w:rsidRPr="00C44352">
        <w:rPr>
          <w:szCs w:val="16"/>
        </w:rPr>
        <w:t xml:space="preserve"> For more information on voluntary online labelling, go to </w:t>
      </w:r>
      <w:hyperlink r:id="rId3" w:history="1">
        <w:r w:rsidRPr="00C44352">
          <w:rPr>
            <w:rStyle w:val="Hyperlink"/>
            <w:szCs w:val="16"/>
          </w:rPr>
          <w:t>labelling resources on the energy rating website</w:t>
        </w:r>
      </w:hyperlink>
      <w:r>
        <w:rPr>
          <w:rStyle w:val="Hyperlink"/>
          <w:sz w:val="18"/>
          <w:szCs w:val="18"/>
        </w:rPr>
        <w:t>.</w:t>
      </w:r>
    </w:p>
  </w:footnote>
  <w:footnote w:id="46">
    <w:p w14:paraId="52AB41F0" w14:textId="77777777" w:rsidR="00C22857" w:rsidRDefault="00C22857" w:rsidP="006C0C1F">
      <w:pPr>
        <w:pStyle w:val="FootnoteText"/>
        <w:rPr>
          <w:lang w:val="en-NZ"/>
        </w:rPr>
      </w:pPr>
      <w:r>
        <w:rPr>
          <w:rStyle w:val="FootnoteReference"/>
        </w:rPr>
        <w:footnoteRef/>
      </w:r>
      <w:r>
        <w:t xml:space="preserve"> The analysis was prepared by Energy Consult.</w:t>
      </w:r>
    </w:p>
  </w:footnote>
  <w:footnote w:id="47">
    <w:p w14:paraId="0F0D7FA3" w14:textId="77777777" w:rsidR="00C22857" w:rsidRDefault="00C22857" w:rsidP="006C0C1F">
      <w:pPr>
        <w:pStyle w:val="CommentText"/>
        <w:rPr>
          <w:rFonts w:ascii="Georgia" w:hAnsi="Georgia"/>
          <w:sz w:val="16"/>
          <w:szCs w:val="16"/>
        </w:rPr>
      </w:pPr>
      <w:r>
        <w:rPr>
          <w:rStyle w:val="FootnoteReference"/>
          <w:rFonts w:ascii="Georgia" w:hAnsi="Georgia"/>
          <w:sz w:val="16"/>
          <w:szCs w:val="16"/>
        </w:rPr>
        <w:footnoteRef/>
      </w:r>
      <w:r>
        <w:rPr>
          <w:rFonts w:ascii="Georgia" w:hAnsi="Georgia"/>
          <w:sz w:val="16"/>
          <w:szCs w:val="16"/>
        </w:rPr>
        <w:t xml:space="preserve"> 95% of the costs are the costs of increased products due to efficiency improvements, 4% is the admin and testing costs to businesses for compliance, and 1% is the cost of the government to administer and check test.  </w:t>
      </w:r>
    </w:p>
    <w:p w14:paraId="13E655D4" w14:textId="77777777" w:rsidR="00C22857" w:rsidRDefault="00C22857" w:rsidP="006C0C1F">
      <w:pPr>
        <w:pStyle w:val="FootnoteText"/>
        <w:rPr>
          <w:lang w:val="en-NZ"/>
        </w:rPr>
      </w:pPr>
    </w:p>
  </w:footnote>
  <w:footnote w:id="48">
    <w:p w14:paraId="06774FAE" w14:textId="1F0B6300" w:rsidR="00C22857" w:rsidRPr="00B872EC" w:rsidRDefault="00C22857" w:rsidP="000F7C92">
      <w:pPr>
        <w:jc w:val="both"/>
        <w:rPr>
          <w:sz w:val="16"/>
          <w:szCs w:val="16"/>
          <w:lang w:val="en-US"/>
        </w:rPr>
      </w:pPr>
      <w:r w:rsidRPr="0041262C">
        <w:rPr>
          <w:rStyle w:val="FootnoteReference"/>
          <w:sz w:val="16"/>
          <w:szCs w:val="16"/>
        </w:rPr>
        <w:footnoteRef/>
      </w:r>
      <w:r w:rsidRPr="0041262C">
        <w:rPr>
          <w:sz w:val="16"/>
          <w:szCs w:val="16"/>
        </w:rPr>
        <w:t xml:space="preserve"> </w:t>
      </w:r>
      <w:r w:rsidRPr="00B872EC">
        <w:rPr>
          <w:sz w:val="16"/>
          <w:szCs w:val="16"/>
          <w:lang w:val="en-US"/>
        </w:rPr>
        <w:t>Other sources of information include: Eco</w:t>
      </w:r>
      <w:r>
        <w:rPr>
          <w:sz w:val="16"/>
          <w:szCs w:val="16"/>
          <w:lang w:val="en-US"/>
        </w:rPr>
        <w:t xml:space="preserve"> </w:t>
      </w:r>
      <w:r w:rsidRPr="00B872EC">
        <w:rPr>
          <w:sz w:val="16"/>
          <w:szCs w:val="16"/>
          <w:lang w:val="en-US"/>
        </w:rPr>
        <w:t>Design (European MEPS policy development and processes), ABS data on business counts (and the New Zealand equivalent), published counts on numbers of retail outlets (</w:t>
      </w:r>
      <w:r>
        <w:rPr>
          <w:sz w:val="16"/>
          <w:szCs w:val="16"/>
          <w:lang w:val="en-US"/>
        </w:rPr>
        <w:t>for example, Westfarmers, IGA, Woolworths</w:t>
      </w:r>
      <w:r w:rsidRPr="00B872EC">
        <w:rPr>
          <w:sz w:val="16"/>
          <w:szCs w:val="16"/>
          <w:lang w:val="en-US"/>
        </w:rPr>
        <w:t xml:space="preserve">), BIS Shrapnel Food and Catering report and governmental data sources including Department of </w:t>
      </w:r>
      <w:r>
        <w:rPr>
          <w:sz w:val="16"/>
          <w:szCs w:val="16"/>
          <w:lang w:val="en-US"/>
        </w:rPr>
        <w:t xml:space="preserve">the </w:t>
      </w:r>
      <w:r w:rsidRPr="00B872EC">
        <w:rPr>
          <w:sz w:val="16"/>
          <w:szCs w:val="16"/>
          <w:lang w:val="en-US"/>
        </w:rPr>
        <w:t xml:space="preserve">Environment </w:t>
      </w:r>
      <w:r>
        <w:rPr>
          <w:sz w:val="16"/>
          <w:szCs w:val="16"/>
          <w:lang w:val="en-US"/>
        </w:rPr>
        <w:t xml:space="preserve">and Energy </w:t>
      </w:r>
      <w:r w:rsidRPr="00B872EC">
        <w:rPr>
          <w:sz w:val="16"/>
          <w:szCs w:val="16"/>
          <w:lang w:val="en-US"/>
        </w:rPr>
        <w:t>in Australia for pre-charged equipment and Energy Efficiency and Conservation Authority for amalg</w:t>
      </w:r>
      <w:r>
        <w:rPr>
          <w:sz w:val="16"/>
          <w:szCs w:val="16"/>
          <w:lang w:val="en-US"/>
        </w:rPr>
        <w:t>amated unattributed sales data.</w:t>
      </w:r>
    </w:p>
  </w:footnote>
  <w:footnote w:id="49">
    <w:p w14:paraId="2A387963" w14:textId="77777777" w:rsidR="00C22857" w:rsidRPr="00B625FC" w:rsidRDefault="00C22857" w:rsidP="000F7C92">
      <w:pPr>
        <w:pStyle w:val="E3FootnoteText"/>
      </w:pPr>
      <w:r w:rsidRPr="0041262C">
        <w:rPr>
          <w:rStyle w:val="FootnoteReference"/>
          <w:szCs w:val="16"/>
        </w:rPr>
        <w:footnoteRef/>
      </w:r>
      <w:r w:rsidRPr="0041262C">
        <w:rPr>
          <w:szCs w:val="16"/>
        </w:rPr>
        <w:t xml:space="preserve"> </w:t>
      </w:r>
      <w:r w:rsidRPr="001F3C44">
        <w:rPr>
          <w:sz w:val="19"/>
        </w:rPr>
        <w:t>Consultation on this topic was undertaken with industry in 2009 as part of the review of “</w:t>
      </w:r>
      <w:r w:rsidRPr="001F3C44">
        <w:rPr>
          <w:i/>
          <w:sz w:val="19"/>
        </w:rPr>
        <w:t xml:space="preserve">In from the Cold” </w:t>
      </w:r>
      <w:r w:rsidRPr="001F3C44">
        <w:rPr>
          <w:sz w:val="19"/>
        </w:rPr>
        <w:t xml:space="preserve">(E3 2009) and more recently with the release of the </w:t>
      </w:r>
      <w:r w:rsidRPr="001F3C44">
        <w:rPr>
          <w:i/>
          <w:sz w:val="19"/>
        </w:rPr>
        <w:t>Product Profile</w:t>
      </w:r>
      <w:r w:rsidRPr="001F3C44">
        <w:rPr>
          <w:sz w:val="19"/>
        </w:rPr>
        <w:t xml:space="preserve"> (E3 2013). It has been consistently agreed by industry stakeholders that this methodology could be applied to custom made cabinets sold in Australia and New Zealand.</w:t>
      </w:r>
      <w:r w:rsidRPr="00B6174F">
        <w:t xml:space="preserve"> </w:t>
      </w:r>
    </w:p>
  </w:footnote>
  <w:footnote w:id="50">
    <w:p w14:paraId="5395A720" w14:textId="77777777" w:rsidR="00C22857" w:rsidRPr="00AC7259" w:rsidRDefault="00C22857" w:rsidP="000F7C92">
      <w:pPr>
        <w:pStyle w:val="FootnoteText"/>
        <w:rPr>
          <w:lang w:val="en-NZ"/>
        </w:rPr>
      </w:pPr>
      <w:r>
        <w:rPr>
          <w:rStyle w:val="FootnoteReference"/>
        </w:rPr>
        <w:footnoteRef/>
      </w:r>
      <w:r>
        <w:t xml:space="preserve"> </w:t>
      </w:r>
      <w:r>
        <w:rPr>
          <w:lang w:val="en-NZ"/>
        </w:rPr>
        <w:t>By comparison there were 14 submissions following the product profile consultation. Seven of the submitters at the C0nsultation RIS stage had also provided submissions in 2013.</w:t>
      </w:r>
    </w:p>
  </w:footnote>
  <w:footnote w:id="51">
    <w:p w14:paraId="0A6181B6" w14:textId="6F756ED4" w:rsidR="00C22857" w:rsidRPr="00605BFF" w:rsidRDefault="00C22857">
      <w:pPr>
        <w:pStyle w:val="FootnoteText"/>
        <w:rPr>
          <w:lang w:val="en-NZ"/>
        </w:rPr>
      </w:pPr>
      <w:r>
        <w:rPr>
          <w:rStyle w:val="FootnoteReference"/>
        </w:rPr>
        <w:footnoteRef/>
      </w:r>
      <w:r>
        <w:t xml:space="preserve">  </w:t>
      </w:r>
      <w:r>
        <w:rPr>
          <w:lang w:val="en-NZ"/>
        </w:rPr>
        <w:t>From 2017 as then modelled. The implementation date is now 1 December 2019.</w:t>
      </w:r>
    </w:p>
  </w:footnote>
  <w:footnote w:id="52">
    <w:p w14:paraId="7A5E9072" w14:textId="42D65D81" w:rsidR="00C22857" w:rsidRPr="001F3C44" w:rsidRDefault="00C22857">
      <w:pPr>
        <w:pStyle w:val="FootnoteText"/>
        <w:rPr>
          <w:lang w:val="en-AU"/>
        </w:rPr>
      </w:pPr>
      <w:r>
        <w:rPr>
          <w:rStyle w:val="FootnoteReference"/>
        </w:rPr>
        <w:footnoteRef/>
      </w:r>
      <w:r>
        <w:t xml:space="preserve"> </w:t>
      </w:r>
      <w:r w:rsidRPr="001F3C44">
        <w:t>The implementation date referred to at the consultation meetings was 2019 at the earliest, taking into account the regulatory process</w:t>
      </w:r>
      <w:r>
        <w:t>.</w:t>
      </w:r>
    </w:p>
  </w:footnote>
  <w:footnote w:id="53">
    <w:p w14:paraId="44E219E9" w14:textId="77777777" w:rsidR="00C22857" w:rsidRPr="003C1DFC" w:rsidRDefault="00C22857" w:rsidP="000F7C92">
      <w:pPr>
        <w:pStyle w:val="E3FootnoteText"/>
        <w:rPr>
          <w:lang w:val="en-NZ"/>
        </w:rPr>
      </w:pPr>
      <w:r>
        <w:rPr>
          <w:rStyle w:val="FootnoteReference"/>
        </w:rPr>
        <w:footnoteRef/>
      </w:r>
      <w:r>
        <w:t xml:space="preserve"> </w:t>
      </w:r>
      <w:r w:rsidRPr="00063AFB">
        <w:t>A specific concern was expressed as to whether the European Commission intended to include wine cabinets in the domestic fridge standard</w:t>
      </w:r>
      <w:r>
        <w:t>. W</w:t>
      </w:r>
      <w:r>
        <w:rPr>
          <w:lang w:val="en-NZ"/>
        </w:rPr>
        <w:t>ine Cabinets are not covered by these regulatory proposals but they will be considered at a later time.</w:t>
      </w:r>
    </w:p>
  </w:footnote>
  <w:footnote w:id="54">
    <w:p w14:paraId="3108D151" w14:textId="77777777" w:rsidR="00C22857" w:rsidRPr="00D866F8" w:rsidRDefault="00C22857" w:rsidP="00305101">
      <w:pPr>
        <w:pStyle w:val="FootnoteText"/>
        <w:rPr>
          <w:szCs w:val="18"/>
        </w:rPr>
      </w:pPr>
      <w:r>
        <w:rPr>
          <w:rStyle w:val="FootnoteReference"/>
        </w:rPr>
        <w:footnoteRef/>
      </w:r>
      <w:r>
        <w:t xml:space="preserve"> </w:t>
      </w:r>
      <w:r w:rsidRPr="00772A2A">
        <w:rPr>
          <w:szCs w:val="18"/>
        </w:rPr>
        <w:t xml:space="preserve">ABS 8165.0 2013 provides business counts for </w:t>
      </w:r>
      <w:r>
        <w:rPr>
          <w:szCs w:val="18"/>
        </w:rPr>
        <w:t xml:space="preserve">business with and without employees. </w:t>
      </w:r>
      <w:r w:rsidRPr="00772A2A">
        <w:rPr>
          <w:szCs w:val="18"/>
        </w:rPr>
        <w:t>The</w:t>
      </w:r>
      <w:r>
        <w:rPr>
          <w:szCs w:val="18"/>
        </w:rPr>
        <w:t xml:space="preserve"> counts for businesses without employees </w:t>
      </w:r>
      <w:r w:rsidRPr="00772A2A">
        <w:rPr>
          <w:szCs w:val="18"/>
        </w:rPr>
        <w:t>have been excluded as they are generally considered to be double counts and/or business t</w:t>
      </w:r>
      <w:r>
        <w:rPr>
          <w:szCs w:val="18"/>
        </w:rPr>
        <w:t>hat may no longer be operating</w:t>
      </w:r>
      <w:r w:rsidRPr="00D866F8">
        <w:rPr>
          <w:szCs w:val="18"/>
        </w:rPr>
        <w:t>.</w:t>
      </w:r>
    </w:p>
  </w:footnote>
  <w:footnote w:id="55">
    <w:p w14:paraId="3A52E9D1" w14:textId="77777777" w:rsidR="00C22857" w:rsidRPr="00526039" w:rsidRDefault="00C22857" w:rsidP="002060E2">
      <w:pPr>
        <w:pStyle w:val="E3FootnoteText"/>
        <w:rPr>
          <w:lang w:val="en-NZ"/>
        </w:rPr>
      </w:pPr>
      <w:r>
        <w:rPr>
          <w:rStyle w:val="FootnoteReference"/>
        </w:rPr>
        <w:footnoteRef/>
      </w:r>
      <w:r>
        <w:t xml:space="preserve"> A large supermarket is  </w:t>
      </w:r>
      <w:r>
        <w:rPr>
          <w:rFonts w:eastAsia="Times New Roman"/>
        </w:rPr>
        <w:t>≥ 2,750 m2</w:t>
      </w:r>
    </w:p>
  </w:footnote>
  <w:footnote w:id="56">
    <w:p w14:paraId="5EF834EB" w14:textId="5F9F9D82" w:rsidR="00C22857" w:rsidRPr="0034411F" w:rsidRDefault="00C22857" w:rsidP="001F3C44">
      <w:pPr>
        <w:pStyle w:val="E3FootnoteText"/>
        <w:rPr>
          <w:lang w:val="en-NZ"/>
        </w:rPr>
      </w:pPr>
      <w:r>
        <w:rPr>
          <w:rStyle w:val="FootnoteReference"/>
        </w:rPr>
        <w:footnoteRef/>
      </w:r>
      <w:r>
        <w:t xml:space="preserve"> </w:t>
      </w:r>
      <w:r w:rsidRPr="001F3C44">
        <w:rPr>
          <w:sz w:val="19"/>
        </w:rPr>
        <w:t>Evidence of labelling impacts in the business sector is not available.</w:t>
      </w:r>
    </w:p>
  </w:footnote>
  <w:footnote w:id="57">
    <w:p w14:paraId="73130DB5" w14:textId="77777777" w:rsidR="00C22857" w:rsidRPr="00CA455C" w:rsidRDefault="00C22857" w:rsidP="00F879AF">
      <w:pPr>
        <w:pStyle w:val="FootnoteText"/>
        <w:rPr>
          <w:szCs w:val="16"/>
          <w:lang w:val="en-NZ"/>
        </w:rPr>
      </w:pPr>
      <w:r w:rsidRPr="00CA455C">
        <w:rPr>
          <w:rStyle w:val="FootnoteReference"/>
          <w:szCs w:val="16"/>
        </w:rPr>
        <w:t>1</w:t>
      </w:r>
      <w:r w:rsidRPr="00CA455C">
        <w:rPr>
          <w:szCs w:val="16"/>
        </w:rPr>
        <w:t xml:space="preserve"> Local manufacturing, importation and distribution supply lines are constantly evolving and are subject to change. In addition, some companies trade under multiple company entities, and relationships between importers/suppliers and brand names constantly change.</w:t>
      </w:r>
    </w:p>
  </w:footnote>
  <w:footnote w:id="58">
    <w:p w14:paraId="3D01E000" w14:textId="77777777" w:rsidR="00C22857" w:rsidRPr="00622E43" w:rsidRDefault="00C22857" w:rsidP="006F5C60">
      <w:pPr>
        <w:pStyle w:val="E3FootnoteText"/>
        <w:rPr>
          <w:lang w:val="en-NZ"/>
        </w:rPr>
      </w:pPr>
      <w:r>
        <w:rPr>
          <w:rStyle w:val="FootnoteReference"/>
        </w:rPr>
        <w:footnoteRef/>
      </w:r>
      <w:r>
        <w:t xml:space="preserve"> </w:t>
      </w:r>
      <w:r w:rsidRPr="001F3C44">
        <w:rPr>
          <w:sz w:val="19"/>
          <w:lang w:val="en-NZ" w:eastAsia="en-NZ"/>
        </w:rPr>
        <w:t>From April 2016 – this is in draft and is not publically available.</w:t>
      </w:r>
    </w:p>
  </w:footnote>
  <w:footnote w:id="59">
    <w:p w14:paraId="0BFB3499" w14:textId="77777777" w:rsidR="00C22857" w:rsidRPr="00256021" w:rsidRDefault="00C22857" w:rsidP="006F5C60">
      <w:pPr>
        <w:pStyle w:val="E3FootnoteText"/>
        <w:rPr>
          <w:lang w:val="en-NZ"/>
        </w:rPr>
      </w:pPr>
      <w:r>
        <w:rPr>
          <w:rStyle w:val="FootnoteReference"/>
        </w:rPr>
        <w:footnoteRef/>
      </w:r>
      <w:r>
        <w:t xml:space="preserve"> </w:t>
      </w:r>
      <w:r w:rsidRPr="001F3C44">
        <w:rPr>
          <w:sz w:val="19"/>
        </w:rPr>
        <w:t>The use of refrigerated display cabinet families will reduce the overall number of models registered by an estimated 20%.</w:t>
      </w:r>
    </w:p>
  </w:footnote>
  <w:footnote w:id="60">
    <w:p w14:paraId="3F1D87D5" w14:textId="77777777" w:rsidR="00C22857" w:rsidRPr="00E85B81" w:rsidRDefault="00C22857" w:rsidP="006F5C60">
      <w:pPr>
        <w:pStyle w:val="E3FootnoteText"/>
        <w:rPr>
          <w:lang w:val="en-NZ"/>
        </w:rPr>
      </w:pPr>
      <w:r>
        <w:rPr>
          <w:rStyle w:val="FootnoteReference"/>
        </w:rPr>
        <w:footnoteRef/>
      </w:r>
      <w:r>
        <w:t xml:space="preserve"> </w:t>
      </w:r>
      <w:r w:rsidRPr="001F3C44">
        <w:rPr>
          <w:sz w:val="19"/>
          <w:lang w:val="en-NZ"/>
        </w:rPr>
        <w:t>Note that E3 investigated the energy efficiency of vending machines in 2009 in Australia and New Zealand. At that time, most of the stock was at the USA ENERGY STAR® level (highly efficient) so, despite publishing an energy efficiency standard for these machines, the Standard (i.e. regulation for efficiency) was not implemented.</w:t>
      </w:r>
      <w:r>
        <w:rPr>
          <w:lang w:val="en-NZ"/>
        </w:rPr>
        <w:t xml:space="preserve"> </w:t>
      </w:r>
    </w:p>
  </w:footnote>
  <w:footnote w:id="61">
    <w:p w14:paraId="2C45424C" w14:textId="3059E74C" w:rsidR="00C22857" w:rsidRPr="003443D0" w:rsidRDefault="00C22857">
      <w:pPr>
        <w:pStyle w:val="FootnoteText"/>
        <w:rPr>
          <w:lang w:val="en-AU"/>
        </w:rPr>
      </w:pPr>
      <w:r>
        <w:rPr>
          <w:rStyle w:val="FootnoteReference"/>
        </w:rPr>
        <w:footnoteRef/>
      </w:r>
      <w:r>
        <w:t xml:space="preserve"> </w:t>
      </w:r>
      <w:r w:rsidRPr="003443D0">
        <w:t>For registration purposes, an identical energy rating specification cabinet can be given an alternative trading brand and model number provided that the manufacturer supplies a declaration stating the products are identical in energy rating performance and identical to the model in test report number XYZ.  This declaration must be on the product manufacturer’s letter head, dated and signed in PDF electronic format and uploaded on the product registration website page along with the test documentation.</w:t>
      </w:r>
    </w:p>
  </w:footnote>
  <w:footnote w:id="62">
    <w:p w14:paraId="7B19248B" w14:textId="37B49CA3" w:rsidR="00C22857" w:rsidRPr="0037697A" w:rsidRDefault="00C22857" w:rsidP="003443D0">
      <w:pPr>
        <w:pStyle w:val="FootnoteText"/>
        <w:jc w:val="both"/>
        <w:rPr>
          <w:lang w:val="en-NZ"/>
        </w:rPr>
      </w:pPr>
      <w:r w:rsidRPr="0037697A">
        <w:rPr>
          <w:rStyle w:val="FootnoteReference"/>
        </w:rPr>
        <w:footnoteRef/>
      </w:r>
      <w:r w:rsidRPr="0037697A">
        <w:t xml:space="preserve"> </w:t>
      </w:r>
      <w:r w:rsidRPr="00842B90">
        <w:rPr>
          <w:szCs w:val="16"/>
        </w:rPr>
        <w:t>Minimum energy performance requirements in terms of the ‘maximum allowable energy consumption’ of a model expressed as the total energy consumption (TEC) per 24 hours of total display area (TDA) (Units: kWh/24h/m2) or net volume (Units kWh/24h/m</w:t>
      </w:r>
      <w:r w:rsidRPr="00842B90">
        <w:rPr>
          <w:szCs w:val="16"/>
          <w:vertAlign w:val="superscript"/>
        </w:rPr>
        <w:t>3</w:t>
      </w:r>
      <w:r w:rsidRPr="00842B90">
        <w:rPr>
          <w:szCs w:val="16"/>
        </w:rPr>
        <w:t>). An energy efficiency factor of a particular model can be determined by comparing the actual total energy consumption per unit display area or unit volume with the maximum allowable energy consumption as specified by regulation.</w:t>
      </w:r>
    </w:p>
  </w:footnote>
  <w:footnote w:id="63">
    <w:p w14:paraId="0E9BD957" w14:textId="0402400D" w:rsidR="00C22857" w:rsidRPr="0037697A" w:rsidRDefault="00C22857" w:rsidP="00317405">
      <w:pPr>
        <w:pStyle w:val="FootnoteText"/>
        <w:rPr>
          <w:sz w:val="18"/>
          <w:szCs w:val="18"/>
          <w:lang w:val="en-NZ"/>
        </w:rPr>
      </w:pPr>
      <w:r w:rsidRPr="00842B90">
        <w:rPr>
          <w:rStyle w:val="FootnoteReference"/>
          <w:szCs w:val="18"/>
        </w:rPr>
        <w:footnoteRef/>
      </w:r>
      <w:r w:rsidRPr="00842B90">
        <w:rPr>
          <w:szCs w:val="18"/>
        </w:rPr>
        <w:t xml:space="preserve"> </w:t>
      </w:r>
      <w:r w:rsidRPr="00842B90">
        <w:rPr>
          <w:szCs w:val="18"/>
          <w:lang w:val="en-NZ"/>
        </w:rPr>
        <w:t>Air-Conditioning, Heating and Refrigeration Institute (US) – Performance Rating of Commercial Refrigerated Display Merchandisers and Storage cabinets</w:t>
      </w:r>
      <w:r w:rsidR="00510214">
        <w:rPr>
          <w:szCs w:val="18"/>
          <w:lang w:val="en-NZ"/>
        </w:rPr>
        <w:t>.</w:t>
      </w:r>
    </w:p>
  </w:footnote>
  <w:footnote w:id="64">
    <w:p w14:paraId="0BEDA75D" w14:textId="77777777" w:rsidR="00C22857" w:rsidRPr="0037697A" w:rsidRDefault="00C22857" w:rsidP="00317405">
      <w:pPr>
        <w:autoSpaceDE w:val="0"/>
        <w:autoSpaceDN w:val="0"/>
        <w:adjustRightInd w:val="0"/>
        <w:spacing w:after="0" w:line="240" w:lineRule="auto"/>
        <w:jc w:val="both"/>
        <w:rPr>
          <w:sz w:val="18"/>
          <w:szCs w:val="18"/>
        </w:rPr>
      </w:pPr>
      <w:r w:rsidRPr="00842B90">
        <w:rPr>
          <w:rStyle w:val="FootnoteReference"/>
          <w:sz w:val="16"/>
          <w:szCs w:val="18"/>
        </w:rPr>
        <w:footnoteRef/>
      </w:r>
      <w:r w:rsidRPr="00842B90">
        <w:rPr>
          <w:rStyle w:val="FootnoteReference"/>
          <w:sz w:val="16"/>
          <w:szCs w:val="18"/>
        </w:rPr>
        <w:t xml:space="preserve"> </w:t>
      </w:r>
      <w:r w:rsidRPr="00842B90">
        <w:rPr>
          <w:sz w:val="16"/>
          <w:szCs w:val="18"/>
        </w:rPr>
        <w:t xml:space="preserve">The classification of a refrigerated cabinet is defined by the storage temperature of the product (or M-package temperature class) which it can achieve and by the ambient conditions, or climate class, in which it is designed to operate at, and achieve the required storage temperature. Similarly the climate class classification defines ambient operating conditions that are used in establishing the test room conditions for refrigerated equipment, to determine the electrical energy consumption.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9F104" w14:textId="77777777" w:rsidR="00883D84" w:rsidRDefault="00883D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F8E98" w14:textId="77777777" w:rsidR="00883D84" w:rsidRDefault="00883D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4DADB" w14:textId="77777777" w:rsidR="00C22857" w:rsidRDefault="00C22857">
    <w:r>
      <w:rPr>
        <w:noProof/>
        <w:lang w:eastAsia="en-AU"/>
      </w:rPr>
      <w:drawing>
        <wp:anchor distT="0" distB="0" distL="114300" distR="114300" simplePos="0" relativeHeight="251658242" behindDoc="1" locked="0" layoutInCell="1" allowOverlap="1" wp14:anchorId="1EDE6E5A" wp14:editId="7B840979">
          <wp:simplePos x="0" y="0"/>
          <wp:positionH relativeFrom="page">
            <wp:posOffset>0</wp:posOffset>
          </wp:positionH>
          <wp:positionV relativeFrom="page">
            <wp:posOffset>0</wp:posOffset>
          </wp:positionV>
          <wp:extent cx="7557963" cy="10690860"/>
          <wp:effectExtent l="0" t="0" r="5080" b="0"/>
          <wp:wrapNone/>
          <wp:docPr id="225" name="Picture 4" descr="Equipment Energy Efficiency (E3) Program logo"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3 Product Profile cov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7558768" cy="106919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A6730" w14:textId="77777777" w:rsidR="00C22857" w:rsidRDefault="00C22857">
    <w:r>
      <w:rPr>
        <w:noProof/>
        <w:lang w:eastAsia="en-AU"/>
      </w:rPr>
      <w:drawing>
        <wp:anchor distT="0" distB="0" distL="114300" distR="114300" simplePos="0" relativeHeight="251658240" behindDoc="1" locked="1" layoutInCell="0" allowOverlap="1" wp14:anchorId="60206EA9" wp14:editId="289E94E1">
          <wp:simplePos x="0" y="0"/>
          <wp:positionH relativeFrom="page">
            <wp:align>center</wp:align>
          </wp:positionH>
          <wp:positionV relativeFrom="page">
            <wp:align>top</wp:align>
          </wp:positionV>
          <wp:extent cx="6122670" cy="1796415"/>
          <wp:effectExtent l="0" t="0" r="0" b="0"/>
          <wp:wrapTopAndBottom/>
          <wp:docPr id="11" name="Picture 5" descr="decorative element"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a:biLevel thresh="25000"/>
                    <a:extLst>
                      <a:ext uri="{28A0092B-C50C-407E-A947-70E740481C1C}">
                        <a14:useLocalDpi xmlns:a14="http://schemas.microsoft.com/office/drawing/2010/main" val="0"/>
                      </a:ext>
                    </a:extLst>
                  </a:blip>
                  <a:srcRect/>
                  <a:stretch>
                    <a:fillRect/>
                  </a:stretch>
                </pic:blipFill>
                <pic:spPr bwMode="auto">
                  <a:xfrm>
                    <a:off x="0" y="0"/>
                    <a:ext cx="6122670" cy="1796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4BA91" w14:textId="77777777" w:rsidR="00C22857" w:rsidRDefault="00C22857">
    <w:r>
      <w:rPr>
        <w:noProof/>
        <w:lang w:eastAsia="en-AU"/>
      </w:rPr>
      <w:drawing>
        <wp:anchor distT="0" distB="0" distL="114300" distR="114300" simplePos="0" relativeHeight="251658243" behindDoc="1" locked="1" layoutInCell="1" allowOverlap="1" wp14:anchorId="44447395" wp14:editId="15B3EDA8">
          <wp:simplePos x="0" y="0"/>
          <wp:positionH relativeFrom="page">
            <wp:posOffset>659765</wp:posOffset>
          </wp:positionH>
          <wp:positionV relativeFrom="page">
            <wp:posOffset>177165</wp:posOffset>
          </wp:positionV>
          <wp:extent cx="6124575" cy="1800225"/>
          <wp:effectExtent l="0" t="0" r="9525" b="9525"/>
          <wp:wrapNone/>
          <wp:docPr id="10"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4575" cy="1800225"/>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C8480" w14:textId="77777777" w:rsidR="00C22857" w:rsidRDefault="00C2285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F06EF" w14:textId="77777777" w:rsidR="00C22857" w:rsidRDefault="00C22857">
    <w:r>
      <w:rPr>
        <w:noProof/>
        <w:lang w:eastAsia="en-AU"/>
      </w:rPr>
      <w:drawing>
        <wp:anchor distT="0" distB="0" distL="114300" distR="114300" simplePos="0" relativeHeight="251658241" behindDoc="1" locked="1" layoutInCell="0" allowOverlap="0" wp14:anchorId="2B4ED946" wp14:editId="442C2D7F">
          <wp:simplePos x="0" y="0"/>
          <wp:positionH relativeFrom="page">
            <wp:align>center</wp:align>
          </wp:positionH>
          <wp:positionV relativeFrom="page">
            <wp:posOffset>34290</wp:posOffset>
          </wp:positionV>
          <wp:extent cx="7597775" cy="10687050"/>
          <wp:effectExtent l="0" t="0" r="3175" b="0"/>
          <wp:wrapNone/>
          <wp:docPr id="2" name="Picture 2" descr="final page decorative element"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3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75"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4C4E172"/>
    <w:lvl w:ilvl="0">
      <w:start w:val="1"/>
      <w:numFmt w:val="bullet"/>
      <w:pStyle w:val="E3SubBullets"/>
      <w:lvlText w:val="—"/>
      <w:lvlJc w:val="left"/>
      <w:pPr>
        <w:tabs>
          <w:tab w:val="num" w:pos="1919"/>
        </w:tabs>
        <w:ind w:left="1919" w:hanging="360"/>
      </w:pPr>
      <w:rPr>
        <w:rFonts w:ascii="Times New Roman" w:hAnsi="Times New Roman" w:hint="default"/>
        <w:color w:val="FF0000"/>
      </w:rPr>
    </w:lvl>
  </w:abstractNum>
  <w:abstractNum w:abstractNumId="1" w15:restartNumberingAfterBreak="0">
    <w:nsid w:val="03630C11"/>
    <w:multiLevelType w:val="hybridMultilevel"/>
    <w:tmpl w:val="DB027DC4"/>
    <w:lvl w:ilvl="0" w:tplc="14090001">
      <w:start w:val="1"/>
      <w:numFmt w:val="bullet"/>
      <w:lvlText w:val=""/>
      <w:lvlJc w:val="left"/>
      <w:pPr>
        <w:ind w:left="1003" w:hanging="360"/>
      </w:pPr>
      <w:rPr>
        <w:rFonts w:ascii="Symbol" w:hAnsi="Symbol" w:hint="default"/>
      </w:rPr>
    </w:lvl>
    <w:lvl w:ilvl="1" w:tplc="14090003">
      <w:start w:val="1"/>
      <w:numFmt w:val="bullet"/>
      <w:lvlText w:val="o"/>
      <w:lvlJc w:val="left"/>
      <w:pPr>
        <w:ind w:left="1723" w:hanging="360"/>
      </w:pPr>
      <w:rPr>
        <w:rFonts w:ascii="Courier New" w:hAnsi="Courier New" w:cs="Courier New" w:hint="default"/>
      </w:rPr>
    </w:lvl>
    <w:lvl w:ilvl="2" w:tplc="14090005">
      <w:start w:val="1"/>
      <w:numFmt w:val="bullet"/>
      <w:lvlText w:val=""/>
      <w:lvlJc w:val="left"/>
      <w:pPr>
        <w:ind w:left="2443" w:hanging="360"/>
      </w:pPr>
      <w:rPr>
        <w:rFonts w:ascii="Wingdings" w:hAnsi="Wingdings" w:hint="default"/>
      </w:rPr>
    </w:lvl>
    <w:lvl w:ilvl="3" w:tplc="14090001">
      <w:start w:val="1"/>
      <w:numFmt w:val="bullet"/>
      <w:lvlText w:val=""/>
      <w:lvlJc w:val="left"/>
      <w:pPr>
        <w:ind w:left="3163" w:hanging="360"/>
      </w:pPr>
      <w:rPr>
        <w:rFonts w:ascii="Symbol" w:hAnsi="Symbol" w:hint="default"/>
      </w:rPr>
    </w:lvl>
    <w:lvl w:ilvl="4" w:tplc="14090003">
      <w:start w:val="1"/>
      <w:numFmt w:val="bullet"/>
      <w:lvlText w:val="o"/>
      <w:lvlJc w:val="left"/>
      <w:pPr>
        <w:ind w:left="3883" w:hanging="360"/>
      </w:pPr>
      <w:rPr>
        <w:rFonts w:ascii="Courier New" w:hAnsi="Courier New" w:cs="Courier New" w:hint="default"/>
      </w:rPr>
    </w:lvl>
    <w:lvl w:ilvl="5" w:tplc="14090005">
      <w:start w:val="1"/>
      <w:numFmt w:val="bullet"/>
      <w:lvlText w:val=""/>
      <w:lvlJc w:val="left"/>
      <w:pPr>
        <w:ind w:left="4603" w:hanging="360"/>
      </w:pPr>
      <w:rPr>
        <w:rFonts w:ascii="Wingdings" w:hAnsi="Wingdings" w:hint="default"/>
      </w:rPr>
    </w:lvl>
    <w:lvl w:ilvl="6" w:tplc="14090001">
      <w:start w:val="1"/>
      <w:numFmt w:val="bullet"/>
      <w:lvlText w:val=""/>
      <w:lvlJc w:val="left"/>
      <w:pPr>
        <w:ind w:left="5323" w:hanging="360"/>
      </w:pPr>
      <w:rPr>
        <w:rFonts w:ascii="Symbol" w:hAnsi="Symbol" w:hint="default"/>
      </w:rPr>
    </w:lvl>
    <w:lvl w:ilvl="7" w:tplc="14090003">
      <w:start w:val="1"/>
      <w:numFmt w:val="bullet"/>
      <w:lvlText w:val="o"/>
      <w:lvlJc w:val="left"/>
      <w:pPr>
        <w:ind w:left="6043" w:hanging="360"/>
      </w:pPr>
      <w:rPr>
        <w:rFonts w:ascii="Courier New" w:hAnsi="Courier New" w:cs="Courier New" w:hint="default"/>
      </w:rPr>
    </w:lvl>
    <w:lvl w:ilvl="8" w:tplc="14090005">
      <w:start w:val="1"/>
      <w:numFmt w:val="bullet"/>
      <w:lvlText w:val=""/>
      <w:lvlJc w:val="left"/>
      <w:pPr>
        <w:ind w:left="6763" w:hanging="360"/>
      </w:pPr>
      <w:rPr>
        <w:rFonts w:ascii="Wingdings" w:hAnsi="Wingdings" w:hint="default"/>
      </w:rPr>
    </w:lvl>
  </w:abstractNum>
  <w:abstractNum w:abstractNumId="2" w15:restartNumberingAfterBreak="0">
    <w:nsid w:val="071D20C3"/>
    <w:multiLevelType w:val="hybridMultilevel"/>
    <w:tmpl w:val="A4E2207E"/>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3" w15:restartNumberingAfterBreak="0">
    <w:nsid w:val="076B54E4"/>
    <w:multiLevelType w:val="hybridMultilevel"/>
    <w:tmpl w:val="28BE5776"/>
    <w:lvl w:ilvl="0" w:tplc="14090001">
      <w:start w:val="1"/>
      <w:numFmt w:val="bullet"/>
      <w:lvlText w:val=""/>
      <w:lvlJc w:val="left"/>
      <w:pPr>
        <w:ind w:left="1003" w:hanging="360"/>
      </w:pPr>
      <w:rPr>
        <w:rFonts w:ascii="Symbol" w:hAnsi="Symbol"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4" w15:restartNumberingAfterBreak="0">
    <w:nsid w:val="0B9D362D"/>
    <w:multiLevelType w:val="hybridMultilevel"/>
    <w:tmpl w:val="23EA12C4"/>
    <w:lvl w:ilvl="0" w:tplc="9EB281C0">
      <w:start w:val="1"/>
      <w:numFmt w:val="bullet"/>
      <w:pStyle w:val="E3Bullets"/>
      <w:lvlText w:val="•"/>
      <w:lvlJc w:val="left"/>
      <w:pPr>
        <w:ind w:left="720" w:hanging="360"/>
      </w:pPr>
      <w:rPr>
        <w:rFonts w:ascii="Georgia" w:hAnsi="Georgia" w:hint="default"/>
        <w:color w:val="E31F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8D3677"/>
    <w:multiLevelType w:val="hybridMultilevel"/>
    <w:tmpl w:val="9BC459E2"/>
    <w:lvl w:ilvl="0" w:tplc="6050753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D2627D3"/>
    <w:multiLevelType w:val="hybridMultilevel"/>
    <w:tmpl w:val="0F00F13E"/>
    <w:lvl w:ilvl="0" w:tplc="14090001">
      <w:start w:val="1"/>
      <w:numFmt w:val="bullet"/>
      <w:lvlText w:val=""/>
      <w:lvlJc w:val="left"/>
      <w:pPr>
        <w:ind w:left="1077" w:hanging="360"/>
      </w:pPr>
      <w:rPr>
        <w:rFonts w:ascii="Symbol" w:hAnsi="Symbol" w:hint="default"/>
      </w:rPr>
    </w:lvl>
    <w:lvl w:ilvl="1" w:tplc="14090003">
      <w:start w:val="1"/>
      <w:numFmt w:val="bullet"/>
      <w:lvlText w:val="o"/>
      <w:lvlJc w:val="left"/>
      <w:pPr>
        <w:ind w:left="1797" w:hanging="360"/>
      </w:pPr>
      <w:rPr>
        <w:rFonts w:ascii="Courier New" w:hAnsi="Courier New" w:cs="Courier New" w:hint="default"/>
      </w:rPr>
    </w:lvl>
    <w:lvl w:ilvl="2" w:tplc="14090005">
      <w:start w:val="1"/>
      <w:numFmt w:val="bullet"/>
      <w:lvlText w:val=""/>
      <w:lvlJc w:val="left"/>
      <w:pPr>
        <w:ind w:left="2517" w:hanging="360"/>
      </w:pPr>
      <w:rPr>
        <w:rFonts w:ascii="Wingdings" w:hAnsi="Wingdings" w:hint="default"/>
      </w:rPr>
    </w:lvl>
    <w:lvl w:ilvl="3" w:tplc="14090001">
      <w:start w:val="1"/>
      <w:numFmt w:val="bullet"/>
      <w:lvlText w:val=""/>
      <w:lvlJc w:val="left"/>
      <w:pPr>
        <w:ind w:left="3237" w:hanging="360"/>
      </w:pPr>
      <w:rPr>
        <w:rFonts w:ascii="Symbol" w:hAnsi="Symbol" w:hint="default"/>
      </w:rPr>
    </w:lvl>
    <w:lvl w:ilvl="4" w:tplc="14090003">
      <w:start w:val="1"/>
      <w:numFmt w:val="bullet"/>
      <w:lvlText w:val="o"/>
      <w:lvlJc w:val="left"/>
      <w:pPr>
        <w:ind w:left="3957" w:hanging="360"/>
      </w:pPr>
      <w:rPr>
        <w:rFonts w:ascii="Courier New" w:hAnsi="Courier New" w:cs="Courier New" w:hint="default"/>
      </w:rPr>
    </w:lvl>
    <w:lvl w:ilvl="5" w:tplc="14090005">
      <w:start w:val="1"/>
      <w:numFmt w:val="bullet"/>
      <w:lvlText w:val=""/>
      <w:lvlJc w:val="left"/>
      <w:pPr>
        <w:ind w:left="4677" w:hanging="360"/>
      </w:pPr>
      <w:rPr>
        <w:rFonts w:ascii="Wingdings" w:hAnsi="Wingdings" w:hint="default"/>
      </w:rPr>
    </w:lvl>
    <w:lvl w:ilvl="6" w:tplc="14090001">
      <w:start w:val="1"/>
      <w:numFmt w:val="bullet"/>
      <w:lvlText w:val=""/>
      <w:lvlJc w:val="left"/>
      <w:pPr>
        <w:ind w:left="5397" w:hanging="360"/>
      </w:pPr>
      <w:rPr>
        <w:rFonts w:ascii="Symbol" w:hAnsi="Symbol" w:hint="default"/>
      </w:rPr>
    </w:lvl>
    <w:lvl w:ilvl="7" w:tplc="14090003">
      <w:start w:val="1"/>
      <w:numFmt w:val="bullet"/>
      <w:lvlText w:val="o"/>
      <w:lvlJc w:val="left"/>
      <w:pPr>
        <w:ind w:left="6117" w:hanging="360"/>
      </w:pPr>
      <w:rPr>
        <w:rFonts w:ascii="Courier New" w:hAnsi="Courier New" w:cs="Courier New" w:hint="default"/>
      </w:rPr>
    </w:lvl>
    <w:lvl w:ilvl="8" w:tplc="14090005">
      <w:start w:val="1"/>
      <w:numFmt w:val="bullet"/>
      <w:lvlText w:val=""/>
      <w:lvlJc w:val="left"/>
      <w:pPr>
        <w:ind w:left="6837" w:hanging="360"/>
      </w:pPr>
      <w:rPr>
        <w:rFonts w:ascii="Wingdings" w:hAnsi="Wingdings" w:hint="default"/>
      </w:rPr>
    </w:lvl>
  </w:abstractNum>
  <w:abstractNum w:abstractNumId="7" w15:restartNumberingAfterBreak="0">
    <w:nsid w:val="0D9C5BE0"/>
    <w:multiLevelType w:val="hybridMultilevel"/>
    <w:tmpl w:val="C1A8CF10"/>
    <w:lvl w:ilvl="0" w:tplc="14090001">
      <w:start w:val="1"/>
      <w:numFmt w:val="bullet"/>
      <w:lvlText w:val=""/>
      <w:lvlJc w:val="left"/>
      <w:pPr>
        <w:ind w:left="1077" w:hanging="360"/>
      </w:pPr>
      <w:rPr>
        <w:rFonts w:ascii="Symbol" w:hAnsi="Symbol" w:hint="default"/>
      </w:rPr>
    </w:lvl>
    <w:lvl w:ilvl="1" w:tplc="14090003">
      <w:start w:val="1"/>
      <w:numFmt w:val="bullet"/>
      <w:lvlText w:val="o"/>
      <w:lvlJc w:val="left"/>
      <w:pPr>
        <w:ind w:left="1797" w:hanging="360"/>
      </w:pPr>
      <w:rPr>
        <w:rFonts w:ascii="Courier New" w:hAnsi="Courier New" w:cs="Courier New" w:hint="default"/>
      </w:rPr>
    </w:lvl>
    <w:lvl w:ilvl="2" w:tplc="14090005">
      <w:start w:val="1"/>
      <w:numFmt w:val="bullet"/>
      <w:lvlText w:val=""/>
      <w:lvlJc w:val="left"/>
      <w:pPr>
        <w:ind w:left="2517" w:hanging="360"/>
      </w:pPr>
      <w:rPr>
        <w:rFonts w:ascii="Wingdings" w:hAnsi="Wingdings" w:hint="default"/>
      </w:rPr>
    </w:lvl>
    <w:lvl w:ilvl="3" w:tplc="14090001">
      <w:start w:val="1"/>
      <w:numFmt w:val="bullet"/>
      <w:lvlText w:val=""/>
      <w:lvlJc w:val="left"/>
      <w:pPr>
        <w:ind w:left="3237" w:hanging="360"/>
      </w:pPr>
      <w:rPr>
        <w:rFonts w:ascii="Symbol" w:hAnsi="Symbol" w:hint="default"/>
      </w:rPr>
    </w:lvl>
    <w:lvl w:ilvl="4" w:tplc="14090003">
      <w:start w:val="1"/>
      <w:numFmt w:val="bullet"/>
      <w:lvlText w:val="o"/>
      <w:lvlJc w:val="left"/>
      <w:pPr>
        <w:ind w:left="3957" w:hanging="360"/>
      </w:pPr>
      <w:rPr>
        <w:rFonts w:ascii="Courier New" w:hAnsi="Courier New" w:cs="Courier New" w:hint="default"/>
      </w:rPr>
    </w:lvl>
    <w:lvl w:ilvl="5" w:tplc="14090005">
      <w:start w:val="1"/>
      <w:numFmt w:val="bullet"/>
      <w:lvlText w:val=""/>
      <w:lvlJc w:val="left"/>
      <w:pPr>
        <w:ind w:left="4677" w:hanging="360"/>
      </w:pPr>
      <w:rPr>
        <w:rFonts w:ascii="Wingdings" w:hAnsi="Wingdings" w:hint="default"/>
      </w:rPr>
    </w:lvl>
    <w:lvl w:ilvl="6" w:tplc="14090001">
      <w:start w:val="1"/>
      <w:numFmt w:val="bullet"/>
      <w:lvlText w:val=""/>
      <w:lvlJc w:val="left"/>
      <w:pPr>
        <w:ind w:left="5397" w:hanging="360"/>
      </w:pPr>
      <w:rPr>
        <w:rFonts w:ascii="Symbol" w:hAnsi="Symbol" w:hint="default"/>
      </w:rPr>
    </w:lvl>
    <w:lvl w:ilvl="7" w:tplc="14090003">
      <w:start w:val="1"/>
      <w:numFmt w:val="bullet"/>
      <w:lvlText w:val="o"/>
      <w:lvlJc w:val="left"/>
      <w:pPr>
        <w:ind w:left="6117" w:hanging="360"/>
      </w:pPr>
      <w:rPr>
        <w:rFonts w:ascii="Courier New" w:hAnsi="Courier New" w:cs="Courier New" w:hint="default"/>
      </w:rPr>
    </w:lvl>
    <w:lvl w:ilvl="8" w:tplc="14090005">
      <w:start w:val="1"/>
      <w:numFmt w:val="bullet"/>
      <w:lvlText w:val=""/>
      <w:lvlJc w:val="left"/>
      <w:pPr>
        <w:ind w:left="6837" w:hanging="360"/>
      </w:pPr>
      <w:rPr>
        <w:rFonts w:ascii="Wingdings" w:hAnsi="Wingdings" w:hint="default"/>
      </w:rPr>
    </w:lvl>
  </w:abstractNum>
  <w:abstractNum w:abstractNumId="8" w15:restartNumberingAfterBreak="0">
    <w:nsid w:val="0FB01039"/>
    <w:multiLevelType w:val="hybridMultilevel"/>
    <w:tmpl w:val="94C822B8"/>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9" w15:restartNumberingAfterBreak="0">
    <w:nsid w:val="12DD5C6A"/>
    <w:multiLevelType w:val="hybridMultilevel"/>
    <w:tmpl w:val="106EAF9A"/>
    <w:lvl w:ilvl="0" w:tplc="14090001">
      <w:start w:val="1"/>
      <w:numFmt w:val="bullet"/>
      <w:lvlText w:val=""/>
      <w:lvlJc w:val="left"/>
      <w:pPr>
        <w:ind w:left="1363" w:hanging="360"/>
      </w:pPr>
      <w:rPr>
        <w:rFonts w:ascii="Symbol" w:hAnsi="Symbol" w:hint="default"/>
      </w:rPr>
    </w:lvl>
    <w:lvl w:ilvl="1" w:tplc="14090003" w:tentative="1">
      <w:start w:val="1"/>
      <w:numFmt w:val="bullet"/>
      <w:lvlText w:val="o"/>
      <w:lvlJc w:val="left"/>
      <w:pPr>
        <w:ind w:left="2083" w:hanging="360"/>
      </w:pPr>
      <w:rPr>
        <w:rFonts w:ascii="Courier New" w:hAnsi="Courier New" w:cs="Courier New" w:hint="default"/>
      </w:rPr>
    </w:lvl>
    <w:lvl w:ilvl="2" w:tplc="14090005" w:tentative="1">
      <w:start w:val="1"/>
      <w:numFmt w:val="bullet"/>
      <w:lvlText w:val=""/>
      <w:lvlJc w:val="left"/>
      <w:pPr>
        <w:ind w:left="2803" w:hanging="360"/>
      </w:pPr>
      <w:rPr>
        <w:rFonts w:ascii="Wingdings" w:hAnsi="Wingdings" w:hint="default"/>
      </w:rPr>
    </w:lvl>
    <w:lvl w:ilvl="3" w:tplc="14090001" w:tentative="1">
      <w:start w:val="1"/>
      <w:numFmt w:val="bullet"/>
      <w:lvlText w:val=""/>
      <w:lvlJc w:val="left"/>
      <w:pPr>
        <w:ind w:left="3523" w:hanging="360"/>
      </w:pPr>
      <w:rPr>
        <w:rFonts w:ascii="Symbol" w:hAnsi="Symbol" w:hint="default"/>
      </w:rPr>
    </w:lvl>
    <w:lvl w:ilvl="4" w:tplc="14090003" w:tentative="1">
      <w:start w:val="1"/>
      <w:numFmt w:val="bullet"/>
      <w:lvlText w:val="o"/>
      <w:lvlJc w:val="left"/>
      <w:pPr>
        <w:ind w:left="4243" w:hanging="360"/>
      </w:pPr>
      <w:rPr>
        <w:rFonts w:ascii="Courier New" w:hAnsi="Courier New" w:cs="Courier New" w:hint="default"/>
      </w:rPr>
    </w:lvl>
    <w:lvl w:ilvl="5" w:tplc="14090005" w:tentative="1">
      <w:start w:val="1"/>
      <w:numFmt w:val="bullet"/>
      <w:lvlText w:val=""/>
      <w:lvlJc w:val="left"/>
      <w:pPr>
        <w:ind w:left="4963" w:hanging="360"/>
      </w:pPr>
      <w:rPr>
        <w:rFonts w:ascii="Wingdings" w:hAnsi="Wingdings" w:hint="default"/>
      </w:rPr>
    </w:lvl>
    <w:lvl w:ilvl="6" w:tplc="14090001" w:tentative="1">
      <w:start w:val="1"/>
      <w:numFmt w:val="bullet"/>
      <w:lvlText w:val=""/>
      <w:lvlJc w:val="left"/>
      <w:pPr>
        <w:ind w:left="5683" w:hanging="360"/>
      </w:pPr>
      <w:rPr>
        <w:rFonts w:ascii="Symbol" w:hAnsi="Symbol" w:hint="default"/>
      </w:rPr>
    </w:lvl>
    <w:lvl w:ilvl="7" w:tplc="14090003" w:tentative="1">
      <w:start w:val="1"/>
      <w:numFmt w:val="bullet"/>
      <w:lvlText w:val="o"/>
      <w:lvlJc w:val="left"/>
      <w:pPr>
        <w:ind w:left="6403" w:hanging="360"/>
      </w:pPr>
      <w:rPr>
        <w:rFonts w:ascii="Courier New" w:hAnsi="Courier New" w:cs="Courier New" w:hint="default"/>
      </w:rPr>
    </w:lvl>
    <w:lvl w:ilvl="8" w:tplc="14090005" w:tentative="1">
      <w:start w:val="1"/>
      <w:numFmt w:val="bullet"/>
      <w:lvlText w:val=""/>
      <w:lvlJc w:val="left"/>
      <w:pPr>
        <w:ind w:left="7123" w:hanging="360"/>
      </w:pPr>
      <w:rPr>
        <w:rFonts w:ascii="Wingdings" w:hAnsi="Wingdings" w:hint="default"/>
      </w:rPr>
    </w:lvl>
  </w:abstractNum>
  <w:abstractNum w:abstractNumId="10" w15:restartNumberingAfterBreak="0">
    <w:nsid w:val="16947044"/>
    <w:multiLevelType w:val="hybridMultilevel"/>
    <w:tmpl w:val="E75690D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90D3313"/>
    <w:multiLevelType w:val="hybridMultilevel"/>
    <w:tmpl w:val="4796B10E"/>
    <w:lvl w:ilvl="0" w:tplc="F2261B92">
      <w:start w:val="1"/>
      <w:numFmt w:val="decimal"/>
      <w:lvlText w:val="%1."/>
      <w:lvlJc w:val="left"/>
      <w:pPr>
        <w:ind w:left="460" w:hanging="4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A0E3CE4"/>
    <w:multiLevelType w:val="hybridMultilevel"/>
    <w:tmpl w:val="C5003BD0"/>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3" w15:restartNumberingAfterBreak="0">
    <w:nsid w:val="202B50A2"/>
    <w:multiLevelType w:val="hybridMultilevel"/>
    <w:tmpl w:val="A05A20B4"/>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4" w15:restartNumberingAfterBreak="0">
    <w:nsid w:val="223A37C2"/>
    <w:multiLevelType w:val="hybridMultilevel"/>
    <w:tmpl w:val="F5AC8F3A"/>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5" w15:restartNumberingAfterBreak="0">
    <w:nsid w:val="24CA1A38"/>
    <w:multiLevelType w:val="hybridMultilevel"/>
    <w:tmpl w:val="1848D736"/>
    <w:lvl w:ilvl="0" w:tplc="AB0A09CC">
      <w:start w:val="1"/>
      <w:numFmt w:val="decimal"/>
      <w:lvlText w:val="%1."/>
      <w:lvlJc w:val="left"/>
      <w:pPr>
        <w:ind w:left="720" w:hanging="360"/>
      </w:pPr>
      <w:rPr>
        <w:rFonts w:eastAsia="Cambria" w:cs="Times New Roman" w:hint="default"/>
        <w:sz w:val="19"/>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4E05826"/>
    <w:multiLevelType w:val="hybridMultilevel"/>
    <w:tmpl w:val="5C105C6C"/>
    <w:lvl w:ilvl="0" w:tplc="43404424">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4E237DF"/>
    <w:multiLevelType w:val="hybridMultilevel"/>
    <w:tmpl w:val="4596FA0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7202FD7"/>
    <w:multiLevelType w:val="hybridMultilevel"/>
    <w:tmpl w:val="8F4E08FE"/>
    <w:lvl w:ilvl="0" w:tplc="14090001">
      <w:start w:val="1"/>
      <w:numFmt w:val="bullet"/>
      <w:lvlText w:val=""/>
      <w:lvlJc w:val="left"/>
      <w:pPr>
        <w:ind w:left="1003" w:hanging="360"/>
      </w:pPr>
      <w:rPr>
        <w:rFonts w:ascii="Symbol" w:hAnsi="Symbol"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19" w15:restartNumberingAfterBreak="0">
    <w:nsid w:val="296C43DA"/>
    <w:multiLevelType w:val="singleLevel"/>
    <w:tmpl w:val="1E0AC42A"/>
    <w:lvl w:ilvl="0">
      <w:start w:val="1"/>
      <w:numFmt w:val="bullet"/>
      <w:pStyle w:val="Bullet"/>
      <w:lvlText w:val=""/>
      <w:lvlJc w:val="left"/>
      <w:pPr>
        <w:tabs>
          <w:tab w:val="num" w:pos="360"/>
        </w:tabs>
        <w:ind w:left="360" w:hanging="360"/>
      </w:pPr>
      <w:rPr>
        <w:rFonts w:ascii="Symbol" w:hAnsi="Symbol" w:hint="default"/>
        <w:sz w:val="22"/>
      </w:rPr>
    </w:lvl>
  </w:abstractNum>
  <w:abstractNum w:abstractNumId="20" w15:restartNumberingAfterBreak="0">
    <w:nsid w:val="29FA1839"/>
    <w:multiLevelType w:val="hybridMultilevel"/>
    <w:tmpl w:val="D7BA8664"/>
    <w:lvl w:ilvl="0" w:tplc="14090001">
      <w:start w:val="1"/>
      <w:numFmt w:val="bullet"/>
      <w:lvlText w:val=""/>
      <w:lvlJc w:val="left"/>
      <w:pPr>
        <w:ind w:left="1077" w:hanging="360"/>
      </w:pPr>
      <w:rPr>
        <w:rFonts w:ascii="Symbol" w:hAnsi="Symbol" w:hint="default"/>
      </w:rPr>
    </w:lvl>
    <w:lvl w:ilvl="1" w:tplc="14090003">
      <w:start w:val="1"/>
      <w:numFmt w:val="bullet"/>
      <w:lvlText w:val="o"/>
      <w:lvlJc w:val="left"/>
      <w:pPr>
        <w:ind w:left="1797" w:hanging="360"/>
      </w:pPr>
      <w:rPr>
        <w:rFonts w:ascii="Courier New" w:hAnsi="Courier New" w:cs="Courier New" w:hint="default"/>
      </w:rPr>
    </w:lvl>
    <w:lvl w:ilvl="2" w:tplc="14090005">
      <w:start w:val="1"/>
      <w:numFmt w:val="bullet"/>
      <w:lvlText w:val=""/>
      <w:lvlJc w:val="left"/>
      <w:pPr>
        <w:ind w:left="2517" w:hanging="360"/>
      </w:pPr>
      <w:rPr>
        <w:rFonts w:ascii="Wingdings" w:hAnsi="Wingdings" w:hint="default"/>
      </w:rPr>
    </w:lvl>
    <w:lvl w:ilvl="3" w:tplc="14090001">
      <w:start w:val="1"/>
      <w:numFmt w:val="bullet"/>
      <w:lvlText w:val=""/>
      <w:lvlJc w:val="left"/>
      <w:pPr>
        <w:ind w:left="3237" w:hanging="360"/>
      </w:pPr>
      <w:rPr>
        <w:rFonts w:ascii="Symbol" w:hAnsi="Symbol" w:hint="default"/>
      </w:rPr>
    </w:lvl>
    <w:lvl w:ilvl="4" w:tplc="14090003">
      <w:start w:val="1"/>
      <w:numFmt w:val="bullet"/>
      <w:lvlText w:val="o"/>
      <w:lvlJc w:val="left"/>
      <w:pPr>
        <w:ind w:left="3957" w:hanging="360"/>
      </w:pPr>
      <w:rPr>
        <w:rFonts w:ascii="Courier New" w:hAnsi="Courier New" w:cs="Courier New" w:hint="default"/>
      </w:rPr>
    </w:lvl>
    <w:lvl w:ilvl="5" w:tplc="14090005">
      <w:start w:val="1"/>
      <w:numFmt w:val="bullet"/>
      <w:lvlText w:val=""/>
      <w:lvlJc w:val="left"/>
      <w:pPr>
        <w:ind w:left="4677" w:hanging="360"/>
      </w:pPr>
      <w:rPr>
        <w:rFonts w:ascii="Wingdings" w:hAnsi="Wingdings" w:hint="default"/>
      </w:rPr>
    </w:lvl>
    <w:lvl w:ilvl="6" w:tplc="14090001">
      <w:start w:val="1"/>
      <w:numFmt w:val="bullet"/>
      <w:lvlText w:val=""/>
      <w:lvlJc w:val="left"/>
      <w:pPr>
        <w:ind w:left="5397" w:hanging="360"/>
      </w:pPr>
      <w:rPr>
        <w:rFonts w:ascii="Symbol" w:hAnsi="Symbol" w:hint="default"/>
      </w:rPr>
    </w:lvl>
    <w:lvl w:ilvl="7" w:tplc="14090003">
      <w:start w:val="1"/>
      <w:numFmt w:val="bullet"/>
      <w:lvlText w:val="o"/>
      <w:lvlJc w:val="left"/>
      <w:pPr>
        <w:ind w:left="6117" w:hanging="360"/>
      </w:pPr>
      <w:rPr>
        <w:rFonts w:ascii="Courier New" w:hAnsi="Courier New" w:cs="Courier New" w:hint="default"/>
      </w:rPr>
    </w:lvl>
    <w:lvl w:ilvl="8" w:tplc="14090005">
      <w:start w:val="1"/>
      <w:numFmt w:val="bullet"/>
      <w:lvlText w:val=""/>
      <w:lvlJc w:val="left"/>
      <w:pPr>
        <w:ind w:left="6837" w:hanging="360"/>
      </w:pPr>
      <w:rPr>
        <w:rFonts w:ascii="Wingdings" w:hAnsi="Wingdings" w:hint="default"/>
      </w:rPr>
    </w:lvl>
  </w:abstractNum>
  <w:abstractNum w:abstractNumId="21" w15:restartNumberingAfterBreak="0">
    <w:nsid w:val="2A065B9C"/>
    <w:multiLevelType w:val="hybridMultilevel"/>
    <w:tmpl w:val="123AB776"/>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22" w15:restartNumberingAfterBreak="0">
    <w:nsid w:val="2B755857"/>
    <w:multiLevelType w:val="hybridMultilevel"/>
    <w:tmpl w:val="FFE0BFBA"/>
    <w:lvl w:ilvl="0" w:tplc="14090001">
      <w:start w:val="1"/>
      <w:numFmt w:val="bullet"/>
      <w:lvlText w:val=""/>
      <w:lvlJc w:val="left"/>
      <w:pPr>
        <w:ind w:left="1003" w:hanging="360"/>
      </w:pPr>
      <w:rPr>
        <w:rFonts w:ascii="Symbol" w:hAnsi="Symbol"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23" w15:restartNumberingAfterBreak="0">
    <w:nsid w:val="2BF20FCE"/>
    <w:multiLevelType w:val="hybridMultilevel"/>
    <w:tmpl w:val="B1187DCC"/>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24" w15:restartNumberingAfterBreak="0">
    <w:nsid w:val="2C60209E"/>
    <w:multiLevelType w:val="hybridMultilevel"/>
    <w:tmpl w:val="D7D2435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2CD533BA"/>
    <w:multiLevelType w:val="hybridMultilevel"/>
    <w:tmpl w:val="56D6CBEC"/>
    <w:lvl w:ilvl="0" w:tplc="14090001">
      <w:start w:val="1"/>
      <w:numFmt w:val="bullet"/>
      <w:lvlText w:val=""/>
      <w:lvlJc w:val="left"/>
      <w:pPr>
        <w:ind w:left="1003" w:hanging="360"/>
      </w:pPr>
      <w:rPr>
        <w:rFonts w:ascii="Symbol" w:hAnsi="Symbol"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26" w15:restartNumberingAfterBreak="0">
    <w:nsid w:val="2E3D12A9"/>
    <w:multiLevelType w:val="hybridMultilevel"/>
    <w:tmpl w:val="808AC80A"/>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27" w15:restartNumberingAfterBreak="0">
    <w:nsid w:val="2F0D4FD8"/>
    <w:multiLevelType w:val="multilevel"/>
    <w:tmpl w:val="E320DF42"/>
    <w:lvl w:ilvl="0">
      <w:start w:val="1"/>
      <w:numFmt w:val="decimal"/>
      <w:pStyle w:val="Heading1"/>
      <w:lvlText w:val="%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1276236"/>
    <w:multiLevelType w:val="hybridMultilevel"/>
    <w:tmpl w:val="13ACFB0A"/>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29" w15:restartNumberingAfterBreak="0">
    <w:nsid w:val="32080FE2"/>
    <w:multiLevelType w:val="hybridMultilevel"/>
    <w:tmpl w:val="545E1F0A"/>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30" w15:restartNumberingAfterBreak="0">
    <w:nsid w:val="343F1176"/>
    <w:multiLevelType w:val="hybridMultilevel"/>
    <w:tmpl w:val="445284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51053B3"/>
    <w:multiLevelType w:val="hybridMultilevel"/>
    <w:tmpl w:val="984AE82A"/>
    <w:lvl w:ilvl="0" w:tplc="FE5A77CE">
      <w:start w:val="1"/>
      <w:numFmt w:val="bullet"/>
      <w:pStyle w:val="bullet0"/>
      <w:lvlText w:val=""/>
      <w:lvlJc w:val="left"/>
      <w:pPr>
        <w:tabs>
          <w:tab w:val="num" w:pos="283"/>
        </w:tabs>
        <w:ind w:left="283" w:hanging="28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970F38"/>
    <w:multiLevelType w:val="hybridMultilevel"/>
    <w:tmpl w:val="1502322E"/>
    <w:lvl w:ilvl="0" w:tplc="F7BA2B88">
      <w:start w:val="1"/>
      <w:numFmt w:val="bullet"/>
      <w:lvlText w:val=""/>
      <w:lvlJc w:val="left"/>
      <w:pPr>
        <w:ind w:left="360" w:hanging="360"/>
      </w:pPr>
      <w:rPr>
        <w:rFonts w:ascii="Symbol" w:hAnsi="Symbol" w:hint="default"/>
        <w:color w:val="C00000"/>
        <w:sz w:val="16"/>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35EB3F67"/>
    <w:multiLevelType w:val="hybridMultilevel"/>
    <w:tmpl w:val="DB5253D4"/>
    <w:lvl w:ilvl="0" w:tplc="14090001">
      <w:start w:val="1"/>
      <w:numFmt w:val="bullet"/>
      <w:lvlText w:val=""/>
      <w:lvlJc w:val="left"/>
      <w:pPr>
        <w:ind w:left="1003" w:hanging="360"/>
      </w:pPr>
      <w:rPr>
        <w:rFonts w:ascii="Symbol" w:hAnsi="Symbol"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34" w15:restartNumberingAfterBreak="0">
    <w:nsid w:val="36F045E1"/>
    <w:multiLevelType w:val="hybridMultilevel"/>
    <w:tmpl w:val="EBF0F8B8"/>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35" w15:restartNumberingAfterBreak="0">
    <w:nsid w:val="38136DA4"/>
    <w:multiLevelType w:val="hybridMultilevel"/>
    <w:tmpl w:val="63DAF910"/>
    <w:lvl w:ilvl="0" w:tplc="9CC47C2E">
      <w:start w:val="1"/>
      <w:numFmt w:val="bullet"/>
      <w:pStyle w:val="Bullets-Major"/>
      <w:lvlText w:val=""/>
      <w:lvlJc w:val="left"/>
      <w:pPr>
        <w:tabs>
          <w:tab w:val="num" w:pos="1287"/>
        </w:tabs>
        <w:ind w:left="1287" w:hanging="360"/>
      </w:pPr>
      <w:rPr>
        <w:rFonts w:ascii="Symbol" w:hAnsi="Symbol" w:hint="default"/>
        <w:sz w:val="20"/>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38B0061D"/>
    <w:multiLevelType w:val="hybridMultilevel"/>
    <w:tmpl w:val="BB2888BE"/>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7" w15:restartNumberingAfterBreak="0">
    <w:nsid w:val="3AA50CDC"/>
    <w:multiLevelType w:val="hybridMultilevel"/>
    <w:tmpl w:val="F3BE80CE"/>
    <w:lvl w:ilvl="0" w:tplc="14090011">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41093E9B"/>
    <w:multiLevelType w:val="hybridMultilevel"/>
    <w:tmpl w:val="05027782"/>
    <w:lvl w:ilvl="0" w:tplc="14090001">
      <w:start w:val="1"/>
      <w:numFmt w:val="bullet"/>
      <w:lvlText w:val=""/>
      <w:lvlJc w:val="left"/>
      <w:pPr>
        <w:ind w:left="1003" w:hanging="360"/>
      </w:pPr>
      <w:rPr>
        <w:rFonts w:ascii="Symbol" w:hAnsi="Symbol"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39" w15:restartNumberingAfterBreak="0">
    <w:nsid w:val="416E5D79"/>
    <w:multiLevelType w:val="hybridMultilevel"/>
    <w:tmpl w:val="25F0D2C6"/>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40" w15:restartNumberingAfterBreak="0">
    <w:nsid w:val="432F23CF"/>
    <w:multiLevelType w:val="hybridMultilevel"/>
    <w:tmpl w:val="D34247A8"/>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41" w15:restartNumberingAfterBreak="0">
    <w:nsid w:val="48330A22"/>
    <w:multiLevelType w:val="hybridMultilevel"/>
    <w:tmpl w:val="AF0E1ADE"/>
    <w:lvl w:ilvl="0" w:tplc="14090001">
      <w:start w:val="1"/>
      <w:numFmt w:val="bullet"/>
      <w:lvlText w:val=""/>
      <w:lvlJc w:val="left"/>
      <w:pPr>
        <w:ind w:left="1003" w:hanging="360"/>
      </w:pPr>
      <w:rPr>
        <w:rFonts w:ascii="Symbol" w:hAnsi="Symbol"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42" w15:restartNumberingAfterBreak="0">
    <w:nsid w:val="4A4F7920"/>
    <w:multiLevelType w:val="hybridMultilevel"/>
    <w:tmpl w:val="C4243568"/>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43" w15:restartNumberingAfterBreak="0">
    <w:nsid w:val="4ADB7DE1"/>
    <w:multiLevelType w:val="multilevel"/>
    <w:tmpl w:val="2B62B64C"/>
    <w:lvl w:ilvl="0">
      <w:start w:val="1"/>
      <w:numFmt w:val="decimal"/>
      <w:lvlText w:val="%1"/>
      <w:lvlJc w:val="left"/>
      <w:pPr>
        <w:tabs>
          <w:tab w:val="num" w:pos="0"/>
        </w:tabs>
        <w:ind w:left="720" w:hanging="720"/>
      </w:pPr>
      <w:rPr>
        <w:rFonts w:hint="default"/>
      </w:rPr>
    </w:lvl>
    <w:lvl w:ilvl="1">
      <w:start w:val="1"/>
      <w:numFmt w:val="decimal"/>
      <w:pStyle w:val="LSL2"/>
      <w:lvlText w:val="%1.%2"/>
      <w:lvlJc w:val="left"/>
      <w:pPr>
        <w:tabs>
          <w:tab w:val="num" w:pos="0"/>
        </w:tabs>
        <w:ind w:left="720" w:hanging="720"/>
      </w:pPr>
      <w:rPr>
        <w:rFonts w:hint="default"/>
      </w:rPr>
    </w:lvl>
    <w:lvl w:ilvl="2">
      <w:start w:val="1"/>
      <w:numFmt w:val="lowerLetter"/>
      <w:lvlText w:val="(%3)"/>
      <w:lvlJc w:val="left"/>
      <w:pPr>
        <w:tabs>
          <w:tab w:val="num" w:pos="0"/>
        </w:tabs>
        <w:ind w:left="1440" w:hanging="720"/>
      </w:pPr>
      <w:rPr>
        <w:rFonts w:hint="default"/>
      </w:rPr>
    </w:lvl>
    <w:lvl w:ilvl="3">
      <w:start w:val="1"/>
      <w:numFmt w:val="lowerRoman"/>
      <w:lvlText w:val="(%4)"/>
      <w:lvlJc w:val="left"/>
      <w:pPr>
        <w:tabs>
          <w:tab w:val="num" w:pos="0"/>
        </w:tabs>
        <w:ind w:left="2160" w:hanging="720"/>
      </w:pPr>
      <w:rPr>
        <w:rFonts w:hint="default"/>
      </w:rPr>
    </w:lvl>
    <w:lvl w:ilvl="4">
      <w:start w:val="1"/>
      <w:numFmt w:val="upperLetter"/>
      <w:lvlText w:val="(%5)"/>
      <w:lvlJc w:val="left"/>
      <w:pPr>
        <w:tabs>
          <w:tab w:val="num" w:pos="0"/>
        </w:tabs>
        <w:ind w:left="2880" w:hanging="720"/>
      </w:pPr>
      <w:rPr>
        <w:rFonts w:hint="default"/>
      </w:rPr>
    </w:lvl>
    <w:lvl w:ilvl="5">
      <w:start w:val="1"/>
      <w:numFmt w:val="bullet"/>
      <w:lvlText w:val=""/>
      <w:lvlJc w:val="left"/>
      <w:pPr>
        <w:tabs>
          <w:tab w:val="num" w:pos="0"/>
        </w:tabs>
        <w:ind w:left="3312" w:hanging="432"/>
      </w:pPr>
      <w:rPr>
        <w:rFonts w:ascii="Symbol" w:hAnsi="Symbol"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4" w15:restartNumberingAfterBreak="0">
    <w:nsid w:val="4C355444"/>
    <w:multiLevelType w:val="hybridMultilevel"/>
    <w:tmpl w:val="A1B2D842"/>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45" w15:restartNumberingAfterBreak="0">
    <w:nsid w:val="4F1818F6"/>
    <w:multiLevelType w:val="hybridMultilevel"/>
    <w:tmpl w:val="E5DCCAC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4F2469ED"/>
    <w:multiLevelType w:val="hybridMultilevel"/>
    <w:tmpl w:val="5ACA5888"/>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47" w15:restartNumberingAfterBreak="0">
    <w:nsid w:val="53693715"/>
    <w:multiLevelType w:val="hybridMultilevel"/>
    <w:tmpl w:val="F8C8992A"/>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1409000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56315967"/>
    <w:multiLevelType w:val="hybridMultilevel"/>
    <w:tmpl w:val="9DA6871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57872E4B"/>
    <w:multiLevelType w:val="hybridMultilevel"/>
    <w:tmpl w:val="DB527C94"/>
    <w:lvl w:ilvl="0" w:tplc="14090001">
      <w:start w:val="1"/>
      <w:numFmt w:val="bullet"/>
      <w:lvlText w:val=""/>
      <w:lvlJc w:val="left"/>
      <w:pPr>
        <w:ind w:left="1003" w:hanging="360"/>
      </w:pPr>
      <w:rPr>
        <w:rFonts w:ascii="Symbol" w:hAnsi="Symbol"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50" w15:restartNumberingAfterBreak="0">
    <w:nsid w:val="5C090CEF"/>
    <w:multiLevelType w:val="hybridMultilevel"/>
    <w:tmpl w:val="AC443CD0"/>
    <w:lvl w:ilvl="0" w:tplc="14090001">
      <w:start w:val="1"/>
      <w:numFmt w:val="bullet"/>
      <w:lvlText w:val=""/>
      <w:lvlJc w:val="left"/>
      <w:pPr>
        <w:ind w:left="1077" w:hanging="360"/>
      </w:pPr>
      <w:rPr>
        <w:rFonts w:ascii="Symbol" w:hAnsi="Symbol" w:hint="default"/>
      </w:rPr>
    </w:lvl>
    <w:lvl w:ilvl="1" w:tplc="14090003">
      <w:start w:val="1"/>
      <w:numFmt w:val="bullet"/>
      <w:lvlText w:val="o"/>
      <w:lvlJc w:val="left"/>
      <w:pPr>
        <w:ind w:left="1797" w:hanging="360"/>
      </w:pPr>
      <w:rPr>
        <w:rFonts w:ascii="Courier New" w:hAnsi="Courier New" w:cs="Courier New" w:hint="default"/>
      </w:rPr>
    </w:lvl>
    <w:lvl w:ilvl="2" w:tplc="14090005">
      <w:start w:val="1"/>
      <w:numFmt w:val="bullet"/>
      <w:lvlText w:val=""/>
      <w:lvlJc w:val="left"/>
      <w:pPr>
        <w:ind w:left="2517" w:hanging="360"/>
      </w:pPr>
      <w:rPr>
        <w:rFonts w:ascii="Wingdings" w:hAnsi="Wingdings" w:hint="default"/>
      </w:rPr>
    </w:lvl>
    <w:lvl w:ilvl="3" w:tplc="14090001">
      <w:start w:val="1"/>
      <w:numFmt w:val="bullet"/>
      <w:lvlText w:val=""/>
      <w:lvlJc w:val="left"/>
      <w:pPr>
        <w:ind w:left="3237" w:hanging="360"/>
      </w:pPr>
      <w:rPr>
        <w:rFonts w:ascii="Symbol" w:hAnsi="Symbol" w:hint="default"/>
      </w:rPr>
    </w:lvl>
    <w:lvl w:ilvl="4" w:tplc="14090003">
      <w:start w:val="1"/>
      <w:numFmt w:val="bullet"/>
      <w:lvlText w:val="o"/>
      <w:lvlJc w:val="left"/>
      <w:pPr>
        <w:ind w:left="3957" w:hanging="360"/>
      </w:pPr>
      <w:rPr>
        <w:rFonts w:ascii="Courier New" w:hAnsi="Courier New" w:cs="Courier New" w:hint="default"/>
      </w:rPr>
    </w:lvl>
    <w:lvl w:ilvl="5" w:tplc="14090005">
      <w:start w:val="1"/>
      <w:numFmt w:val="bullet"/>
      <w:lvlText w:val=""/>
      <w:lvlJc w:val="left"/>
      <w:pPr>
        <w:ind w:left="4677" w:hanging="360"/>
      </w:pPr>
      <w:rPr>
        <w:rFonts w:ascii="Wingdings" w:hAnsi="Wingdings" w:hint="default"/>
      </w:rPr>
    </w:lvl>
    <w:lvl w:ilvl="6" w:tplc="14090001">
      <w:start w:val="1"/>
      <w:numFmt w:val="bullet"/>
      <w:lvlText w:val=""/>
      <w:lvlJc w:val="left"/>
      <w:pPr>
        <w:ind w:left="5397" w:hanging="360"/>
      </w:pPr>
      <w:rPr>
        <w:rFonts w:ascii="Symbol" w:hAnsi="Symbol" w:hint="default"/>
      </w:rPr>
    </w:lvl>
    <w:lvl w:ilvl="7" w:tplc="14090003">
      <w:start w:val="1"/>
      <w:numFmt w:val="bullet"/>
      <w:lvlText w:val="o"/>
      <w:lvlJc w:val="left"/>
      <w:pPr>
        <w:ind w:left="6117" w:hanging="360"/>
      </w:pPr>
      <w:rPr>
        <w:rFonts w:ascii="Courier New" w:hAnsi="Courier New" w:cs="Courier New" w:hint="default"/>
      </w:rPr>
    </w:lvl>
    <w:lvl w:ilvl="8" w:tplc="14090005">
      <w:start w:val="1"/>
      <w:numFmt w:val="bullet"/>
      <w:lvlText w:val=""/>
      <w:lvlJc w:val="left"/>
      <w:pPr>
        <w:ind w:left="6837" w:hanging="360"/>
      </w:pPr>
      <w:rPr>
        <w:rFonts w:ascii="Wingdings" w:hAnsi="Wingdings" w:hint="default"/>
      </w:rPr>
    </w:lvl>
  </w:abstractNum>
  <w:abstractNum w:abstractNumId="51" w15:restartNumberingAfterBreak="0">
    <w:nsid w:val="5C8B15C0"/>
    <w:multiLevelType w:val="hybridMultilevel"/>
    <w:tmpl w:val="4C84FA66"/>
    <w:lvl w:ilvl="0" w:tplc="14090001">
      <w:start w:val="1"/>
      <w:numFmt w:val="bullet"/>
      <w:lvlText w:val=""/>
      <w:lvlJc w:val="left"/>
      <w:pPr>
        <w:ind w:left="1003" w:hanging="360"/>
      </w:pPr>
      <w:rPr>
        <w:rFonts w:ascii="Symbol" w:hAnsi="Symbol"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52" w15:restartNumberingAfterBreak="0">
    <w:nsid w:val="615A7D87"/>
    <w:multiLevelType w:val="hybridMultilevel"/>
    <w:tmpl w:val="F3BE80CE"/>
    <w:lvl w:ilvl="0" w:tplc="14090011">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15:restartNumberingAfterBreak="0">
    <w:nsid w:val="630204DB"/>
    <w:multiLevelType w:val="hybridMultilevel"/>
    <w:tmpl w:val="D62CEE04"/>
    <w:lvl w:ilvl="0" w:tplc="14090001">
      <w:start w:val="1"/>
      <w:numFmt w:val="bullet"/>
      <w:lvlText w:val=""/>
      <w:lvlJc w:val="left"/>
      <w:pPr>
        <w:ind w:left="1003" w:hanging="360"/>
      </w:pPr>
      <w:rPr>
        <w:rFonts w:ascii="Symbol" w:hAnsi="Symbol"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54" w15:restartNumberingAfterBreak="0">
    <w:nsid w:val="631902A0"/>
    <w:multiLevelType w:val="hybridMultilevel"/>
    <w:tmpl w:val="69321EE4"/>
    <w:lvl w:ilvl="0" w:tplc="14090001">
      <w:start w:val="1"/>
      <w:numFmt w:val="bullet"/>
      <w:lvlText w:val=""/>
      <w:lvlJc w:val="left"/>
      <w:pPr>
        <w:ind w:left="1003" w:hanging="360"/>
      </w:pPr>
      <w:rPr>
        <w:rFonts w:ascii="Symbol" w:hAnsi="Symbol"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55" w15:restartNumberingAfterBreak="0">
    <w:nsid w:val="63741A37"/>
    <w:multiLevelType w:val="hybridMultilevel"/>
    <w:tmpl w:val="DF323538"/>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56" w15:restartNumberingAfterBreak="0">
    <w:nsid w:val="63D47F6C"/>
    <w:multiLevelType w:val="hybridMultilevel"/>
    <w:tmpl w:val="0BC60676"/>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57" w15:restartNumberingAfterBreak="0">
    <w:nsid w:val="63EF1791"/>
    <w:multiLevelType w:val="hybridMultilevel"/>
    <w:tmpl w:val="B29CAE1E"/>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58" w15:restartNumberingAfterBreak="0">
    <w:nsid w:val="64BF3DAA"/>
    <w:multiLevelType w:val="hybridMultilevel"/>
    <w:tmpl w:val="014E7FF6"/>
    <w:lvl w:ilvl="0" w:tplc="14090001">
      <w:start w:val="1"/>
      <w:numFmt w:val="bullet"/>
      <w:lvlText w:val=""/>
      <w:lvlJc w:val="left"/>
      <w:pPr>
        <w:ind w:left="1003" w:hanging="360"/>
      </w:pPr>
      <w:rPr>
        <w:rFonts w:ascii="Symbol" w:hAnsi="Symbol"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59" w15:restartNumberingAfterBreak="0">
    <w:nsid w:val="699415D9"/>
    <w:multiLevelType w:val="hybridMultilevel"/>
    <w:tmpl w:val="282C758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15:restartNumberingAfterBreak="0">
    <w:nsid w:val="6BBB2926"/>
    <w:multiLevelType w:val="hybridMultilevel"/>
    <w:tmpl w:val="C2CEFEAC"/>
    <w:lvl w:ilvl="0" w:tplc="14090001">
      <w:start w:val="1"/>
      <w:numFmt w:val="bullet"/>
      <w:lvlText w:val=""/>
      <w:lvlJc w:val="left"/>
      <w:pPr>
        <w:ind w:left="1003" w:hanging="360"/>
      </w:pPr>
      <w:rPr>
        <w:rFonts w:ascii="Symbol" w:hAnsi="Symbol"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61" w15:restartNumberingAfterBreak="0">
    <w:nsid w:val="6C8923D5"/>
    <w:multiLevelType w:val="hybridMultilevel"/>
    <w:tmpl w:val="C3FABFCE"/>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62" w15:restartNumberingAfterBreak="0">
    <w:nsid w:val="6DE23D40"/>
    <w:multiLevelType w:val="hybridMultilevel"/>
    <w:tmpl w:val="AB9E3A24"/>
    <w:lvl w:ilvl="0" w:tplc="14090001">
      <w:start w:val="1"/>
      <w:numFmt w:val="bullet"/>
      <w:lvlText w:val=""/>
      <w:lvlJc w:val="left"/>
      <w:pPr>
        <w:ind w:left="1003" w:hanging="360"/>
      </w:pPr>
      <w:rPr>
        <w:rFonts w:ascii="Symbol" w:hAnsi="Symbol"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63" w15:restartNumberingAfterBreak="0">
    <w:nsid w:val="6F5570F5"/>
    <w:multiLevelType w:val="hybridMultilevel"/>
    <w:tmpl w:val="EEA0EE9E"/>
    <w:lvl w:ilvl="0" w:tplc="139CAD24">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4" w15:restartNumberingAfterBreak="0">
    <w:nsid w:val="703F6230"/>
    <w:multiLevelType w:val="hybridMultilevel"/>
    <w:tmpl w:val="EBB2D46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71A3522E"/>
    <w:multiLevelType w:val="hybridMultilevel"/>
    <w:tmpl w:val="454A9C16"/>
    <w:lvl w:ilvl="0" w:tplc="14090001">
      <w:start w:val="1"/>
      <w:numFmt w:val="bullet"/>
      <w:lvlText w:val=""/>
      <w:lvlJc w:val="left"/>
      <w:pPr>
        <w:ind w:left="1003" w:hanging="360"/>
      </w:pPr>
      <w:rPr>
        <w:rFonts w:ascii="Symbol" w:hAnsi="Symbol"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66" w15:restartNumberingAfterBreak="0">
    <w:nsid w:val="75AF7FC9"/>
    <w:multiLevelType w:val="hybridMultilevel"/>
    <w:tmpl w:val="1304F706"/>
    <w:lvl w:ilvl="0" w:tplc="2520A84C">
      <w:start w:val="1"/>
      <w:numFmt w:val="decimal"/>
      <w:lvlText w:val="%1."/>
      <w:lvlJc w:val="left"/>
      <w:pPr>
        <w:ind w:left="720" w:hanging="360"/>
      </w:pPr>
      <w:rPr>
        <w:rFonts w:ascii="Georgia" w:eastAsia="Cambria" w:hAnsi="Georgia" w:cs="Times New Roman"/>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7" w15:restartNumberingAfterBreak="0">
    <w:nsid w:val="78540E27"/>
    <w:multiLevelType w:val="hybridMultilevel"/>
    <w:tmpl w:val="53789AB8"/>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68" w15:restartNumberingAfterBreak="0">
    <w:nsid w:val="79F45B14"/>
    <w:multiLevelType w:val="hybridMultilevel"/>
    <w:tmpl w:val="CBE6BDCE"/>
    <w:lvl w:ilvl="0" w:tplc="14090001">
      <w:start w:val="1"/>
      <w:numFmt w:val="bullet"/>
      <w:lvlText w:val=""/>
      <w:lvlJc w:val="left"/>
      <w:pPr>
        <w:ind w:left="1077" w:hanging="360"/>
      </w:pPr>
      <w:rPr>
        <w:rFonts w:ascii="Symbol" w:hAnsi="Symbol" w:hint="default"/>
      </w:rPr>
    </w:lvl>
    <w:lvl w:ilvl="1" w:tplc="14090003">
      <w:start w:val="1"/>
      <w:numFmt w:val="bullet"/>
      <w:lvlText w:val="o"/>
      <w:lvlJc w:val="left"/>
      <w:pPr>
        <w:ind w:left="1797" w:hanging="360"/>
      </w:pPr>
      <w:rPr>
        <w:rFonts w:ascii="Courier New" w:hAnsi="Courier New" w:cs="Courier New" w:hint="default"/>
      </w:rPr>
    </w:lvl>
    <w:lvl w:ilvl="2" w:tplc="14090005">
      <w:start w:val="1"/>
      <w:numFmt w:val="bullet"/>
      <w:lvlText w:val=""/>
      <w:lvlJc w:val="left"/>
      <w:pPr>
        <w:ind w:left="2517" w:hanging="360"/>
      </w:pPr>
      <w:rPr>
        <w:rFonts w:ascii="Wingdings" w:hAnsi="Wingdings" w:hint="default"/>
      </w:rPr>
    </w:lvl>
    <w:lvl w:ilvl="3" w:tplc="14090001">
      <w:start w:val="1"/>
      <w:numFmt w:val="bullet"/>
      <w:lvlText w:val=""/>
      <w:lvlJc w:val="left"/>
      <w:pPr>
        <w:ind w:left="3237" w:hanging="360"/>
      </w:pPr>
      <w:rPr>
        <w:rFonts w:ascii="Symbol" w:hAnsi="Symbol" w:hint="default"/>
      </w:rPr>
    </w:lvl>
    <w:lvl w:ilvl="4" w:tplc="14090003">
      <w:start w:val="1"/>
      <w:numFmt w:val="bullet"/>
      <w:lvlText w:val="o"/>
      <w:lvlJc w:val="left"/>
      <w:pPr>
        <w:ind w:left="3957" w:hanging="360"/>
      </w:pPr>
      <w:rPr>
        <w:rFonts w:ascii="Courier New" w:hAnsi="Courier New" w:cs="Courier New" w:hint="default"/>
      </w:rPr>
    </w:lvl>
    <w:lvl w:ilvl="5" w:tplc="14090005">
      <w:start w:val="1"/>
      <w:numFmt w:val="bullet"/>
      <w:lvlText w:val=""/>
      <w:lvlJc w:val="left"/>
      <w:pPr>
        <w:ind w:left="4677" w:hanging="360"/>
      </w:pPr>
      <w:rPr>
        <w:rFonts w:ascii="Wingdings" w:hAnsi="Wingdings" w:hint="default"/>
      </w:rPr>
    </w:lvl>
    <w:lvl w:ilvl="6" w:tplc="14090001">
      <w:start w:val="1"/>
      <w:numFmt w:val="bullet"/>
      <w:lvlText w:val=""/>
      <w:lvlJc w:val="left"/>
      <w:pPr>
        <w:ind w:left="5397" w:hanging="360"/>
      </w:pPr>
      <w:rPr>
        <w:rFonts w:ascii="Symbol" w:hAnsi="Symbol" w:hint="default"/>
      </w:rPr>
    </w:lvl>
    <w:lvl w:ilvl="7" w:tplc="14090003">
      <w:start w:val="1"/>
      <w:numFmt w:val="bullet"/>
      <w:lvlText w:val="o"/>
      <w:lvlJc w:val="left"/>
      <w:pPr>
        <w:ind w:left="6117" w:hanging="360"/>
      </w:pPr>
      <w:rPr>
        <w:rFonts w:ascii="Courier New" w:hAnsi="Courier New" w:cs="Courier New" w:hint="default"/>
      </w:rPr>
    </w:lvl>
    <w:lvl w:ilvl="8" w:tplc="14090005">
      <w:start w:val="1"/>
      <w:numFmt w:val="bullet"/>
      <w:lvlText w:val=""/>
      <w:lvlJc w:val="left"/>
      <w:pPr>
        <w:ind w:left="6837" w:hanging="360"/>
      </w:pPr>
      <w:rPr>
        <w:rFonts w:ascii="Wingdings" w:hAnsi="Wingdings" w:hint="default"/>
      </w:rPr>
    </w:lvl>
  </w:abstractNum>
  <w:abstractNum w:abstractNumId="69" w15:restartNumberingAfterBreak="0">
    <w:nsid w:val="7A707BAE"/>
    <w:multiLevelType w:val="hybridMultilevel"/>
    <w:tmpl w:val="B6FA11CC"/>
    <w:lvl w:ilvl="0" w:tplc="2BF00B9C">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70" w15:restartNumberingAfterBreak="0">
    <w:nsid w:val="7AC06DEE"/>
    <w:multiLevelType w:val="hybridMultilevel"/>
    <w:tmpl w:val="2EF4B18A"/>
    <w:lvl w:ilvl="0" w:tplc="14090001">
      <w:start w:val="1"/>
      <w:numFmt w:val="bullet"/>
      <w:lvlText w:val=""/>
      <w:lvlJc w:val="left"/>
      <w:pPr>
        <w:ind w:left="1003" w:hanging="360"/>
      </w:pPr>
      <w:rPr>
        <w:rFonts w:ascii="Symbol" w:hAnsi="Symbol" w:hint="default"/>
      </w:rPr>
    </w:lvl>
    <w:lvl w:ilvl="1" w:tplc="14090003">
      <w:start w:val="1"/>
      <w:numFmt w:val="bullet"/>
      <w:lvlText w:val="o"/>
      <w:lvlJc w:val="left"/>
      <w:pPr>
        <w:ind w:left="1723" w:hanging="360"/>
      </w:pPr>
      <w:rPr>
        <w:rFonts w:ascii="Courier New" w:hAnsi="Courier New" w:cs="Courier New" w:hint="default"/>
      </w:rPr>
    </w:lvl>
    <w:lvl w:ilvl="2" w:tplc="14090005">
      <w:start w:val="1"/>
      <w:numFmt w:val="bullet"/>
      <w:lvlText w:val=""/>
      <w:lvlJc w:val="left"/>
      <w:pPr>
        <w:ind w:left="2443" w:hanging="360"/>
      </w:pPr>
      <w:rPr>
        <w:rFonts w:ascii="Wingdings" w:hAnsi="Wingdings" w:hint="default"/>
      </w:rPr>
    </w:lvl>
    <w:lvl w:ilvl="3" w:tplc="14090001">
      <w:start w:val="1"/>
      <w:numFmt w:val="bullet"/>
      <w:lvlText w:val=""/>
      <w:lvlJc w:val="left"/>
      <w:pPr>
        <w:ind w:left="3163" w:hanging="360"/>
      </w:pPr>
      <w:rPr>
        <w:rFonts w:ascii="Symbol" w:hAnsi="Symbol" w:hint="default"/>
      </w:rPr>
    </w:lvl>
    <w:lvl w:ilvl="4" w:tplc="14090003">
      <w:start w:val="1"/>
      <w:numFmt w:val="bullet"/>
      <w:lvlText w:val="o"/>
      <w:lvlJc w:val="left"/>
      <w:pPr>
        <w:ind w:left="3883" w:hanging="360"/>
      </w:pPr>
      <w:rPr>
        <w:rFonts w:ascii="Courier New" w:hAnsi="Courier New" w:cs="Courier New" w:hint="default"/>
      </w:rPr>
    </w:lvl>
    <w:lvl w:ilvl="5" w:tplc="14090005">
      <w:start w:val="1"/>
      <w:numFmt w:val="bullet"/>
      <w:lvlText w:val=""/>
      <w:lvlJc w:val="left"/>
      <w:pPr>
        <w:ind w:left="4603" w:hanging="360"/>
      </w:pPr>
      <w:rPr>
        <w:rFonts w:ascii="Wingdings" w:hAnsi="Wingdings" w:hint="default"/>
      </w:rPr>
    </w:lvl>
    <w:lvl w:ilvl="6" w:tplc="14090001">
      <w:start w:val="1"/>
      <w:numFmt w:val="bullet"/>
      <w:lvlText w:val=""/>
      <w:lvlJc w:val="left"/>
      <w:pPr>
        <w:ind w:left="5323" w:hanging="360"/>
      </w:pPr>
      <w:rPr>
        <w:rFonts w:ascii="Symbol" w:hAnsi="Symbol" w:hint="default"/>
      </w:rPr>
    </w:lvl>
    <w:lvl w:ilvl="7" w:tplc="14090003">
      <w:start w:val="1"/>
      <w:numFmt w:val="bullet"/>
      <w:lvlText w:val="o"/>
      <w:lvlJc w:val="left"/>
      <w:pPr>
        <w:ind w:left="6043" w:hanging="360"/>
      </w:pPr>
      <w:rPr>
        <w:rFonts w:ascii="Courier New" w:hAnsi="Courier New" w:cs="Courier New" w:hint="default"/>
      </w:rPr>
    </w:lvl>
    <w:lvl w:ilvl="8" w:tplc="14090005">
      <w:start w:val="1"/>
      <w:numFmt w:val="bullet"/>
      <w:lvlText w:val=""/>
      <w:lvlJc w:val="left"/>
      <w:pPr>
        <w:ind w:left="6763" w:hanging="360"/>
      </w:pPr>
      <w:rPr>
        <w:rFonts w:ascii="Wingdings" w:hAnsi="Wingdings" w:hint="default"/>
      </w:rPr>
    </w:lvl>
  </w:abstractNum>
  <w:abstractNum w:abstractNumId="71" w15:restartNumberingAfterBreak="0">
    <w:nsid w:val="7F703B69"/>
    <w:multiLevelType w:val="hybridMultilevel"/>
    <w:tmpl w:val="D8A84A78"/>
    <w:lvl w:ilvl="0" w:tplc="670A6F94">
      <w:start w:val="1"/>
      <w:numFmt w:val="bullet"/>
      <w:pStyle w:val="E3SubSubBullets"/>
      <w:lvlText w:val="▪"/>
      <w:lvlJc w:val="left"/>
      <w:pPr>
        <w:ind w:left="964" w:hanging="360"/>
      </w:pPr>
      <w:rPr>
        <w:rFonts w:ascii="Georgia" w:hAnsi="Georgia" w:cs="Times New Roman" w:hint="default"/>
        <w:color w:val="FF0000"/>
      </w:rPr>
    </w:lvl>
    <w:lvl w:ilvl="1" w:tplc="04090003">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num w:numId="1">
    <w:abstractNumId w:val="27"/>
  </w:num>
  <w:num w:numId="2">
    <w:abstractNumId w:val="0"/>
  </w:num>
  <w:num w:numId="3">
    <w:abstractNumId w:val="4"/>
  </w:num>
  <w:num w:numId="4">
    <w:abstractNumId w:val="71"/>
  </w:num>
  <w:num w:numId="5">
    <w:abstractNumId w:val="31"/>
  </w:num>
  <w:num w:numId="6">
    <w:abstractNumId w:val="35"/>
  </w:num>
  <w:num w:numId="7">
    <w:abstractNumId w:val="29"/>
  </w:num>
  <w:num w:numId="8">
    <w:abstractNumId w:val="23"/>
  </w:num>
  <w:num w:numId="9">
    <w:abstractNumId w:val="61"/>
  </w:num>
  <w:num w:numId="10">
    <w:abstractNumId w:val="69"/>
  </w:num>
  <w:num w:numId="11">
    <w:abstractNumId w:val="42"/>
  </w:num>
  <w:num w:numId="12">
    <w:abstractNumId w:val="26"/>
  </w:num>
  <w:num w:numId="13">
    <w:abstractNumId w:val="25"/>
  </w:num>
  <w:num w:numId="14">
    <w:abstractNumId w:val="56"/>
  </w:num>
  <w:num w:numId="15">
    <w:abstractNumId w:val="46"/>
  </w:num>
  <w:num w:numId="16">
    <w:abstractNumId w:val="13"/>
  </w:num>
  <w:num w:numId="17">
    <w:abstractNumId w:val="28"/>
  </w:num>
  <w:num w:numId="18">
    <w:abstractNumId w:val="39"/>
  </w:num>
  <w:num w:numId="19">
    <w:abstractNumId w:val="44"/>
  </w:num>
  <w:num w:numId="20">
    <w:abstractNumId w:val="12"/>
  </w:num>
  <w:num w:numId="21">
    <w:abstractNumId w:val="19"/>
  </w:num>
  <w:num w:numId="22">
    <w:abstractNumId w:val="43"/>
  </w:num>
  <w:num w:numId="23">
    <w:abstractNumId w:val="20"/>
  </w:num>
  <w:num w:numId="24">
    <w:abstractNumId w:val="6"/>
  </w:num>
  <w:num w:numId="25">
    <w:abstractNumId w:val="70"/>
  </w:num>
  <w:num w:numId="26">
    <w:abstractNumId w:val="1"/>
  </w:num>
  <w:num w:numId="27">
    <w:abstractNumId w:val="68"/>
  </w:num>
  <w:num w:numId="28">
    <w:abstractNumId w:val="50"/>
  </w:num>
  <w:num w:numId="29">
    <w:abstractNumId w:val="7"/>
  </w:num>
  <w:num w:numId="30">
    <w:abstractNumId w:val="33"/>
  </w:num>
  <w:num w:numId="31">
    <w:abstractNumId w:val="60"/>
  </w:num>
  <w:num w:numId="32">
    <w:abstractNumId w:val="21"/>
  </w:num>
  <w:num w:numId="33">
    <w:abstractNumId w:val="49"/>
  </w:num>
  <w:num w:numId="34">
    <w:abstractNumId w:val="51"/>
  </w:num>
  <w:num w:numId="35">
    <w:abstractNumId w:val="65"/>
  </w:num>
  <w:num w:numId="36">
    <w:abstractNumId w:val="34"/>
  </w:num>
  <w:num w:numId="37">
    <w:abstractNumId w:val="67"/>
  </w:num>
  <w:num w:numId="38">
    <w:abstractNumId w:val="3"/>
  </w:num>
  <w:num w:numId="39">
    <w:abstractNumId w:val="66"/>
  </w:num>
  <w:num w:numId="40">
    <w:abstractNumId w:val="37"/>
  </w:num>
  <w:num w:numId="41">
    <w:abstractNumId w:val="52"/>
  </w:num>
  <w:num w:numId="42">
    <w:abstractNumId w:val="30"/>
  </w:num>
  <w:num w:numId="43">
    <w:abstractNumId w:val="53"/>
  </w:num>
  <w:num w:numId="44">
    <w:abstractNumId w:val="16"/>
  </w:num>
  <w:num w:numId="45">
    <w:abstractNumId w:val="24"/>
  </w:num>
  <w:num w:numId="46">
    <w:abstractNumId w:val="22"/>
  </w:num>
  <w:num w:numId="47">
    <w:abstractNumId w:val="54"/>
  </w:num>
  <w:num w:numId="48">
    <w:abstractNumId w:val="10"/>
  </w:num>
  <w:num w:numId="49">
    <w:abstractNumId w:val="5"/>
  </w:num>
  <w:num w:numId="50">
    <w:abstractNumId w:val="45"/>
  </w:num>
  <w:num w:numId="51">
    <w:abstractNumId w:val="32"/>
  </w:num>
  <w:num w:numId="52">
    <w:abstractNumId w:val="63"/>
  </w:num>
  <w:num w:numId="53">
    <w:abstractNumId w:val="47"/>
  </w:num>
  <w:num w:numId="54">
    <w:abstractNumId w:val="36"/>
  </w:num>
  <w:num w:numId="55">
    <w:abstractNumId w:val="11"/>
  </w:num>
  <w:num w:numId="56">
    <w:abstractNumId w:val="15"/>
  </w:num>
  <w:num w:numId="57">
    <w:abstractNumId w:val="58"/>
  </w:num>
  <w:num w:numId="58">
    <w:abstractNumId w:val="62"/>
  </w:num>
  <w:num w:numId="59">
    <w:abstractNumId w:val="38"/>
  </w:num>
  <w:num w:numId="60">
    <w:abstractNumId w:val="18"/>
  </w:num>
  <w:num w:numId="61">
    <w:abstractNumId w:val="55"/>
  </w:num>
  <w:num w:numId="62">
    <w:abstractNumId w:val="8"/>
  </w:num>
  <w:num w:numId="63">
    <w:abstractNumId w:val="41"/>
  </w:num>
  <w:num w:numId="64">
    <w:abstractNumId w:val="2"/>
  </w:num>
  <w:num w:numId="65">
    <w:abstractNumId w:val="57"/>
  </w:num>
  <w:num w:numId="66">
    <w:abstractNumId w:val="14"/>
  </w:num>
  <w:num w:numId="67">
    <w:abstractNumId w:val="17"/>
  </w:num>
  <w:num w:numId="68">
    <w:abstractNumId w:val="9"/>
  </w:num>
  <w:num w:numId="69">
    <w:abstractNumId w:val="64"/>
  </w:num>
  <w:num w:numId="70">
    <w:abstractNumId w:val="48"/>
  </w:num>
  <w:num w:numId="71">
    <w:abstractNumId w:val="40"/>
  </w:num>
  <w:num w:numId="72">
    <w:abstractNumId w:val="5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defaultTabStop w:val="720"/>
  <w:drawingGridHorizontalSpacing w:val="95"/>
  <w:displayHorizontalDrawingGridEvery w:val="2"/>
  <w:characterSpacingControl w:val="doNotCompress"/>
  <w:hdrShapeDefaults>
    <o:shapedefaults v:ext="edit" spidmax="12293" style="mso-position-horizontal-relative:page;mso-position-vertical-relative:page;v-text-anchor:bottom" o:allowincell="f" o:allowoverlap="f" fill="f" fillcolor="white" stroke="f">
      <v:fill color="white" on="f"/>
      <v:stroke on="f"/>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E72"/>
    <w:rsid w:val="000039D0"/>
    <w:rsid w:val="000048E1"/>
    <w:rsid w:val="00011D7F"/>
    <w:rsid w:val="00015ACA"/>
    <w:rsid w:val="000178CD"/>
    <w:rsid w:val="00030017"/>
    <w:rsid w:val="000341A3"/>
    <w:rsid w:val="0004303B"/>
    <w:rsid w:val="0005138A"/>
    <w:rsid w:val="000705CD"/>
    <w:rsid w:val="00083811"/>
    <w:rsid w:val="00084819"/>
    <w:rsid w:val="00090984"/>
    <w:rsid w:val="00097ED5"/>
    <w:rsid w:val="000A0740"/>
    <w:rsid w:val="000A1659"/>
    <w:rsid w:val="000A2098"/>
    <w:rsid w:val="000A2C19"/>
    <w:rsid w:val="000A5FF6"/>
    <w:rsid w:val="000B2B71"/>
    <w:rsid w:val="000B53C0"/>
    <w:rsid w:val="000C0894"/>
    <w:rsid w:val="000D1F91"/>
    <w:rsid w:val="000D506C"/>
    <w:rsid w:val="000D6199"/>
    <w:rsid w:val="000E100D"/>
    <w:rsid w:val="000E3C98"/>
    <w:rsid w:val="000E720F"/>
    <w:rsid w:val="000F4C63"/>
    <w:rsid w:val="000F53A6"/>
    <w:rsid w:val="000F6069"/>
    <w:rsid w:val="000F7C92"/>
    <w:rsid w:val="000F7D7D"/>
    <w:rsid w:val="0010036B"/>
    <w:rsid w:val="00104ACE"/>
    <w:rsid w:val="00120A42"/>
    <w:rsid w:val="00121EAC"/>
    <w:rsid w:val="001220AB"/>
    <w:rsid w:val="00127ACB"/>
    <w:rsid w:val="001308F2"/>
    <w:rsid w:val="00132DE9"/>
    <w:rsid w:val="0013450C"/>
    <w:rsid w:val="00135085"/>
    <w:rsid w:val="00137A5D"/>
    <w:rsid w:val="0014538A"/>
    <w:rsid w:val="00155F28"/>
    <w:rsid w:val="00157128"/>
    <w:rsid w:val="00162644"/>
    <w:rsid w:val="0016451B"/>
    <w:rsid w:val="00167C66"/>
    <w:rsid w:val="00182794"/>
    <w:rsid w:val="00191C1F"/>
    <w:rsid w:val="001940B8"/>
    <w:rsid w:val="00197B9C"/>
    <w:rsid w:val="001A1201"/>
    <w:rsid w:val="001A227C"/>
    <w:rsid w:val="001A4A51"/>
    <w:rsid w:val="001A7BDA"/>
    <w:rsid w:val="001B0179"/>
    <w:rsid w:val="001C2E23"/>
    <w:rsid w:val="001E286F"/>
    <w:rsid w:val="001E3CA7"/>
    <w:rsid w:val="001E4CDD"/>
    <w:rsid w:val="001E5FBA"/>
    <w:rsid w:val="001F3C44"/>
    <w:rsid w:val="001F60FF"/>
    <w:rsid w:val="001F676F"/>
    <w:rsid w:val="001F69FE"/>
    <w:rsid w:val="002060E2"/>
    <w:rsid w:val="00221867"/>
    <w:rsid w:val="002244E5"/>
    <w:rsid w:val="00225794"/>
    <w:rsid w:val="0022771E"/>
    <w:rsid w:val="0023021B"/>
    <w:rsid w:val="00243B70"/>
    <w:rsid w:val="00243C7D"/>
    <w:rsid w:val="002505CB"/>
    <w:rsid w:val="00252EBB"/>
    <w:rsid w:val="00253411"/>
    <w:rsid w:val="00253CE9"/>
    <w:rsid w:val="002602C6"/>
    <w:rsid w:val="00260C54"/>
    <w:rsid w:val="0027026A"/>
    <w:rsid w:val="00273F90"/>
    <w:rsid w:val="002759B7"/>
    <w:rsid w:val="0028028C"/>
    <w:rsid w:val="00280BA7"/>
    <w:rsid w:val="0028109D"/>
    <w:rsid w:val="00284ABD"/>
    <w:rsid w:val="0029123D"/>
    <w:rsid w:val="002917CC"/>
    <w:rsid w:val="002A7F9E"/>
    <w:rsid w:val="002B11D8"/>
    <w:rsid w:val="002B35F2"/>
    <w:rsid w:val="002B403B"/>
    <w:rsid w:val="002B447C"/>
    <w:rsid w:val="002C1469"/>
    <w:rsid w:val="002C5C7E"/>
    <w:rsid w:val="002D6F66"/>
    <w:rsid w:val="002E1236"/>
    <w:rsid w:val="002E4925"/>
    <w:rsid w:val="002F36E9"/>
    <w:rsid w:val="002F542B"/>
    <w:rsid w:val="00305101"/>
    <w:rsid w:val="00306F77"/>
    <w:rsid w:val="00312947"/>
    <w:rsid w:val="003146A8"/>
    <w:rsid w:val="00317405"/>
    <w:rsid w:val="00324B50"/>
    <w:rsid w:val="00325F1D"/>
    <w:rsid w:val="00326DA1"/>
    <w:rsid w:val="003443D0"/>
    <w:rsid w:val="0034488E"/>
    <w:rsid w:val="00344946"/>
    <w:rsid w:val="00344AF9"/>
    <w:rsid w:val="00346283"/>
    <w:rsid w:val="0035679B"/>
    <w:rsid w:val="003616D8"/>
    <w:rsid w:val="003654D3"/>
    <w:rsid w:val="00374483"/>
    <w:rsid w:val="00380E97"/>
    <w:rsid w:val="003813A0"/>
    <w:rsid w:val="00382D94"/>
    <w:rsid w:val="00383C2D"/>
    <w:rsid w:val="003873EC"/>
    <w:rsid w:val="003A4D51"/>
    <w:rsid w:val="003A5FA4"/>
    <w:rsid w:val="003A6DA3"/>
    <w:rsid w:val="003B0025"/>
    <w:rsid w:val="003B0270"/>
    <w:rsid w:val="003C1DDF"/>
    <w:rsid w:val="003C469D"/>
    <w:rsid w:val="003D515D"/>
    <w:rsid w:val="003E5EF5"/>
    <w:rsid w:val="004019EC"/>
    <w:rsid w:val="00401CA6"/>
    <w:rsid w:val="0040707A"/>
    <w:rsid w:val="00416340"/>
    <w:rsid w:val="0042071D"/>
    <w:rsid w:val="00426816"/>
    <w:rsid w:val="00427EFD"/>
    <w:rsid w:val="00437A0A"/>
    <w:rsid w:val="00446832"/>
    <w:rsid w:val="00450F60"/>
    <w:rsid w:val="00457101"/>
    <w:rsid w:val="00472115"/>
    <w:rsid w:val="00472AF4"/>
    <w:rsid w:val="00476E74"/>
    <w:rsid w:val="00480F88"/>
    <w:rsid w:val="004840A0"/>
    <w:rsid w:val="00492A6B"/>
    <w:rsid w:val="004966A1"/>
    <w:rsid w:val="00497702"/>
    <w:rsid w:val="004A15C1"/>
    <w:rsid w:val="004A314E"/>
    <w:rsid w:val="004A33A5"/>
    <w:rsid w:val="004A7BA9"/>
    <w:rsid w:val="004B298C"/>
    <w:rsid w:val="004B47F0"/>
    <w:rsid w:val="004B5065"/>
    <w:rsid w:val="004B5AEC"/>
    <w:rsid w:val="004B77E3"/>
    <w:rsid w:val="004C3E41"/>
    <w:rsid w:val="004C7417"/>
    <w:rsid w:val="004D7532"/>
    <w:rsid w:val="004E01A6"/>
    <w:rsid w:val="004E162B"/>
    <w:rsid w:val="004E406C"/>
    <w:rsid w:val="004E763E"/>
    <w:rsid w:val="00500BC9"/>
    <w:rsid w:val="005061DC"/>
    <w:rsid w:val="00506349"/>
    <w:rsid w:val="00510214"/>
    <w:rsid w:val="00512C1C"/>
    <w:rsid w:val="00513F1F"/>
    <w:rsid w:val="00516E40"/>
    <w:rsid w:val="00522A0D"/>
    <w:rsid w:val="00522FDB"/>
    <w:rsid w:val="0053402D"/>
    <w:rsid w:val="005376DD"/>
    <w:rsid w:val="0053786F"/>
    <w:rsid w:val="00546F82"/>
    <w:rsid w:val="0055161C"/>
    <w:rsid w:val="00555A1D"/>
    <w:rsid w:val="005661A3"/>
    <w:rsid w:val="00567F61"/>
    <w:rsid w:val="0057327A"/>
    <w:rsid w:val="00573A1E"/>
    <w:rsid w:val="00575570"/>
    <w:rsid w:val="005829F0"/>
    <w:rsid w:val="005875E7"/>
    <w:rsid w:val="00587F2B"/>
    <w:rsid w:val="00590742"/>
    <w:rsid w:val="005955D9"/>
    <w:rsid w:val="005A16D8"/>
    <w:rsid w:val="005A6ED6"/>
    <w:rsid w:val="005B7FE0"/>
    <w:rsid w:val="005C4D03"/>
    <w:rsid w:val="005D642D"/>
    <w:rsid w:val="005D7D95"/>
    <w:rsid w:val="005E00E9"/>
    <w:rsid w:val="005E1F90"/>
    <w:rsid w:val="005E31B2"/>
    <w:rsid w:val="005E6486"/>
    <w:rsid w:val="005E7011"/>
    <w:rsid w:val="005F1101"/>
    <w:rsid w:val="00605BFF"/>
    <w:rsid w:val="00620AB1"/>
    <w:rsid w:val="006227CC"/>
    <w:rsid w:val="006237E8"/>
    <w:rsid w:val="00636F61"/>
    <w:rsid w:val="00653F63"/>
    <w:rsid w:val="00666A22"/>
    <w:rsid w:val="006715E4"/>
    <w:rsid w:val="0067256B"/>
    <w:rsid w:val="00675C03"/>
    <w:rsid w:val="00675EFD"/>
    <w:rsid w:val="00687660"/>
    <w:rsid w:val="0069133C"/>
    <w:rsid w:val="00691A9A"/>
    <w:rsid w:val="00697204"/>
    <w:rsid w:val="006A3792"/>
    <w:rsid w:val="006A6628"/>
    <w:rsid w:val="006B2B13"/>
    <w:rsid w:val="006C0C1F"/>
    <w:rsid w:val="006D1444"/>
    <w:rsid w:val="006D2C3A"/>
    <w:rsid w:val="006D707F"/>
    <w:rsid w:val="006D78E5"/>
    <w:rsid w:val="006E5EE9"/>
    <w:rsid w:val="006F47C7"/>
    <w:rsid w:val="006F51D6"/>
    <w:rsid w:val="006F5C60"/>
    <w:rsid w:val="00706D72"/>
    <w:rsid w:val="007078C4"/>
    <w:rsid w:val="0071188B"/>
    <w:rsid w:val="00720C13"/>
    <w:rsid w:val="00722A1B"/>
    <w:rsid w:val="00730090"/>
    <w:rsid w:val="0073237E"/>
    <w:rsid w:val="00732B0F"/>
    <w:rsid w:val="00740441"/>
    <w:rsid w:val="00741038"/>
    <w:rsid w:val="00744933"/>
    <w:rsid w:val="00746EFE"/>
    <w:rsid w:val="007474E9"/>
    <w:rsid w:val="0075032B"/>
    <w:rsid w:val="00755207"/>
    <w:rsid w:val="00761594"/>
    <w:rsid w:val="007634E7"/>
    <w:rsid w:val="00781983"/>
    <w:rsid w:val="00795A52"/>
    <w:rsid w:val="007C19D1"/>
    <w:rsid w:val="007D0C3E"/>
    <w:rsid w:val="007D18FF"/>
    <w:rsid w:val="007D1E57"/>
    <w:rsid w:val="007D47B6"/>
    <w:rsid w:val="007D551C"/>
    <w:rsid w:val="007D7973"/>
    <w:rsid w:val="007F0500"/>
    <w:rsid w:val="00803081"/>
    <w:rsid w:val="00803448"/>
    <w:rsid w:val="00803BCF"/>
    <w:rsid w:val="008100D8"/>
    <w:rsid w:val="0082269F"/>
    <w:rsid w:val="00823F42"/>
    <w:rsid w:val="00824F4F"/>
    <w:rsid w:val="00826C91"/>
    <w:rsid w:val="008305F3"/>
    <w:rsid w:val="00831ADD"/>
    <w:rsid w:val="008424FC"/>
    <w:rsid w:val="00851019"/>
    <w:rsid w:val="00854AFB"/>
    <w:rsid w:val="00863204"/>
    <w:rsid w:val="00863F9E"/>
    <w:rsid w:val="008747F0"/>
    <w:rsid w:val="00877010"/>
    <w:rsid w:val="00881755"/>
    <w:rsid w:val="00881F6E"/>
    <w:rsid w:val="00883D84"/>
    <w:rsid w:val="00890A4C"/>
    <w:rsid w:val="00895CB5"/>
    <w:rsid w:val="008A2F7E"/>
    <w:rsid w:val="008A6A18"/>
    <w:rsid w:val="008B39C4"/>
    <w:rsid w:val="008B4637"/>
    <w:rsid w:val="008C6776"/>
    <w:rsid w:val="008D1179"/>
    <w:rsid w:val="008D27C0"/>
    <w:rsid w:val="008D6270"/>
    <w:rsid w:val="008E3B46"/>
    <w:rsid w:val="008F145D"/>
    <w:rsid w:val="008F3101"/>
    <w:rsid w:val="008F5138"/>
    <w:rsid w:val="00905DA5"/>
    <w:rsid w:val="00907A99"/>
    <w:rsid w:val="0091013F"/>
    <w:rsid w:val="009111B2"/>
    <w:rsid w:val="00911C8F"/>
    <w:rsid w:val="0094387C"/>
    <w:rsid w:val="00943F92"/>
    <w:rsid w:val="009525DE"/>
    <w:rsid w:val="0095284E"/>
    <w:rsid w:val="00954098"/>
    <w:rsid w:val="00955576"/>
    <w:rsid w:val="0098131E"/>
    <w:rsid w:val="0098651A"/>
    <w:rsid w:val="00992DF0"/>
    <w:rsid w:val="00996D25"/>
    <w:rsid w:val="009A5EBE"/>
    <w:rsid w:val="009B0616"/>
    <w:rsid w:val="009B2FD5"/>
    <w:rsid w:val="009B52C2"/>
    <w:rsid w:val="009C765E"/>
    <w:rsid w:val="009D5158"/>
    <w:rsid w:val="009D70C3"/>
    <w:rsid w:val="009E6B3E"/>
    <w:rsid w:val="009F00B5"/>
    <w:rsid w:val="009F0EE0"/>
    <w:rsid w:val="009F17F9"/>
    <w:rsid w:val="009F234D"/>
    <w:rsid w:val="009F2FE0"/>
    <w:rsid w:val="009F3453"/>
    <w:rsid w:val="009F715F"/>
    <w:rsid w:val="00A0343E"/>
    <w:rsid w:val="00A05D5E"/>
    <w:rsid w:val="00A31BB8"/>
    <w:rsid w:val="00A37E0E"/>
    <w:rsid w:val="00A44E0C"/>
    <w:rsid w:val="00A46CD1"/>
    <w:rsid w:val="00A46E34"/>
    <w:rsid w:val="00A47427"/>
    <w:rsid w:val="00A7025F"/>
    <w:rsid w:val="00A86560"/>
    <w:rsid w:val="00A929F6"/>
    <w:rsid w:val="00A952E6"/>
    <w:rsid w:val="00A971DE"/>
    <w:rsid w:val="00A97BF6"/>
    <w:rsid w:val="00AA1002"/>
    <w:rsid w:val="00AA3CD4"/>
    <w:rsid w:val="00AB6426"/>
    <w:rsid w:val="00AB7FDF"/>
    <w:rsid w:val="00AC017B"/>
    <w:rsid w:val="00AC7024"/>
    <w:rsid w:val="00AD10B1"/>
    <w:rsid w:val="00AD4351"/>
    <w:rsid w:val="00AD73FE"/>
    <w:rsid w:val="00AD76AA"/>
    <w:rsid w:val="00AF04B1"/>
    <w:rsid w:val="00AF174C"/>
    <w:rsid w:val="00AF2156"/>
    <w:rsid w:val="00AF2676"/>
    <w:rsid w:val="00AF7405"/>
    <w:rsid w:val="00B026F4"/>
    <w:rsid w:val="00B04903"/>
    <w:rsid w:val="00B06BCA"/>
    <w:rsid w:val="00B13BCB"/>
    <w:rsid w:val="00B4374E"/>
    <w:rsid w:val="00B729A0"/>
    <w:rsid w:val="00B832CC"/>
    <w:rsid w:val="00B83E54"/>
    <w:rsid w:val="00B8506B"/>
    <w:rsid w:val="00B857EA"/>
    <w:rsid w:val="00B90DE7"/>
    <w:rsid w:val="00B9115D"/>
    <w:rsid w:val="00B92C15"/>
    <w:rsid w:val="00BA2893"/>
    <w:rsid w:val="00BA75DA"/>
    <w:rsid w:val="00BB6322"/>
    <w:rsid w:val="00BB70CF"/>
    <w:rsid w:val="00BC55CF"/>
    <w:rsid w:val="00BD0CDF"/>
    <w:rsid w:val="00BE79FB"/>
    <w:rsid w:val="00BF1F4A"/>
    <w:rsid w:val="00C003C3"/>
    <w:rsid w:val="00C139EC"/>
    <w:rsid w:val="00C22857"/>
    <w:rsid w:val="00C27473"/>
    <w:rsid w:val="00C2766B"/>
    <w:rsid w:val="00C27DF6"/>
    <w:rsid w:val="00C30351"/>
    <w:rsid w:val="00C36E4D"/>
    <w:rsid w:val="00C504B6"/>
    <w:rsid w:val="00C53DE3"/>
    <w:rsid w:val="00C60257"/>
    <w:rsid w:val="00C76035"/>
    <w:rsid w:val="00C77F41"/>
    <w:rsid w:val="00C8473E"/>
    <w:rsid w:val="00C8777F"/>
    <w:rsid w:val="00C902FE"/>
    <w:rsid w:val="00C93425"/>
    <w:rsid w:val="00C946B3"/>
    <w:rsid w:val="00CA582C"/>
    <w:rsid w:val="00CA6FCF"/>
    <w:rsid w:val="00CB2258"/>
    <w:rsid w:val="00CB2DBF"/>
    <w:rsid w:val="00CB6B63"/>
    <w:rsid w:val="00CB6EB6"/>
    <w:rsid w:val="00CC1A0A"/>
    <w:rsid w:val="00CD121F"/>
    <w:rsid w:val="00CD39A5"/>
    <w:rsid w:val="00CD671B"/>
    <w:rsid w:val="00CD6F94"/>
    <w:rsid w:val="00CD7098"/>
    <w:rsid w:val="00CF127B"/>
    <w:rsid w:val="00D00FF0"/>
    <w:rsid w:val="00D035BE"/>
    <w:rsid w:val="00D04E72"/>
    <w:rsid w:val="00D06165"/>
    <w:rsid w:val="00D075F6"/>
    <w:rsid w:val="00D100F1"/>
    <w:rsid w:val="00D12FEB"/>
    <w:rsid w:val="00D14B3E"/>
    <w:rsid w:val="00D14FB0"/>
    <w:rsid w:val="00D1677D"/>
    <w:rsid w:val="00D36206"/>
    <w:rsid w:val="00D50967"/>
    <w:rsid w:val="00D51B4B"/>
    <w:rsid w:val="00D55007"/>
    <w:rsid w:val="00D5586C"/>
    <w:rsid w:val="00D56F30"/>
    <w:rsid w:val="00D6184A"/>
    <w:rsid w:val="00D64A75"/>
    <w:rsid w:val="00D70EF8"/>
    <w:rsid w:val="00D77C24"/>
    <w:rsid w:val="00D902AB"/>
    <w:rsid w:val="00D90628"/>
    <w:rsid w:val="00D94292"/>
    <w:rsid w:val="00DB065D"/>
    <w:rsid w:val="00DC1801"/>
    <w:rsid w:val="00DD102F"/>
    <w:rsid w:val="00DD38DD"/>
    <w:rsid w:val="00DD3EFB"/>
    <w:rsid w:val="00DD6A21"/>
    <w:rsid w:val="00DD6A72"/>
    <w:rsid w:val="00DE09E2"/>
    <w:rsid w:val="00DE6DF6"/>
    <w:rsid w:val="00DF4015"/>
    <w:rsid w:val="00DF5FC5"/>
    <w:rsid w:val="00E05C54"/>
    <w:rsid w:val="00E10F09"/>
    <w:rsid w:val="00E1356B"/>
    <w:rsid w:val="00E212E4"/>
    <w:rsid w:val="00E401FD"/>
    <w:rsid w:val="00E4409E"/>
    <w:rsid w:val="00E50722"/>
    <w:rsid w:val="00E509A4"/>
    <w:rsid w:val="00E536C1"/>
    <w:rsid w:val="00E54EA0"/>
    <w:rsid w:val="00E55296"/>
    <w:rsid w:val="00E57738"/>
    <w:rsid w:val="00E60225"/>
    <w:rsid w:val="00E61DFE"/>
    <w:rsid w:val="00E62CC4"/>
    <w:rsid w:val="00E638CE"/>
    <w:rsid w:val="00E6410E"/>
    <w:rsid w:val="00E769EC"/>
    <w:rsid w:val="00E8047A"/>
    <w:rsid w:val="00E81A6B"/>
    <w:rsid w:val="00E92CC8"/>
    <w:rsid w:val="00EA16B9"/>
    <w:rsid w:val="00EA233A"/>
    <w:rsid w:val="00EB2C49"/>
    <w:rsid w:val="00EB391B"/>
    <w:rsid w:val="00EC12C2"/>
    <w:rsid w:val="00EC181D"/>
    <w:rsid w:val="00EC1E46"/>
    <w:rsid w:val="00EC67C5"/>
    <w:rsid w:val="00ED0C9D"/>
    <w:rsid w:val="00ED5DCA"/>
    <w:rsid w:val="00ED632A"/>
    <w:rsid w:val="00EE1360"/>
    <w:rsid w:val="00EE1901"/>
    <w:rsid w:val="00EF5CC5"/>
    <w:rsid w:val="00F063FD"/>
    <w:rsid w:val="00F075D3"/>
    <w:rsid w:val="00F1032B"/>
    <w:rsid w:val="00F11949"/>
    <w:rsid w:val="00F12FDC"/>
    <w:rsid w:val="00F143EF"/>
    <w:rsid w:val="00F20882"/>
    <w:rsid w:val="00F2108D"/>
    <w:rsid w:val="00F214AB"/>
    <w:rsid w:val="00F33439"/>
    <w:rsid w:val="00F34CA5"/>
    <w:rsid w:val="00F54098"/>
    <w:rsid w:val="00F5660D"/>
    <w:rsid w:val="00F6085F"/>
    <w:rsid w:val="00F81460"/>
    <w:rsid w:val="00F85DB0"/>
    <w:rsid w:val="00F86618"/>
    <w:rsid w:val="00F879AF"/>
    <w:rsid w:val="00F87CF0"/>
    <w:rsid w:val="00FA36C1"/>
    <w:rsid w:val="00FA525C"/>
    <w:rsid w:val="00FA58C1"/>
    <w:rsid w:val="00FA7B90"/>
    <w:rsid w:val="00FC03E9"/>
    <w:rsid w:val="00FC09A8"/>
    <w:rsid w:val="00FC20B2"/>
    <w:rsid w:val="00FC4912"/>
    <w:rsid w:val="00FC7896"/>
    <w:rsid w:val="00FD22B7"/>
    <w:rsid w:val="00FD397D"/>
    <w:rsid w:val="00FD4FDC"/>
    <w:rsid w:val="00FE2A2F"/>
    <w:rsid w:val="00FF19C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3" style="mso-position-horizontal-relative:page;mso-position-vertical-relative:page;v-text-anchor:bottom" o:allowincell="f" o:allowoverlap="f" fill="f" fillcolor="white" stroke="f">
      <v:fill color="white" on="f"/>
      <v:stroke on="f"/>
      <v:textbox inset="0,0,0,0"/>
    </o:shapedefaults>
    <o:shapelayout v:ext="edit">
      <o:idmap v:ext="edit" data="1"/>
    </o:shapelayout>
  </w:shapeDefaults>
  <w:decimalSymbol w:val="."/>
  <w:listSeparator w:val=","/>
  <w14:docId w14:val="6AE52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15E4"/>
    <w:pPr>
      <w:spacing w:after="113" w:line="278" w:lineRule="auto"/>
    </w:pPr>
    <w:rPr>
      <w:rFonts w:ascii="Georgia" w:eastAsia="Cambria" w:hAnsi="Georgia"/>
      <w:sz w:val="19"/>
      <w:szCs w:val="24"/>
    </w:rPr>
  </w:style>
  <w:style w:type="paragraph" w:styleId="Heading1">
    <w:name w:val="heading 1"/>
    <w:basedOn w:val="Normal"/>
    <w:next w:val="Normal"/>
    <w:link w:val="Heading1Char"/>
    <w:qFormat/>
    <w:rsid w:val="002B35F2"/>
    <w:pPr>
      <w:keepNext/>
      <w:keepLines/>
      <w:numPr>
        <w:numId w:val="1"/>
      </w:numPr>
      <w:spacing w:after="0"/>
      <w:outlineLvl w:val="0"/>
    </w:pPr>
    <w:rPr>
      <w:rFonts w:ascii="Helvetica" w:eastAsia="Times New Roman" w:hAnsi="Helvetica"/>
      <w:b/>
      <w:bCs/>
      <w:color w:val="F2F2F2"/>
      <w:sz w:val="40"/>
      <w:szCs w:val="32"/>
    </w:rPr>
  </w:style>
  <w:style w:type="paragraph" w:styleId="Heading2">
    <w:name w:val="heading 2"/>
    <w:basedOn w:val="E3Heading2"/>
    <w:next w:val="E3BodyText"/>
    <w:link w:val="Heading2Char"/>
    <w:unhideWhenUsed/>
    <w:qFormat/>
    <w:rsid w:val="00EE1360"/>
    <w:pPr>
      <w:keepNext/>
      <w:tabs>
        <w:tab w:val="left" w:pos="425"/>
      </w:tabs>
      <w:spacing w:before="300"/>
      <w:outlineLvl w:val="1"/>
    </w:pPr>
    <w:rPr>
      <w:rFonts w:eastAsia="Times New Roman"/>
      <w:bCs/>
    </w:rPr>
  </w:style>
  <w:style w:type="paragraph" w:styleId="Heading3">
    <w:name w:val="heading 3"/>
    <w:basedOn w:val="E3Heading4"/>
    <w:next w:val="E3BodyText"/>
    <w:link w:val="Heading3Char"/>
    <w:unhideWhenUsed/>
    <w:qFormat/>
    <w:rsid w:val="00B729A0"/>
    <w:pPr>
      <w:keepNext/>
      <w:keepLines/>
      <w:spacing w:before="113"/>
      <w:outlineLvl w:val="2"/>
    </w:pPr>
    <w:rPr>
      <w:rFonts w:eastAsia="Times New Roman"/>
      <w:bCs w:val="0"/>
      <w:color w:val="DA001D" w:themeColor="accent2"/>
    </w:rPr>
  </w:style>
  <w:style w:type="paragraph" w:styleId="Heading4">
    <w:name w:val="heading 4"/>
    <w:basedOn w:val="E3Heading4"/>
    <w:next w:val="Normal"/>
    <w:link w:val="Heading4Char"/>
    <w:qFormat/>
    <w:rsid w:val="00B729A0"/>
    <w:pPr>
      <w:keepNext/>
      <w:keepLines/>
      <w:spacing w:before="113"/>
      <w:outlineLvl w:val="3"/>
    </w:pPr>
    <w:rPr>
      <w:rFonts w:eastAsia="Times New Roman"/>
      <w:bCs w:val="0"/>
      <w:iCs/>
    </w:rPr>
  </w:style>
  <w:style w:type="paragraph" w:styleId="Heading5">
    <w:name w:val="heading 5"/>
    <w:basedOn w:val="Normal"/>
    <w:next w:val="Normal"/>
    <w:link w:val="Heading5Char"/>
    <w:unhideWhenUsed/>
    <w:qFormat/>
    <w:rsid w:val="005875E7"/>
    <w:pPr>
      <w:keepNext/>
      <w:keepLines/>
      <w:spacing w:before="200" w:after="0"/>
      <w:outlineLvl w:val="4"/>
    </w:pPr>
    <w:rPr>
      <w:rFonts w:asciiTheme="majorHAnsi" w:eastAsiaTheme="majorEastAsia" w:hAnsiTheme="majorHAnsi" w:cstheme="majorBidi"/>
      <w:color w:val="60000C" w:themeColor="accent1" w:themeShade="7F"/>
    </w:rPr>
  </w:style>
  <w:style w:type="paragraph" w:styleId="Heading6">
    <w:name w:val="heading 6"/>
    <w:basedOn w:val="Normal"/>
    <w:next w:val="Normal"/>
    <w:link w:val="Heading6Char"/>
    <w:qFormat/>
    <w:rsid w:val="005875E7"/>
    <w:pPr>
      <w:spacing w:before="240" w:after="60" w:line="240" w:lineRule="auto"/>
      <w:ind w:left="1152" w:hanging="1152"/>
      <w:outlineLvl w:val="5"/>
    </w:pPr>
    <w:rPr>
      <w:rFonts w:ascii="Cambria" w:eastAsia="Times New Roman" w:hAnsi="Cambria"/>
      <w:b/>
      <w:bCs/>
      <w:sz w:val="22"/>
      <w:szCs w:val="22"/>
      <w:lang w:val="en-US"/>
    </w:rPr>
  </w:style>
  <w:style w:type="paragraph" w:styleId="Heading7">
    <w:name w:val="heading 7"/>
    <w:basedOn w:val="Normal"/>
    <w:next w:val="Normal"/>
    <w:link w:val="Heading7Char"/>
    <w:qFormat/>
    <w:rsid w:val="005875E7"/>
    <w:pPr>
      <w:spacing w:before="240" w:after="60" w:line="240" w:lineRule="auto"/>
      <w:ind w:left="1296" w:hanging="1296"/>
      <w:outlineLvl w:val="6"/>
    </w:pPr>
    <w:rPr>
      <w:rFonts w:ascii="Cambria" w:eastAsia="Times New Roman" w:hAnsi="Cambria"/>
      <w:sz w:val="24"/>
      <w:lang w:val="en-US"/>
    </w:rPr>
  </w:style>
  <w:style w:type="paragraph" w:styleId="Heading8">
    <w:name w:val="heading 8"/>
    <w:basedOn w:val="Normal"/>
    <w:next w:val="Normal"/>
    <w:link w:val="Heading8Char"/>
    <w:qFormat/>
    <w:rsid w:val="005875E7"/>
    <w:pPr>
      <w:spacing w:before="240" w:after="60" w:line="240" w:lineRule="auto"/>
      <w:ind w:left="1440" w:hanging="1440"/>
      <w:outlineLvl w:val="7"/>
    </w:pPr>
    <w:rPr>
      <w:rFonts w:ascii="Cambria" w:eastAsia="Times New Roman" w:hAnsi="Cambria"/>
      <w:i/>
      <w:iCs/>
      <w:sz w:val="24"/>
      <w:lang w:val="en-US"/>
    </w:rPr>
  </w:style>
  <w:style w:type="paragraph" w:styleId="Heading9">
    <w:name w:val="heading 9"/>
    <w:basedOn w:val="Normal"/>
    <w:next w:val="Normal"/>
    <w:link w:val="Heading9Char"/>
    <w:qFormat/>
    <w:rsid w:val="005875E7"/>
    <w:pPr>
      <w:spacing w:before="240" w:after="60" w:line="240" w:lineRule="auto"/>
      <w:ind w:left="1584" w:hanging="1584"/>
      <w:outlineLvl w:val="8"/>
    </w:pPr>
    <w:rPr>
      <w:rFonts w:ascii="Calibri" w:eastAsia="Times New Roman" w:hAnsi="Calibr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B35F2"/>
    <w:rPr>
      <w:rFonts w:ascii="Helvetica" w:eastAsia="Times New Roman" w:hAnsi="Helvetica"/>
      <w:b/>
      <w:bCs/>
      <w:color w:val="F2F2F2"/>
      <w:sz w:val="40"/>
      <w:szCs w:val="32"/>
    </w:rPr>
  </w:style>
  <w:style w:type="paragraph" w:customStyle="1" w:styleId="E3Heading2">
    <w:name w:val="E3 Heading 2"/>
    <w:basedOn w:val="E3Heading1"/>
    <w:next w:val="E3BodyText"/>
    <w:qFormat/>
    <w:rsid w:val="00097ED5"/>
    <w:pPr>
      <w:keepNext w:val="0"/>
      <w:keepLines/>
      <w:widowControl w:val="0"/>
      <w:autoSpaceDE w:val="0"/>
      <w:autoSpaceDN w:val="0"/>
      <w:adjustRightInd w:val="0"/>
      <w:spacing w:line="240" w:lineRule="auto"/>
      <w:contextualSpacing/>
    </w:pPr>
    <w:rPr>
      <w:rFonts w:eastAsia="Calibri" w:cs="Arial"/>
      <w:color w:val="000000" w:themeColor="text1"/>
      <w:sz w:val="32"/>
      <w:szCs w:val="26"/>
      <w:lang w:val="en-US"/>
    </w:rPr>
  </w:style>
  <w:style w:type="paragraph" w:customStyle="1" w:styleId="E3Heading1">
    <w:name w:val="E3 Heading 1"/>
    <w:basedOn w:val="Normal"/>
    <w:next w:val="E3BodyText"/>
    <w:qFormat/>
    <w:rsid w:val="00097ED5"/>
    <w:pPr>
      <w:keepNext/>
      <w:suppressLineNumbers/>
      <w:suppressAutoHyphens/>
      <w:spacing w:after="160"/>
    </w:pPr>
    <w:rPr>
      <w:rFonts w:ascii="Helvetica" w:hAnsi="Helvetica" w:cs="Helvetica"/>
      <w:b/>
      <w:sz w:val="40"/>
      <w:szCs w:val="40"/>
    </w:rPr>
  </w:style>
  <w:style w:type="paragraph" w:customStyle="1" w:styleId="E3BodyText">
    <w:name w:val="E3 Body Text"/>
    <w:qFormat/>
    <w:rsid w:val="00675C03"/>
    <w:pPr>
      <w:autoSpaceDE w:val="0"/>
      <w:autoSpaceDN w:val="0"/>
      <w:adjustRightInd w:val="0"/>
      <w:spacing w:after="113" w:line="300" w:lineRule="auto"/>
    </w:pPr>
    <w:rPr>
      <w:rFonts w:ascii="Georgia" w:hAnsi="Georgia" w:cs="Georgia"/>
      <w:color w:val="000000"/>
      <w:sz w:val="24"/>
      <w:szCs w:val="19"/>
      <w:lang w:val="en-US"/>
    </w:rPr>
  </w:style>
  <w:style w:type="character" w:customStyle="1" w:styleId="Heading2Char">
    <w:name w:val="Heading 2 Char"/>
    <w:link w:val="Heading2"/>
    <w:rsid w:val="00EE1360"/>
    <w:rPr>
      <w:rFonts w:ascii="Helvetica" w:eastAsia="Times New Roman" w:hAnsi="Helvetica" w:cs="Arial"/>
      <w:b/>
      <w:bCs/>
      <w:color w:val="000000" w:themeColor="text1"/>
      <w:sz w:val="28"/>
      <w:szCs w:val="26"/>
      <w:lang w:val="en-US"/>
    </w:rPr>
  </w:style>
  <w:style w:type="paragraph" w:customStyle="1" w:styleId="E3Heading4">
    <w:name w:val="E3 Heading 4"/>
    <w:basedOn w:val="Default"/>
    <w:qFormat/>
    <w:rsid w:val="00EE1360"/>
    <w:pPr>
      <w:spacing w:after="113"/>
    </w:pPr>
    <w:rPr>
      <w:rFonts w:ascii="Georgia" w:hAnsi="Georgia" w:cs="Georgia"/>
      <w:b/>
      <w:bCs/>
      <w:szCs w:val="19"/>
    </w:rPr>
  </w:style>
  <w:style w:type="paragraph" w:customStyle="1" w:styleId="Default">
    <w:name w:val="Default"/>
    <w:rsid w:val="009B2FD5"/>
    <w:pPr>
      <w:widowControl w:val="0"/>
      <w:autoSpaceDE w:val="0"/>
      <w:autoSpaceDN w:val="0"/>
      <w:adjustRightInd w:val="0"/>
    </w:pPr>
    <w:rPr>
      <w:rFonts w:ascii="Arial" w:hAnsi="Arial" w:cs="Arial"/>
      <w:color w:val="000000"/>
      <w:sz w:val="24"/>
      <w:szCs w:val="24"/>
      <w:lang w:val="en-US"/>
    </w:rPr>
  </w:style>
  <w:style w:type="character" w:customStyle="1" w:styleId="Heading3Char">
    <w:name w:val="Heading 3 Char"/>
    <w:link w:val="Heading3"/>
    <w:rsid w:val="00B729A0"/>
    <w:rPr>
      <w:rFonts w:ascii="Georgia" w:eastAsia="Times New Roman" w:hAnsi="Georgia" w:cs="Georgia"/>
      <w:b/>
      <w:color w:val="DA001D" w:themeColor="accent2"/>
      <w:sz w:val="24"/>
      <w:szCs w:val="19"/>
      <w:lang w:val="en-US"/>
    </w:rPr>
  </w:style>
  <w:style w:type="character" w:customStyle="1" w:styleId="Heading4Char">
    <w:name w:val="Heading 4 Char"/>
    <w:link w:val="Heading4"/>
    <w:rsid w:val="00B729A0"/>
    <w:rPr>
      <w:rFonts w:ascii="Georgia" w:eastAsia="Times New Roman" w:hAnsi="Georgia" w:cs="Georgia"/>
      <w:b/>
      <w:iCs/>
      <w:color w:val="000000"/>
      <w:sz w:val="24"/>
      <w:szCs w:val="19"/>
      <w:lang w:val="en-US"/>
    </w:rPr>
  </w:style>
  <w:style w:type="character" w:customStyle="1" w:styleId="Heading5Char">
    <w:name w:val="Heading 5 Char"/>
    <w:basedOn w:val="DefaultParagraphFont"/>
    <w:link w:val="Heading5"/>
    <w:rsid w:val="005875E7"/>
    <w:rPr>
      <w:rFonts w:asciiTheme="majorHAnsi" w:eastAsiaTheme="majorEastAsia" w:hAnsiTheme="majorHAnsi" w:cstheme="majorBidi"/>
      <w:color w:val="60000C" w:themeColor="accent1" w:themeShade="7F"/>
      <w:sz w:val="19"/>
      <w:szCs w:val="24"/>
    </w:rPr>
  </w:style>
  <w:style w:type="character" w:customStyle="1" w:styleId="Heading6Char">
    <w:name w:val="Heading 6 Char"/>
    <w:basedOn w:val="DefaultParagraphFont"/>
    <w:link w:val="Heading6"/>
    <w:rsid w:val="005875E7"/>
    <w:rPr>
      <w:rFonts w:ascii="Cambria" w:eastAsia="Times New Roman" w:hAnsi="Cambria"/>
      <w:b/>
      <w:bCs/>
      <w:sz w:val="22"/>
      <w:szCs w:val="22"/>
      <w:lang w:val="en-US"/>
    </w:rPr>
  </w:style>
  <w:style w:type="character" w:customStyle="1" w:styleId="Heading7Char">
    <w:name w:val="Heading 7 Char"/>
    <w:basedOn w:val="DefaultParagraphFont"/>
    <w:link w:val="Heading7"/>
    <w:rsid w:val="005875E7"/>
    <w:rPr>
      <w:rFonts w:ascii="Cambria" w:eastAsia="Times New Roman" w:hAnsi="Cambria"/>
      <w:sz w:val="24"/>
      <w:szCs w:val="24"/>
      <w:lang w:val="en-US"/>
    </w:rPr>
  </w:style>
  <w:style w:type="character" w:customStyle="1" w:styleId="Heading8Char">
    <w:name w:val="Heading 8 Char"/>
    <w:basedOn w:val="DefaultParagraphFont"/>
    <w:link w:val="Heading8"/>
    <w:rsid w:val="005875E7"/>
    <w:rPr>
      <w:rFonts w:ascii="Cambria" w:eastAsia="Times New Roman" w:hAnsi="Cambria"/>
      <w:i/>
      <w:iCs/>
      <w:sz w:val="24"/>
      <w:szCs w:val="24"/>
      <w:lang w:val="en-US"/>
    </w:rPr>
  </w:style>
  <w:style w:type="character" w:customStyle="1" w:styleId="Heading9Char">
    <w:name w:val="Heading 9 Char"/>
    <w:basedOn w:val="DefaultParagraphFont"/>
    <w:link w:val="Heading9"/>
    <w:rsid w:val="005875E7"/>
    <w:rPr>
      <w:rFonts w:eastAsia="Times New Roman"/>
      <w:sz w:val="22"/>
      <w:szCs w:val="22"/>
      <w:lang w:val="en-US"/>
    </w:rPr>
  </w:style>
  <w:style w:type="paragraph" w:customStyle="1" w:styleId="E3Bullets">
    <w:name w:val="E3 Bullets"/>
    <w:basedOn w:val="E3BodyText"/>
    <w:link w:val="E3BulletsChar"/>
    <w:qFormat/>
    <w:rsid w:val="00EE1360"/>
    <w:pPr>
      <w:numPr>
        <w:numId w:val="3"/>
      </w:numPr>
      <w:spacing w:after="120"/>
      <w:ind w:left="227" w:hanging="227"/>
      <w:contextualSpacing/>
    </w:pPr>
  </w:style>
  <w:style w:type="character" w:customStyle="1" w:styleId="E3BulletsChar">
    <w:name w:val="E3 Bullets Char"/>
    <w:link w:val="E3Bullets"/>
    <w:rsid w:val="00EE1360"/>
    <w:rPr>
      <w:rFonts w:ascii="Georgia" w:hAnsi="Georgia" w:cs="Georgia"/>
      <w:color w:val="000000"/>
      <w:sz w:val="24"/>
      <w:szCs w:val="19"/>
      <w:lang w:val="en-US"/>
    </w:rPr>
  </w:style>
  <w:style w:type="paragraph" w:customStyle="1" w:styleId="E3BodyIntroductionText">
    <w:name w:val="E3 Body Introduction Text"/>
    <w:basedOn w:val="E3BodyText"/>
    <w:qFormat/>
    <w:rsid w:val="00EC181D"/>
    <w:pPr>
      <w:widowControl w:val="0"/>
      <w:spacing w:line="240" w:lineRule="auto"/>
    </w:pPr>
    <w:rPr>
      <w:i/>
      <w:iCs/>
    </w:rPr>
  </w:style>
  <w:style w:type="character" w:styleId="CommentReference">
    <w:name w:val="annotation reference"/>
    <w:unhideWhenUsed/>
    <w:rsid w:val="00B729A0"/>
    <w:rPr>
      <w:sz w:val="20"/>
      <w:szCs w:val="16"/>
    </w:rPr>
  </w:style>
  <w:style w:type="paragraph" w:styleId="CommentText">
    <w:name w:val="annotation text"/>
    <w:basedOn w:val="Normal"/>
    <w:link w:val="CommentTextChar"/>
    <w:uiPriority w:val="99"/>
    <w:unhideWhenUsed/>
    <w:rsid w:val="006715E4"/>
    <w:pPr>
      <w:spacing w:after="200" w:line="240" w:lineRule="auto"/>
    </w:pPr>
    <w:rPr>
      <w:rFonts w:ascii="Cambria" w:hAnsi="Cambria"/>
      <w:sz w:val="20"/>
      <w:szCs w:val="20"/>
    </w:rPr>
  </w:style>
  <w:style w:type="character" w:customStyle="1" w:styleId="CommentTextChar">
    <w:name w:val="Comment Text Char"/>
    <w:link w:val="CommentText"/>
    <w:uiPriority w:val="99"/>
    <w:rsid w:val="006715E4"/>
    <w:rPr>
      <w:rFonts w:ascii="Cambria" w:eastAsia="Cambria" w:hAnsi="Cambria" w:cs="Times New Roman"/>
      <w:sz w:val="20"/>
      <w:szCs w:val="20"/>
      <w:lang w:val="en-AU"/>
    </w:rPr>
  </w:style>
  <w:style w:type="paragraph" w:customStyle="1" w:styleId="E3ChapterTitle">
    <w:name w:val="E3 Chapter Title"/>
    <w:basedOn w:val="Heading1"/>
    <w:next w:val="E3BodyText"/>
    <w:qFormat/>
    <w:rsid w:val="0075032B"/>
    <w:pPr>
      <w:numPr>
        <w:numId w:val="0"/>
      </w:numPr>
      <w:spacing w:before="120" w:after="1440"/>
      <w:ind w:left="567"/>
    </w:pPr>
    <w:rPr>
      <w:color w:val="FFFFFF" w:themeColor="background1"/>
    </w:rPr>
  </w:style>
  <w:style w:type="paragraph" w:customStyle="1" w:styleId="E3CoverFooter">
    <w:name w:val="E3 Cover Footer"/>
    <w:basedOn w:val="Normal"/>
    <w:qFormat/>
    <w:rsid w:val="006715E4"/>
    <w:rPr>
      <w:rFonts w:ascii="Helvetica" w:hAnsi="Helvetica"/>
      <w:b/>
      <w:color w:val="808080"/>
      <w:sz w:val="24"/>
    </w:rPr>
  </w:style>
  <w:style w:type="paragraph" w:styleId="FootnoteText">
    <w:name w:val="footnote text"/>
    <w:aliases w:val="(NECG) Footnote Text,Footnote Text1 Char,Footnote Text Char Ch,ALTS FOOTNOTE,AR Footnote Text,Footnote, Char,Char"/>
    <w:basedOn w:val="E3BodyText"/>
    <w:link w:val="FootnoteTextChar"/>
    <w:uiPriority w:val="99"/>
    <w:qFormat/>
    <w:rsid w:val="00B729A0"/>
    <w:pPr>
      <w:spacing w:after="0"/>
    </w:pPr>
    <w:rPr>
      <w:color w:val="000000" w:themeColor="text1"/>
      <w:sz w:val="19"/>
    </w:rPr>
  </w:style>
  <w:style w:type="character" w:customStyle="1" w:styleId="FootnoteTextChar">
    <w:name w:val="Footnote Text Char"/>
    <w:aliases w:val="(NECG) Footnote Text Char,Footnote Text1 Char Char,Footnote Text Char Ch Char,ALTS FOOTNOTE Char,AR Footnote Text Char,Footnote Char, Char Char,Char Char"/>
    <w:link w:val="FootnoteText"/>
    <w:uiPriority w:val="99"/>
    <w:rsid w:val="00B729A0"/>
    <w:rPr>
      <w:rFonts w:ascii="Georgia" w:hAnsi="Georgia" w:cs="Georgia"/>
      <w:color w:val="000000" w:themeColor="text1"/>
      <w:sz w:val="19"/>
      <w:szCs w:val="19"/>
      <w:lang w:val="en-US"/>
    </w:rPr>
  </w:style>
  <w:style w:type="paragraph" w:customStyle="1" w:styleId="E3FootnoteText">
    <w:name w:val="E3 Footnote Text"/>
    <w:basedOn w:val="FootnoteText"/>
    <w:qFormat/>
    <w:rsid w:val="00324B50"/>
    <w:rPr>
      <w:sz w:val="20"/>
    </w:rPr>
  </w:style>
  <w:style w:type="paragraph" w:customStyle="1" w:styleId="E3Heading3">
    <w:name w:val="E3 Heading 3"/>
    <w:basedOn w:val="Heading2"/>
    <w:next w:val="Normal"/>
    <w:qFormat/>
    <w:rsid w:val="00097ED5"/>
    <w:pPr>
      <w:keepNext w:val="0"/>
      <w:spacing w:before="0"/>
    </w:pPr>
    <w:rPr>
      <w:rFonts w:ascii="Georgia" w:hAnsi="Georgia" w:cs="Georgia"/>
      <w:bCs w:val="0"/>
      <w:color w:val="DA001D" w:themeColor="accent2"/>
      <w:sz w:val="28"/>
      <w:szCs w:val="22"/>
    </w:rPr>
  </w:style>
  <w:style w:type="paragraph" w:customStyle="1" w:styleId="E3SubBullets">
    <w:name w:val="E3 Sub Bullets"/>
    <w:basedOn w:val="E3Bullets"/>
    <w:qFormat/>
    <w:rsid w:val="008424FC"/>
    <w:pPr>
      <w:numPr>
        <w:numId w:val="2"/>
      </w:numPr>
      <w:ind w:left="488" w:hanging="244"/>
    </w:pPr>
  </w:style>
  <w:style w:type="paragraph" w:styleId="Subtitle">
    <w:name w:val="Subtitle"/>
    <w:basedOn w:val="Normal"/>
    <w:next w:val="Normal"/>
    <w:link w:val="SubtitleChar"/>
    <w:qFormat/>
    <w:rsid w:val="006715E4"/>
    <w:rPr>
      <w:rFonts w:ascii="Helvetica" w:hAnsi="Helvetica"/>
      <w:b/>
      <w:sz w:val="24"/>
    </w:rPr>
  </w:style>
  <w:style w:type="character" w:customStyle="1" w:styleId="SubtitleChar">
    <w:name w:val="Subtitle Char"/>
    <w:link w:val="Subtitle"/>
    <w:rsid w:val="006715E4"/>
    <w:rPr>
      <w:rFonts w:ascii="Helvetica" w:eastAsia="Cambria" w:hAnsi="Helvetica" w:cs="Times New Roman"/>
      <w:b/>
      <w:sz w:val="24"/>
      <w:szCs w:val="24"/>
    </w:rPr>
  </w:style>
  <w:style w:type="paragraph" w:customStyle="1" w:styleId="E3Subtitle">
    <w:name w:val="E3 Sub title"/>
    <w:qFormat/>
    <w:rsid w:val="00675EFD"/>
    <w:pPr>
      <w:spacing w:after="200" w:line="276" w:lineRule="auto"/>
    </w:pPr>
    <w:rPr>
      <w:rFonts w:ascii="Helvetica" w:eastAsia="Cambria" w:hAnsi="Helvetica"/>
      <w:b/>
      <w:sz w:val="24"/>
      <w:szCs w:val="24"/>
    </w:rPr>
  </w:style>
  <w:style w:type="paragraph" w:customStyle="1" w:styleId="E3Title">
    <w:name w:val="E3 Title"/>
    <w:basedOn w:val="Normal"/>
    <w:qFormat/>
    <w:rsid w:val="00FA58C1"/>
    <w:pPr>
      <w:spacing w:after="0"/>
    </w:pPr>
    <w:rPr>
      <w:rFonts w:ascii="Helvetica" w:hAnsi="Helvetica"/>
      <w:b/>
      <w:color w:val="F2F2F2"/>
      <w:sz w:val="60"/>
    </w:rPr>
  </w:style>
  <w:style w:type="paragraph" w:styleId="Title">
    <w:name w:val="Title"/>
    <w:basedOn w:val="Heading1"/>
    <w:next w:val="Normal"/>
    <w:link w:val="TitleChar"/>
    <w:qFormat/>
    <w:rsid w:val="006715E4"/>
    <w:pPr>
      <w:numPr>
        <w:numId w:val="0"/>
      </w:numPr>
    </w:pPr>
  </w:style>
  <w:style w:type="character" w:customStyle="1" w:styleId="TitleChar">
    <w:name w:val="Title Char"/>
    <w:link w:val="Title"/>
    <w:rsid w:val="006715E4"/>
    <w:rPr>
      <w:rFonts w:ascii="Helvetica" w:eastAsia="Times New Roman" w:hAnsi="Helvetica" w:cs="Times New Roman"/>
      <w:b/>
      <w:bCs/>
      <w:color w:val="F2F2F2"/>
      <w:sz w:val="40"/>
      <w:szCs w:val="32"/>
    </w:rPr>
  </w:style>
  <w:style w:type="paragraph" w:customStyle="1" w:styleId="E3TOCTitle">
    <w:name w:val="E3 TOC Title"/>
    <w:basedOn w:val="Title"/>
    <w:rsid w:val="006715E4"/>
  </w:style>
  <w:style w:type="paragraph" w:customStyle="1" w:styleId="E3Underline">
    <w:name w:val="E3 Underline"/>
    <w:basedOn w:val="E3BodyText"/>
    <w:qFormat/>
    <w:rsid w:val="00324B50"/>
    <w:pPr>
      <w:tabs>
        <w:tab w:val="left" w:pos="480"/>
      </w:tabs>
    </w:pPr>
    <w:rPr>
      <w:b/>
      <w:i/>
      <w:u w:val="single"/>
    </w:rPr>
  </w:style>
  <w:style w:type="paragraph" w:styleId="Footer">
    <w:name w:val="footer"/>
    <w:basedOn w:val="E3BodyText"/>
    <w:link w:val="FooterChar"/>
    <w:uiPriority w:val="99"/>
    <w:unhideWhenUsed/>
    <w:rsid w:val="00B729A0"/>
    <w:pPr>
      <w:tabs>
        <w:tab w:val="center" w:pos="4320"/>
        <w:tab w:val="right" w:pos="8640"/>
      </w:tabs>
      <w:spacing w:after="0" w:line="240" w:lineRule="auto"/>
      <w:jc w:val="right"/>
    </w:pPr>
    <w:rPr>
      <w:rFonts w:ascii="Helvetica" w:hAnsi="Helvetica"/>
      <w:b/>
      <w:sz w:val="20"/>
    </w:rPr>
  </w:style>
  <w:style w:type="character" w:customStyle="1" w:styleId="FooterChar">
    <w:name w:val="Footer Char"/>
    <w:link w:val="Footer"/>
    <w:uiPriority w:val="99"/>
    <w:rsid w:val="00B729A0"/>
    <w:rPr>
      <w:rFonts w:ascii="Helvetica" w:hAnsi="Helvetica" w:cs="Georgia"/>
      <w:b/>
      <w:color w:val="000000"/>
      <w:szCs w:val="19"/>
      <w:lang w:val="en-US"/>
    </w:rPr>
  </w:style>
  <w:style w:type="character" w:styleId="FootnoteReference">
    <w:name w:val="footnote reference"/>
    <w:aliases w:val="(NECG) Footnote Reference,EN Footnote Reference,SUPERS,number"/>
    <w:uiPriority w:val="99"/>
    <w:rsid w:val="006715E4"/>
    <w:rPr>
      <w:vertAlign w:val="superscript"/>
    </w:rPr>
  </w:style>
  <w:style w:type="character" w:styleId="Hyperlink">
    <w:name w:val="Hyperlink"/>
    <w:uiPriority w:val="99"/>
    <w:unhideWhenUsed/>
    <w:rsid w:val="00B729A0"/>
    <w:rPr>
      <w:color w:val="3366FF"/>
      <w:u w:val="single"/>
    </w:rPr>
  </w:style>
  <w:style w:type="character" w:styleId="PageNumber">
    <w:name w:val="page number"/>
    <w:rsid w:val="00324B50"/>
    <w:rPr>
      <w:rFonts w:ascii="Georgia" w:hAnsi="Georgia"/>
      <w:b/>
      <w:i/>
      <w:sz w:val="20"/>
    </w:rPr>
  </w:style>
  <w:style w:type="table" w:styleId="TableGrid">
    <w:name w:val="Table Grid"/>
    <w:basedOn w:val="TableNormal"/>
    <w:uiPriority w:val="59"/>
    <w:rsid w:val="006715E4"/>
    <w:pPr>
      <w:spacing w:before="40" w:after="40"/>
    </w:pPr>
    <w:rPr>
      <w:rFonts w:ascii="Helvetica Neue Light" w:eastAsia="Times New Roman" w:hAnsi="Helvetica Neue Light"/>
      <w:sz w:val="17"/>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3TableHeading">
    <w:name w:val="E3 Table Heading"/>
    <w:basedOn w:val="E3BodyText"/>
    <w:qFormat/>
    <w:locked/>
    <w:rsid w:val="00EC181D"/>
    <w:pPr>
      <w:spacing w:before="60" w:after="60" w:line="240" w:lineRule="auto"/>
    </w:pPr>
    <w:rPr>
      <w:rFonts w:ascii="Helvetica" w:eastAsia="Times New Roman" w:hAnsi="Helvetica" w:cs="Helvetica"/>
      <w:b/>
      <w:color w:val="FFFFFF" w:themeColor="background1"/>
      <w:sz w:val="22"/>
      <w:szCs w:val="14"/>
    </w:rPr>
  </w:style>
  <w:style w:type="paragraph" w:styleId="TableofAuthorities">
    <w:name w:val="table of authorities"/>
    <w:basedOn w:val="Normal"/>
    <w:next w:val="Normal"/>
    <w:rsid w:val="006715E4"/>
    <w:pPr>
      <w:spacing w:after="0"/>
      <w:ind w:left="190" w:hanging="190"/>
    </w:pPr>
  </w:style>
  <w:style w:type="paragraph" w:styleId="TableofFigures">
    <w:name w:val="table of figures"/>
    <w:basedOn w:val="E3BodyText"/>
    <w:next w:val="Normal"/>
    <w:uiPriority w:val="99"/>
    <w:rsid w:val="00FE2A2F"/>
    <w:pPr>
      <w:spacing w:after="0"/>
    </w:pPr>
  </w:style>
  <w:style w:type="paragraph" w:customStyle="1" w:styleId="E3TableSubHeading">
    <w:name w:val="E3 Table Sub Heading"/>
    <w:basedOn w:val="E3TableHeading"/>
    <w:qFormat/>
    <w:locked/>
    <w:rsid w:val="00EC181D"/>
    <w:rPr>
      <w:rFonts w:ascii="Georgia" w:hAnsi="Georgia"/>
      <w:b w:val="0"/>
      <w:color w:val="000000" w:themeColor="text1"/>
    </w:rPr>
  </w:style>
  <w:style w:type="paragraph" w:customStyle="1" w:styleId="E3Tabletext">
    <w:name w:val="E3 Table text"/>
    <w:basedOn w:val="E3BodyText"/>
    <w:autoRedefine/>
    <w:qFormat/>
    <w:locked/>
    <w:rsid w:val="00EC181D"/>
    <w:pPr>
      <w:tabs>
        <w:tab w:val="left" w:pos="3293"/>
      </w:tabs>
      <w:spacing w:before="60" w:after="60"/>
      <w:ind w:left="35"/>
      <w:jc w:val="center"/>
    </w:pPr>
    <w:rPr>
      <w:rFonts w:eastAsia="Times New Roman"/>
      <w:sz w:val="20"/>
      <w:szCs w:val="14"/>
    </w:rPr>
  </w:style>
  <w:style w:type="paragraph" w:styleId="TOC1">
    <w:name w:val="toc 1"/>
    <w:basedOn w:val="E3BodyText"/>
    <w:next w:val="TOC2"/>
    <w:autoRedefine/>
    <w:uiPriority w:val="39"/>
    <w:rsid w:val="00B729A0"/>
    <w:pPr>
      <w:widowControl w:val="0"/>
      <w:tabs>
        <w:tab w:val="right" w:leader="dot" w:pos="9629"/>
      </w:tabs>
      <w:spacing w:before="120" w:after="0" w:line="276" w:lineRule="auto"/>
    </w:pPr>
    <w:rPr>
      <w:rFonts w:ascii="Helvetica" w:hAnsi="Helvetica"/>
      <w:b/>
      <w:caps/>
      <w:color w:val="000000" w:themeColor="text1"/>
    </w:rPr>
  </w:style>
  <w:style w:type="paragraph" w:styleId="TOC2">
    <w:name w:val="toc 2"/>
    <w:basedOn w:val="E3BodyText"/>
    <w:next w:val="E3BodyText"/>
    <w:autoRedefine/>
    <w:uiPriority w:val="39"/>
    <w:rsid w:val="00B729A0"/>
    <w:pPr>
      <w:widowControl w:val="0"/>
      <w:spacing w:after="0" w:line="276" w:lineRule="auto"/>
      <w:ind w:left="200"/>
    </w:pPr>
    <w:rPr>
      <w:szCs w:val="22"/>
    </w:rPr>
  </w:style>
  <w:style w:type="paragraph" w:styleId="TOC3">
    <w:name w:val="toc 3"/>
    <w:basedOn w:val="TOC2"/>
    <w:next w:val="E3BodyText"/>
    <w:autoRedefine/>
    <w:uiPriority w:val="39"/>
    <w:rsid w:val="00B729A0"/>
    <w:pPr>
      <w:ind w:left="380"/>
    </w:pPr>
  </w:style>
  <w:style w:type="paragraph" w:styleId="TOC4">
    <w:name w:val="toc 4"/>
    <w:basedOn w:val="TOC3"/>
    <w:next w:val="Normal"/>
    <w:autoRedefine/>
    <w:uiPriority w:val="39"/>
    <w:unhideWhenUsed/>
    <w:rsid w:val="002A7F9E"/>
    <w:pPr>
      <w:ind w:left="567"/>
    </w:pPr>
    <w:rPr>
      <w:rFonts w:eastAsia="MS Mincho"/>
      <w:lang w:eastAsia="en-AU"/>
    </w:rPr>
  </w:style>
  <w:style w:type="paragraph" w:styleId="BalloonText">
    <w:name w:val="Balloon Text"/>
    <w:basedOn w:val="Normal"/>
    <w:link w:val="BalloonTextChar"/>
    <w:unhideWhenUsed/>
    <w:rsid w:val="00C30351"/>
    <w:pPr>
      <w:spacing w:after="0" w:line="240" w:lineRule="auto"/>
    </w:pPr>
    <w:rPr>
      <w:rFonts w:ascii="Tahoma" w:hAnsi="Tahoma" w:cs="Tahoma"/>
      <w:sz w:val="16"/>
      <w:szCs w:val="16"/>
    </w:rPr>
  </w:style>
  <w:style w:type="character" w:customStyle="1" w:styleId="BalloonTextChar">
    <w:name w:val="Balloon Text Char"/>
    <w:link w:val="BalloonText"/>
    <w:rsid w:val="00C30351"/>
    <w:rPr>
      <w:rFonts w:ascii="Tahoma" w:eastAsia="Cambria" w:hAnsi="Tahoma" w:cs="Tahoma"/>
      <w:sz w:val="16"/>
      <w:szCs w:val="16"/>
    </w:rPr>
  </w:style>
  <w:style w:type="paragraph" w:styleId="DocumentMap">
    <w:name w:val="Document Map"/>
    <w:basedOn w:val="Normal"/>
    <w:link w:val="DocumentMapChar"/>
    <w:uiPriority w:val="99"/>
    <w:unhideWhenUsed/>
    <w:rsid w:val="009E6B3E"/>
    <w:pPr>
      <w:spacing w:after="0" w:line="240" w:lineRule="auto"/>
    </w:pPr>
    <w:rPr>
      <w:rFonts w:ascii="Tahoma" w:hAnsi="Tahoma" w:cs="Tahoma"/>
      <w:sz w:val="16"/>
      <w:szCs w:val="16"/>
    </w:rPr>
  </w:style>
  <w:style w:type="character" w:customStyle="1" w:styleId="DocumentMapChar">
    <w:name w:val="Document Map Char"/>
    <w:link w:val="DocumentMap"/>
    <w:uiPriority w:val="99"/>
    <w:rsid w:val="009E6B3E"/>
    <w:rPr>
      <w:rFonts w:ascii="Tahoma" w:eastAsia="Cambria" w:hAnsi="Tahoma" w:cs="Tahoma"/>
      <w:sz w:val="16"/>
      <w:szCs w:val="16"/>
    </w:rPr>
  </w:style>
  <w:style w:type="paragraph" w:customStyle="1" w:styleId="E3TableTitles">
    <w:name w:val="E3 Table Titles"/>
    <w:basedOn w:val="E3BodyText"/>
    <w:qFormat/>
    <w:rsid w:val="00EC181D"/>
    <w:pPr>
      <w:spacing w:before="360" w:line="276" w:lineRule="auto"/>
    </w:pPr>
    <w:rPr>
      <w:rFonts w:eastAsia="Cambria"/>
      <w:b/>
      <w:bCs/>
      <w:sz w:val="21"/>
    </w:rPr>
  </w:style>
  <w:style w:type="paragraph" w:styleId="TOCHeading">
    <w:name w:val="TOC Heading"/>
    <w:basedOn w:val="E3TOCTitle"/>
    <w:next w:val="Normal"/>
    <w:uiPriority w:val="39"/>
    <w:unhideWhenUsed/>
    <w:qFormat/>
    <w:rsid w:val="00C2766B"/>
    <w:pPr>
      <w:spacing w:before="480" w:line="276" w:lineRule="auto"/>
      <w:outlineLvl w:val="9"/>
    </w:pPr>
    <w:rPr>
      <w:rFonts w:eastAsia="MS Gothic" w:cs="Helvetica"/>
      <w:color w:val="auto"/>
      <w:sz w:val="26"/>
      <w:szCs w:val="26"/>
    </w:rPr>
  </w:style>
  <w:style w:type="paragraph" w:customStyle="1" w:styleId="E3Figuretitles">
    <w:name w:val="E3 Figure titles"/>
    <w:uiPriority w:val="99"/>
    <w:qFormat/>
    <w:rsid w:val="00EC181D"/>
    <w:pPr>
      <w:spacing w:after="200" w:line="276" w:lineRule="auto"/>
    </w:pPr>
    <w:rPr>
      <w:rFonts w:ascii="Georgia" w:eastAsia="Cambria" w:hAnsi="Georgia"/>
      <w:b/>
      <w:bCs/>
      <w:lang w:val="en-US"/>
    </w:rPr>
  </w:style>
  <w:style w:type="paragraph" w:customStyle="1" w:styleId="E3SubSubBullets">
    <w:name w:val="E3 Sub Sub Bullets"/>
    <w:basedOn w:val="E3SubBullets"/>
    <w:qFormat/>
    <w:rsid w:val="0016451B"/>
    <w:pPr>
      <w:numPr>
        <w:numId w:val="4"/>
      </w:numPr>
    </w:pPr>
  </w:style>
  <w:style w:type="paragraph" w:customStyle="1" w:styleId="E3Caption">
    <w:name w:val="E3 Caption"/>
    <w:basedOn w:val="Normal"/>
    <w:qFormat/>
    <w:rsid w:val="00EE1360"/>
    <w:pPr>
      <w:spacing w:before="120" w:after="240" w:line="240" w:lineRule="auto"/>
    </w:pPr>
    <w:rPr>
      <w:bCs/>
      <w:i/>
      <w:sz w:val="20"/>
      <w:szCs w:val="16"/>
    </w:rPr>
  </w:style>
  <w:style w:type="character" w:styleId="FollowedHyperlink">
    <w:name w:val="FollowedHyperlink"/>
    <w:uiPriority w:val="99"/>
    <w:unhideWhenUsed/>
    <w:rsid w:val="00506349"/>
    <w:rPr>
      <w:color w:val="800080"/>
      <w:u w:val="single"/>
    </w:rPr>
  </w:style>
  <w:style w:type="paragraph" w:customStyle="1" w:styleId="E3BackCoverTitle">
    <w:name w:val="E3 Back Cover Title"/>
    <w:basedOn w:val="E3ChapterTitle"/>
    <w:rsid w:val="008D1179"/>
    <w:pPr>
      <w:spacing w:after="240"/>
      <w:jc w:val="center"/>
    </w:pPr>
    <w:rPr>
      <w:color w:val="F2F2F2" w:themeColor="background2"/>
      <w:sz w:val="32"/>
    </w:rPr>
  </w:style>
  <w:style w:type="paragraph" w:styleId="TOC5">
    <w:name w:val="toc 5"/>
    <w:basedOn w:val="TOC4"/>
    <w:next w:val="E3BodyText"/>
    <w:autoRedefine/>
    <w:uiPriority w:val="39"/>
    <w:unhideWhenUsed/>
    <w:rsid w:val="00B729A0"/>
    <w:pPr>
      <w:ind w:left="760"/>
    </w:pPr>
  </w:style>
  <w:style w:type="paragraph" w:styleId="TOC6">
    <w:name w:val="toc 6"/>
    <w:basedOn w:val="Normal"/>
    <w:next w:val="Normal"/>
    <w:autoRedefine/>
    <w:uiPriority w:val="39"/>
    <w:unhideWhenUsed/>
    <w:rsid w:val="005A16D8"/>
    <w:pPr>
      <w:ind w:left="950"/>
    </w:pPr>
  </w:style>
  <w:style w:type="paragraph" w:styleId="TOC7">
    <w:name w:val="toc 7"/>
    <w:basedOn w:val="Normal"/>
    <w:next w:val="Normal"/>
    <w:autoRedefine/>
    <w:uiPriority w:val="39"/>
    <w:unhideWhenUsed/>
    <w:rsid w:val="005A16D8"/>
    <w:pPr>
      <w:ind w:left="1140"/>
    </w:pPr>
  </w:style>
  <w:style w:type="paragraph" w:styleId="TOC8">
    <w:name w:val="toc 8"/>
    <w:basedOn w:val="Normal"/>
    <w:next w:val="Normal"/>
    <w:autoRedefine/>
    <w:uiPriority w:val="39"/>
    <w:unhideWhenUsed/>
    <w:rsid w:val="005A16D8"/>
    <w:pPr>
      <w:ind w:left="1330"/>
    </w:pPr>
  </w:style>
  <w:style w:type="paragraph" w:styleId="TOC9">
    <w:name w:val="toc 9"/>
    <w:basedOn w:val="Normal"/>
    <w:next w:val="Normal"/>
    <w:autoRedefine/>
    <w:uiPriority w:val="39"/>
    <w:unhideWhenUsed/>
    <w:rsid w:val="005A16D8"/>
    <w:pPr>
      <w:ind w:left="1520"/>
    </w:pPr>
  </w:style>
  <w:style w:type="paragraph" w:customStyle="1" w:styleId="E3MainIntro">
    <w:name w:val="E3 Main Intro"/>
    <w:basedOn w:val="Normal"/>
    <w:qFormat/>
    <w:rsid w:val="00324B50"/>
    <w:pPr>
      <w:widowControl w:val="0"/>
      <w:autoSpaceDE w:val="0"/>
      <w:autoSpaceDN w:val="0"/>
      <w:adjustRightInd w:val="0"/>
      <w:spacing w:line="240" w:lineRule="auto"/>
    </w:pPr>
    <w:rPr>
      <w:rFonts w:ascii="Helvetica" w:eastAsia="Calibri" w:hAnsi="Helvetica" w:cs="Arial"/>
      <w:b/>
      <w:color w:val="000000"/>
      <w:sz w:val="24"/>
      <w:szCs w:val="19"/>
      <w:lang w:val="en-US"/>
    </w:rPr>
  </w:style>
  <w:style w:type="paragraph" w:styleId="NormalWeb">
    <w:name w:val="Normal (Web)"/>
    <w:basedOn w:val="Normal"/>
    <w:uiPriority w:val="99"/>
    <w:unhideWhenUsed/>
    <w:rsid w:val="00EC181D"/>
    <w:pPr>
      <w:spacing w:before="100" w:beforeAutospacing="1" w:after="100" w:afterAutospacing="1" w:line="240" w:lineRule="auto"/>
    </w:pPr>
    <w:rPr>
      <w:rFonts w:ascii="Times" w:eastAsia="Calibri" w:hAnsi="Times"/>
      <w:sz w:val="20"/>
      <w:szCs w:val="20"/>
    </w:rPr>
  </w:style>
  <w:style w:type="paragraph" w:styleId="Header">
    <w:name w:val="header"/>
    <w:basedOn w:val="Normal"/>
    <w:link w:val="HeaderChar"/>
    <w:uiPriority w:val="99"/>
    <w:unhideWhenUsed/>
    <w:rsid w:val="003C469D"/>
    <w:pPr>
      <w:tabs>
        <w:tab w:val="center" w:pos="4320"/>
        <w:tab w:val="right" w:pos="8640"/>
      </w:tabs>
      <w:spacing w:after="0" w:line="240" w:lineRule="auto"/>
    </w:pPr>
  </w:style>
  <w:style w:type="character" w:customStyle="1" w:styleId="HeaderChar">
    <w:name w:val="Header Char"/>
    <w:basedOn w:val="DefaultParagraphFont"/>
    <w:link w:val="Header"/>
    <w:uiPriority w:val="99"/>
    <w:rsid w:val="003C469D"/>
    <w:rPr>
      <w:rFonts w:ascii="Georgia" w:eastAsia="Cambria" w:hAnsi="Georgia"/>
      <w:sz w:val="19"/>
      <w:szCs w:val="24"/>
    </w:rPr>
  </w:style>
  <w:style w:type="paragraph" w:customStyle="1" w:styleId="E3InternalCoverPage">
    <w:name w:val="E3 Internal Cover Page"/>
    <w:basedOn w:val="Normal"/>
    <w:qFormat/>
    <w:rsid w:val="003C469D"/>
    <w:pPr>
      <w:tabs>
        <w:tab w:val="left" w:pos="5812"/>
      </w:tabs>
      <w:ind w:left="142" w:right="4110"/>
    </w:pPr>
    <w:rPr>
      <w:sz w:val="22"/>
    </w:rPr>
  </w:style>
  <w:style w:type="paragraph" w:styleId="Revision">
    <w:name w:val="Revision"/>
    <w:hidden/>
    <w:uiPriority w:val="99"/>
    <w:semiHidden/>
    <w:rsid w:val="00FA58C1"/>
    <w:rPr>
      <w:rFonts w:ascii="Georgia" w:eastAsia="Cambria" w:hAnsi="Georgia"/>
      <w:sz w:val="19"/>
      <w:szCs w:val="24"/>
    </w:rPr>
  </w:style>
  <w:style w:type="paragraph" w:customStyle="1" w:styleId="E3Note">
    <w:name w:val="E3 Note"/>
    <w:basedOn w:val="Normal"/>
    <w:next w:val="E3BodyText"/>
    <w:qFormat/>
    <w:rsid w:val="00097ED5"/>
    <w:pPr>
      <w:pBdr>
        <w:top w:val="single" w:sz="4" w:space="10" w:color="FF0000"/>
        <w:bottom w:val="single" w:sz="4" w:space="10" w:color="FF0000"/>
      </w:pBdr>
      <w:ind w:left="851" w:hanging="851"/>
      <w:jc w:val="both"/>
    </w:pPr>
    <w:rPr>
      <w:sz w:val="22"/>
    </w:rPr>
  </w:style>
  <w:style w:type="paragraph" w:styleId="Caption">
    <w:name w:val="caption"/>
    <w:basedOn w:val="Normal"/>
    <w:next w:val="Normal"/>
    <w:unhideWhenUsed/>
    <w:qFormat/>
    <w:rsid w:val="009C765E"/>
    <w:pPr>
      <w:spacing w:after="200" w:line="240" w:lineRule="auto"/>
    </w:pPr>
    <w:rPr>
      <w:b/>
      <w:bCs/>
      <w:color w:val="C1001A" w:themeColor="accent1"/>
      <w:sz w:val="18"/>
      <w:szCs w:val="18"/>
    </w:rPr>
  </w:style>
  <w:style w:type="paragraph" w:customStyle="1" w:styleId="E3tabletext1">
    <w:name w:val="E3 tabletext1"/>
    <w:basedOn w:val="Normal"/>
    <w:link w:val="E3tabletext1Char"/>
    <w:qFormat/>
    <w:rsid w:val="000B53C0"/>
    <w:pPr>
      <w:tabs>
        <w:tab w:val="left" w:pos="3293"/>
      </w:tabs>
      <w:spacing w:before="60" w:after="60" w:line="240" w:lineRule="auto"/>
      <w:ind w:left="35"/>
      <w:jc w:val="center"/>
    </w:pPr>
    <w:rPr>
      <w:rFonts w:eastAsia="Times New Roman"/>
      <w:sz w:val="14"/>
      <w:szCs w:val="14"/>
      <w:lang w:eastAsia="en-AU"/>
    </w:rPr>
  </w:style>
  <w:style w:type="character" w:customStyle="1" w:styleId="E3tabletext1Char">
    <w:name w:val="E3 tabletext1 Char"/>
    <w:basedOn w:val="DefaultParagraphFont"/>
    <w:link w:val="E3tabletext1"/>
    <w:rsid w:val="000B53C0"/>
    <w:rPr>
      <w:rFonts w:ascii="Georgia" w:eastAsia="Times New Roman" w:hAnsi="Georgia"/>
      <w:sz w:val="14"/>
      <w:szCs w:val="14"/>
      <w:lang w:eastAsia="en-AU"/>
    </w:rPr>
  </w:style>
  <w:style w:type="paragraph" w:customStyle="1" w:styleId="bullet0">
    <w:name w:val="bullet"/>
    <w:basedOn w:val="Normal"/>
    <w:rsid w:val="000B53C0"/>
    <w:pPr>
      <w:numPr>
        <w:numId w:val="5"/>
      </w:numPr>
      <w:spacing w:after="0" w:line="240" w:lineRule="auto"/>
    </w:pPr>
    <w:rPr>
      <w:rFonts w:ascii="Times New Roman" w:eastAsia="Times New Roman" w:hAnsi="Times New Roman"/>
      <w:sz w:val="24"/>
      <w:lang w:val="en-US"/>
    </w:rPr>
  </w:style>
  <w:style w:type="paragraph" w:customStyle="1" w:styleId="Bullets-Major">
    <w:name w:val="Bullets - Major"/>
    <w:basedOn w:val="Normal"/>
    <w:rsid w:val="000B53C0"/>
    <w:pPr>
      <w:numPr>
        <w:numId w:val="6"/>
      </w:numPr>
      <w:overflowPunct w:val="0"/>
      <w:autoSpaceDE w:val="0"/>
      <w:autoSpaceDN w:val="0"/>
      <w:adjustRightInd w:val="0"/>
      <w:spacing w:before="240" w:after="0" w:line="252" w:lineRule="auto"/>
      <w:ind w:left="567" w:hanging="567"/>
      <w:jc w:val="both"/>
      <w:textAlignment w:val="baseline"/>
    </w:pPr>
    <w:rPr>
      <w:rFonts w:ascii="Garamond" w:eastAsia="Times" w:hAnsi="Garamond"/>
      <w:sz w:val="26"/>
      <w:szCs w:val="20"/>
    </w:rPr>
  </w:style>
  <w:style w:type="paragraph" w:styleId="ListParagraph">
    <w:name w:val="List Paragraph"/>
    <w:basedOn w:val="Normal"/>
    <w:uiPriority w:val="34"/>
    <w:qFormat/>
    <w:rsid w:val="005875E7"/>
    <w:pPr>
      <w:ind w:left="720"/>
      <w:contextualSpacing/>
    </w:pPr>
  </w:style>
  <w:style w:type="character" w:customStyle="1" w:styleId="Bold">
    <w:name w:val="Bold"/>
    <w:basedOn w:val="DefaultParagraphFont"/>
    <w:rsid w:val="005875E7"/>
    <w:rPr>
      <w:rFonts w:ascii="Georgia" w:hAnsi="Georgia"/>
      <w:b/>
    </w:rPr>
  </w:style>
  <w:style w:type="paragraph" w:styleId="ListBullet">
    <w:name w:val="List Bullet"/>
    <w:basedOn w:val="Normal"/>
    <w:rsid w:val="005875E7"/>
    <w:pPr>
      <w:tabs>
        <w:tab w:val="num" w:pos="360"/>
      </w:tabs>
      <w:ind w:left="360" w:hanging="360"/>
      <w:contextualSpacing/>
    </w:pPr>
  </w:style>
  <w:style w:type="paragraph" w:customStyle="1" w:styleId="TextBox">
    <w:name w:val="Text Box"/>
    <w:basedOn w:val="Normal"/>
    <w:rsid w:val="005875E7"/>
    <w:pPr>
      <w:spacing w:before="40"/>
    </w:pPr>
    <w:rPr>
      <w:rFonts w:eastAsia="Times New Roman"/>
      <w:szCs w:val="20"/>
    </w:rPr>
  </w:style>
  <w:style w:type="paragraph" w:styleId="IntenseQuote">
    <w:name w:val="Intense Quote"/>
    <w:basedOn w:val="Normal"/>
    <w:next w:val="Normal"/>
    <w:link w:val="IntenseQuoteChar"/>
    <w:uiPriority w:val="30"/>
    <w:qFormat/>
    <w:rsid w:val="005875E7"/>
    <w:pPr>
      <w:pBdr>
        <w:bottom w:val="single" w:sz="4" w:space="4" w:color="C1001A"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5875E7"/>
    <w:rPr>
      <w:rFonts w:ascii="Georgia" w:eastAsia="Cambria" w:hAnsi="Georgia"/>
      <w:b/>
      <w:bCs/>
      <w:i/>
      <w:iCs/>
      <w:sz w:val="19"/>
      <w:szCs w:val="24"/>
    </w:rPr>
  </w:style>
  <w:style w:type="character" w:styleId="IntenseEmphasis">
    <w:name w:val="Intense Emphasis"/>
    <w:basedOn w:val="DefaultParagraphFont"/>
    <w:uiPriority w:val="21"/>
    <w:qFormat/>
    <w:rsid w:val="005875E7"/>
    <w:rPr>
      <w:b/>
      <w:bCs/>
      <w:i/>
      <w:iCs/>
      <w:color w:val="auto"/>
    </w:rPr>
  </w:style>
  <w:style w:type="character" w:customStyle="1" w:styleId="t">
    <w:name w:val="t"/>
    <w:basedOn w:val="DefaultParagraphFont"/>
    <w:rsid w:val="005875E7"/>
  </w:style>
  <w:style w:type="paragraph" w:customStyle="1" w:styleId="Bullet">
    <w:name w:val="Bullet"/>
    <w:basedOn w:val="Normal"/>
    <w:link w:val="BulletChar"/>
    <w:rsid w:val="005875E7"/>
    <w:pPr>
      <w:numPr>
        <w:numId w:val="21"/>
      </w:numPr>
      <w:spacing w:before="60" w:after="60" w:line="320" w:lineRule="atLeast"/>
      <w:jc w:val="both"/>
    </w:pPr>
    <w:rPr>
      <w:rFonts w:ascii="Book Antiqua" w:eastAsia="Times New Roman" w:hAnsi="Book Antiqua"/>
      <w:sz w:val="22"/>
      <w:szCs w:val="20"/>
      <w:lang w:eastAsia="zh-CN"/>
    </w:rPr>
  </w:style>
  <w:style w:type="character" w:customStyle="1" w:styleId="BulletChar">
    <w:name w:val="Bullet Char"/>
    <w:basedOn w:val="DefaultParagraphFont"/>
    <w:link w:val="Bullet"/>
    <w:rsid w:val="005875E7"/>
    <w:rPr>
      <w:rFonts w:ascii="Book Antiqua" w:eastAsia="Times New Roman" w:hAnsi="Book Antiqua"/>
      <w:sz w:val="22"/>
      <w:lang w:eastAsia="zh-CN"/>
    </w:rPr>
  </w:style>
  <w:style w:type="paragraph" w:styleId="NoSpacing">
    <w:name w:val="No Spacing"/>
    <w:link w:val="NoSpacingChar"/>
    <w:qFormat/>
    <w:rsid w:val="005875E7"/>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rsid w:val="005875E7"/>
    <w:rPr>
      <w:rFonts w:ascii="PMingLiU" w:eastAsiaTheme="minorEastAsia" w:hAnsi="PMingLiU" w:cstheme="minorBidi"/>
      <w:sz w:val="22"/>
      <w:szCs w:val="22"/>
      <w:lang w:val="en-US"/>
    </w:rPr>
  </w:style>
  <w:style w:type="paragraph" w:styleId="Date">
    <w:name w:val="Date"/>
    <w:basedOn w:val="Normal"/>
    <w:next w:val="Normal"/>
    <w:link w:val="DateChar"/>
    <w:uiPriority w:val="1"/>
    <w:rsid w:val="005875E7"/>
    <w:pPr>
      <w:spacing w:after="0" w:line="276" w:lineRule="auto"/>
      <w:jc w:val="right"/>
    </w:pPr>
    <w:rPr>
      <w:rFonts w:asciiTheme="minorHAnsi" w:eastAsiaTheme="minorEastAsia" w:hAnsiTheme="minorHAnsi" w:cstheme="minorBidi"/>
      <w:color w:val="C1001A" w:themeColor="accent1"/>
      <w:sz w:val="24"/>
      <w:lang w:val="en-US"/>
    </w:rPr>
  </w:style>
  <w:style w:type="character" w:customStyle="1" w:styleId="DateChar">
    <w:name w:val="Date Char"/>
    <w:basedOn w:val="DefaultParagraphFont"/>
    <w:link w:val="Date"/>
    <w:uiPriority w:val="1"/>
    <w:rsid w:val="005875E7"/>
    <w:rPr>
      <w:rFonts w:asciiTheme="minorHAnsi" w:eastAsiaTheme="minorEastAsia" w:hAnsiTheme="minorHAnsi" w:cstheme="minorBidi"/>
      <w:color w:val="C1001A" w:themeColor="accent1"/>
      <w:sz w:val="24"/>
      <w:szCs w:val="24"/>
      <w:lang w:val="en-US"/>
    </w:rPr>
  </w:style>
  <w:style w:type="paragraph" w:customStyle="1" w:styleId="CDA-1">
    <w:name w:val="CDA - 1"/>
    <w:aliases w:val="2,3"/>
    <w:rsid w:val="005875E7"/>
    <w:pPr>
      <w:widowControl w:val="0"/>
      <w:spacing w:after="283" w:line="328" w:lineRule="atLeast"/>
      <w:ind w:left="567"/>
      <w:jc w:val="both"/>
    </w:pPr>
    <w:rPr>
      <w:rFonts w:ascii="TimesNewRomanPS" w:eastAsia="Times New Roman" w:hAnsi="TimesNewRomanPS"/>
      <w:snapToGrid w:val="0"/>
      <w:color w:val="000000"/>
      <w:sz w:val="24"/>
      <w:lang w:val="en-US"/>
    </w:rPr>
  </w:style>
  <w:style w:type="paragraph" w:styleId="CommentSubject">
    <w:name w:val="annotation subject"/>
    <w:basedOn w:val="CommentText"/>
    <w:next w:val="CommentText"/>
    <w:link w:val="CommentSubjectChar"/>
    <w:uiPriority w:val="99"/>
    <w:rsid w:val="005875E7"/>
    <w:pPr>
      <w:spacing w:after="0"/>
    </w:pPr>
    <w:rPr>
      <w:rFonts w:ascii="Times New Roman" w:eastAsia="Times New Roman" w:hAnsi="Times New Roman"/>
      <w:b/>
      <w:bCs/>
      <w:lang w:val="en-US"/>
    </w:rPr>
  </w:style>
  <w:style w:type="character" w:customStyle="1" w:styleId="CommentSubjectChar">
    <w:name w:val="Comment Subject Char"/>
    <w:basedOn w:val="CommentTextChar"/>
    <w:link w:val="CommentSubject"/>
    <w:uiPriority w:val="99"/>
    <w:rsid w:val="005875E7"/>
    <w:rPr>
      <w:rFonts w:ascii="Times New Roman" w:eastAsia="Times New Roman" w:hAnsi="Times New Roman" w:cs="Times New Roman"/>
      <w:b/>
      <w:bCs/>
      <w:sz w:val="20"/>
      <w:szCs w:val="20"/>
      <w:lang w:val="en-US"/>
    </w:rPr>
  </w:style>
  <w:style w:type="paragraph" w:customStyle="1" w:styleId="MediumList1-Accent61">
    <w:name w:val="Medium List 1 - Accent 61"/>
    <w:basedOn w:val="Normal"/>
    <w:uiPriority w:val="34"/>
    <w:rsid w:val="005875E7"/>
    <w:pPr>
      <w:spacing w:after="0" w:line="240" w:lineRule="auto"/>
      <w:ind w:left="720"/>
      <w:contextualSpacing/>
    </w:pPr>
    <w:rPr>
      <w:rFonts w:ascii="Cambria" w:hAnsi="Cambria"/>
      <w:sz w:val="24"/>
      <w:lang w:val="en-US"/>
    </w:rPr>
  </w:style>
  <w:style w:type="paragraph" w:customStyle="1" w:styleId="DarkList-Accent51">
    <w:name w:val="Dark List - Accent 51"/>
    <w:basedOn w:val="Normal"/>
    <w:rsid w:val="005875E7"/>
    <w:pPr>
      <w:spacing w:after="0" w:line="240" w:lineRule="auto"/>
      <w:ind w:left="720"/>
      <w:contextualSpacing/>
    </w:pPr>
    <w:rPr>
      <w:rFonts w:ascii="Cambria" w:hAnsi="Cambria"/>
      <w:sz w:val="24"/>
      <w:lang w:val="en-US"/>
    </w:rPr>
  </w:style>
  <w:style w:type="paragraph" w:styleId="Index1">
    <w:name w:val="index 1"/>
    <w:basedOn w:val="Normal"/>
    <w:next w:val="Normal"/>
    <w:autoRedefine/>
    <w:rsid w:val="005875E7"/>
    <w:pPr>
      <w:spacing w:after="0" w:line="240" w:lineRule="auto"/>
      <w:ind w:left="240" w:hanging="240"/>
    </w:pPr>
    <w:rPr>
      <w:rFonts w:ascii="Times New Roman" w:eastAsia="Times New Roman" w:hAnsi="Times New Roman"/>
      <w:sz w:val="24"/>
      <w:lang w:val="en-US"/>
    </w:rPr>
  </w:style>
  <w:style w:type="paragraph" w:styleId="Index2">
    <w:name w:val="index 2"/>
    <w:basedOn w:val="Normal"/>
    <w:next w:val="Normal"/>
    <w:autoRedefine/>
    <w:rsid w:val="005875E7"/>
    <w:pPr>
      <w:spacing w:after="0" w:line="240" w:lineRule="auto"/>
      <w:ind w:left="480" w:hanging="240"/>
    </w:pPr>
    <w:rPr>
      <w:rFonts w:ascii="Times New Roman" w:eastAsia="Times New Roman" w:hAnsi="Times New Roman"/>
      <w:sz w:val="24"/>
      <w:lang w:val="en-US"/>
    </w:rPr>
  </w:style>
  <w:style w:type="paragraph" w:styleId="Index3">
    <w:name w:val="index 3"/>
    <w:basedOn w:val="Normal"/>
    <w:next w:val="Normal"/>
    <w:autoRedefine/>
    <w:rsid w:val="005875E7"/>
    <w:pPr>
      <w:spacing w:after="0" w:line="240" w:lineRule="auto"/>
      <w:ind w:left="720" w:hanging="240"/>
    </w:pPr>
    <w:rPr>
      <w:rFonts w:ascii="Times New Roman" w:eastAsia="Times New Roman" w:hAnsi="Times New Roman"/>
      <w:sz w:val="24"/>
      <w:lang w:val="en-US"/>
    </w:rPr>
  </w:style>
  <w:style w:type="paragraph" w:styleId="Index4">
    <w:name w:val="index 4"/>
    <w:basedOn w:val="Normal"/>
    <w:next w:val="Normal"/>
    <w:autoRedefine/>
    <w:rsid w:val="005875E7"/>
    <w:pPr>
      <w:spacing w:after="0" w:line="240" w:lineRule="auto"/>
      <w:ind w:left="960" w:hanging="240"/>
    </w:pPr>
    <w:rPr>
      <w:rFonts w:ascii="Times New Roman" w:eastAsia="Times New Roman" w:hAnsi="Times New Roman"/>
      <w:sz w:val="24"/>
      <w:lang w:val="en-US"/>
    </w:rPr>
  </w:style>
  <w:style w:type="paragraph" w:styleId="Index5">
    <w:name w:val="index 5"/>
    <w:basedOn w:val="Normal"/>
    <w:next w:val="Normal"/>
    <w:autoRedefine/>
    <w:rsid w:val="005875E7"/>
    <w:pPr>
      <w:spacing w:after="0" w:line="240" w:lineRule="auto"/>
      <w:ind w:left="1200" w:hanging="240"/>
    </w:pPr>
    <w:rPr>
      <w:rFonts w:ascii="Times New Roman" w:eastAsia="Times New Roman" w:hAnsi="Times New Roman"/>
      <w:sz w:val="24"/>
      <w:lang w:val="en-US"/>
    </w:rPr>
  </w:style>
  <w:style w:type="paragraph" w:styleId="Index6">
    <w:name w:val="index 6"/>
    <w:basedOn w:val="Normal"/>
    <w:next w:val="Normal"/>
    <w:autoRedefine/>
    <w:rsid w:val="005875E7"/>
    <w:pPr>
      <w:spacing w:after="0" w:line="240" w:lineRule="auto"/>
      <w:ind w:left="1440" w:hanging="240"/>
    </w:pPr>
    <w:rPr>
      <w:rFonts w:ascii="Times New Roman" w:eastAsia="Times New Roman" w:hAnsi="Times New Roman"/>
      <w:sz w:val="24"/>
      <w:lang w:val="en-US"/>
    </w:rPr>
  </w:style>
  <w:style w:type="paragraph" w:styleId="Index7">
    <w:name w:val="index 7"/>
    <w:basedOn w:val="Normal"/>
    <w:next w:val="Normal"/>
    <w:autoRedefine/>
    <w:rsid w:val="005875E7"/>
    <w:pPr>
      <w:spacing w:after="0" w:line="240" w:lineRule="auto"/>
      <w:ind w:left="1680" w:hanging="240"/>
    </w:pPr>
    <w:rPr>
      <w:rFonts w:ascii="Times New Roman" w:eastAsia="Times New Roman" w:hAnsi="Times New Roman"/>
      <w:sz w:val="24"/>
      <w:lang w:val="en-US"/>
    </w:rPr>
  </w:style>
  <w:style w:type="paragraph" w:styleId="Index8">
    <w:name w:val="index 8"/>
    <w:basedOn w:val="Normal"/>
    <w:next w:val="Normal"/>
    <w:autoRedefine/>
    <w:rsid w:val="005875E7"/>
    <w:pPr>
      <w:spacing w:after="0" w:line="240" w:lineRule="auto"/>
      <w:ind w:left="1920" w:hanging="240"/>
    </w:pPr>
    <w:rPr>
      <w:rFonts w:ascii="Times New Roman" w:eastAsia="Times New Roman" w:hAnsi="Times New Roman"/>
      <w:sz w:val="24"/>
      <w:lang w:val="en-US"/>
    </w:rPr>
  </w:style>
  <w:style w:type="paragraph" w:styleId="Index9">
    <w:name w:val="index 9"/>
    <w:basedOn w:val="Normal"/>
    <w:next w:val="Normal"/>
    <w:autoRedefine/>
    <w:rsid w:val="005875E7"/>
    <w:pPr>
      <w:spacing w:after="0" w:line="240" w:lineRule="auto"/>
      <w:ind w:left="2160" w:hanging="240"/>
    </w:pPr>
    <w:rPr>
      <w:rFonts w:ascii="Times New Roman" w:eastAsia="Times New Roman" w:hAnsi="Times New Roman"/>
      <w:sz w:val="24"/>
      <w:lang w:val="en-US"/>
    </w:rPr>
  </w:style>
  <w:style w:type="paragraph" w:styleId="IndexHeading">
    <w:name w:val="index heading"/>
    <w:basedOn w:val="Normal"/>
    <w:next w:val="Index1"/>
    <w:rsid w:val="005875E7"/>
    <w:pPr>
      <w:spacing w:after="0" w:line="240" w:lineRule="auto"/>
    </w:pPr>
    <w:rPr>
      <w:rFonts w:ascii="Times New Roman" w:eastAsia="Times New Roman" w:hAnsi="Times New Roman"/>
      <w:sz w:val="24"/>
      <w:lang w:val="en-US"/>
    </w:rPr>
  </w:style>
  <w:style w:type="paragraph" w:customStyle="1" w:styleId="ColorfulShading-Accent31">
    <w:name w:val="Colorful Shading - Accent 31"/>
    <w:basedOn w:val="Normal"/>
    <w:rsid w:val="005875E7"/>
    <w:pPr>
      <w:spacing w:after="0" w:line="240" w:lineRule="auto"/>
      <w:ind w:left="720"/>
      <w:contextualSpacing/>
    </w:pPr>
    <w:rPr>
      <w:rFonts w:ascii="Cambria" w:hAnsi="Cambria"/>
      <w:sz w:val="24"/>
      <w:lang w:val="en-US"/>
    </w:rPr>
  </w:style>
  <w:style w:type="character" w:customStyle="1" w:styleId="BalloonTextChar1">
    <w:name w:val="Balloon Text Char1"/>
    <w:uiPriority w:val="99"/>
    <w:rsid w:val="005875E7"/>
    <w:rPr>
      <w:rFonts w:ascii="Tahoma" w:hAnsi="Tahoma" w:cs="Tahoma"/>
      <w:sz w:val="16"/>
      <w:szCs w:val="16"/>
      <w:lang w:val="en-US"/>
    </w:rPr>
  </w:style>
  <w:style w:type="paragraph" w:styleId="BodyText">
    <w:name w:val="Body Text"/>
    <w:basedOn w:val="Normal"/>
    <w:link w:val="BodyTextChar"/>
    <w:rsid w:val="005875E7"/>
    <w:pPr>
      <w:spacing w:after="120" w:line="240" w:lineRule="auto"/>
      <w:jc w:val="both"/>
    </w:pPr>
    <w:rPr>
      <w:rFonts w:ascii="Cambria" w:eastAsia="Times New Roman" w:hAnsi="Cambria"/>
      <w:sz w:val="22"/>
      <w:lang w:val="en-US"/>
    </w:rPr>
  </w:style>
  <w:style w:type="character" w:customStyle="1" w:styleId="BodyTextChar">
    <w:name w:val="Body Text Char"/>
    <w:basedOn w:val="DefaultParagraphFont"/>
    <w:link w:val="BodyText"/>
    <w:rsid w:val="005875E7"/>
    <w:rPr>
      <w:rFonts w:ascii="Cambria" w:eastAsia="Times New Roman" w:hAnsi="Cambria"/>
      <w:sz w:val="22"/>
      <w:szCs w:val="24"/>
      <w:lang w:val="en-US"/>
    </w:rPr>
  </w:style>
  <w:style w:type="paragraph" w:styleId="EndnoteText">
    <w:name w:val="endnote text"/>
    <w:basedOn w:val="Normal"/>
    <w:link w:val="EndnoteTextChar"/>
    <w:uiPriority w:val="99"/>
    <w:rsid w:val="005875E7"/>
    <w:pPr>
      <w:spacing w:after="0" w:line="240" w:lineRule="auto"/>
    </w:pPr>
    <w:rPr>
      <w:rFonts w:ascii="Times New Roman" w:eastAsia="Times New Roman" w:hAnsi="Times New Roman"/>
      <w:sz w:val="20"/>
      <w:szCs w:val="20"/>
      <w:lang w:val="en-US"/>
    </w:rPr>
  </w:style>
  <w:style w:type="character" w:customStyle="1" w:styleId="EndnoteTextChar">
    <w:name w:val="Endnote Text Char"/>
    <w:basedOn w:val="DefaultParagraphFont"/>
    <w:link w:val="EndnoteText"/>
    <w:uiPriority w:val="99"/>
    <w:rsid w:val="005875E7"/>
    <w:rPr>
      <w:rFonts w:ascii="Times New Roman" w:eastAsia="Times New Roman" w:hAnsi="Times New Roman"/>
      <w:lang w:val="en-US"/>
    </w:rPr>
  </w:style>
  <w:style w:type="character" w:styleId="EndnoteReference">
    <w:name w:val="endnote reference"/>
    <w:uiPriority w:val="99"/>
    <w:rsid w:val="005875E7"/>
    <w:rPr>
      <w:vertAlign w:val="superscript"/>
    </w:rPr>
  </w:style>
  <w:style w:type="character" w:customStyle="1" w:styleId="text">
    <w:name w:val="text"/>
    <w:rsid w:val="005875E7"/>
  </w:style>
  <w:style w:type="character" w:customStyle="1" w:styleId="comment-body">
    <w:name w:val="comment-body"/>
    <w:rsid w:val="005875E7"/>
  </w:style>
  <w:style w:type="paragraph" w:customStyle="1" w:styleId="summary">
    <w:name w:val="summary"/>
    <w:basedOn w:val="Normal"/>
    <w:rsid w:val="005875E7"/>
    <w:pPr>
      <w:spacing w:before="100" w:beforeAutospacing="1" w:after="100" w:afterAutospacing="1" w:line="240" w:lineRule="auto"/>
    </w:pPr>
    <w:rPr>
      <w:rFonts w:ascii="Times New Roman" w:eastAsia="Times New Roman" w:hAnsi="Times New Roman"/>
      <w:sz w:val="24"/>
      <w:lang w:eastAsia="en-AU"/>
    </w:rPr>
  </w:style>
  <w:style w:type="paragraph" w:customStyle="1" w:styleId="LSL2">
    <w:name w:val="LSL 2"/>
    <w:basedOn w:val="Normal"/>
    <w:rsid w:val="005875E7"/>
    <w:pPr>
      <w:keepNext/>
      <w:keepLines/>
      <w:numPr>
        <w:ilvl w:val="1"/>
        <w:numId w:val="22"/>
      </w:numPr>
      <w:spacing w:after="220" w:line="264" w:lineRule="auto"/>
    </w:pPr>
    <w:rPr>
      <w:rFonts w:ascii="Arial" w:eastAsia="Times New Roman" w:hAnsi="Arial"/>
      <w:b/>
      <w:sz w:val="22"/>
      <w:szCs w:val="20"/>
    </w:rPr>
  </w:style>
  <w:style w:type="paragraph" w:customStyle="1" w:styleId="LSL1">
    <w:name w:val="LSL 1"/>
    <w:basedOn w:val="Normal"/>
    <w:rsid w:val="005875E7"/>
    <w:pPr>
      <w:keepNext/>
      <w:keepLines/>
      <w:tabs>
        <w:tab w:val="num" w:pos="0"/>
      </w:tabs>
      <w:spacing w:after="220" w:line="264" w:lineRule="auto"/>
      <w:ind w:left="720" w:hanging="720"/>
    </w:pPr>
    <w:rPr>
      <w:rFonts w:ascii="Arial" w:eastAsia="Times New Roman" w:hAnsi="Arial"/>
      <w:b/>
      <w:sz w:val="26"/>
      <w:szCs w:val="20"/>
    </w:rPr>
  </w:style>
  <w:style w:type="paragraph" w:customStyle="1" w:styleId="LSL3">
    <w:name w:val="LSL 3"/>
    <w:basedOn w:val="Normal"/>
    <w:rsid w:val="005875E7"/>
    <w:pPr>
      <w:tabs>
        <w:tab w:val="num" w:pos="0"/>
      </w:tabs>
      <w:spacing w:after="220" w:line="264" w:lineRule="auto"/>
      <w:ind w:left="1440" w:hanging="720"/>
    </w:pPr>
    <w:rPr>
      <w:rFonts w:ascii="Times New Roman" w:eastAsia="Times New Roman" w:hAnsi="Times New Roman"/>
      <w:sz w:val="22"/>
      <w:szCs w:val="20"/>
    </w:rPr>
  </w:style>
  <w:style w:type="paragraph" w:customStyle="1" w:styleId="LSL4">
    <w:name w:val="LSL 4"/>
    <w:basedOn w:val="Normal"/>
    <w:rsid w:val="005875E7"/>
    <w:pPr>
      <w:tabs>
        <w:tab w:val="num" w:pos="0"/>
      </w:tabs>
      <w:spacing w:after="220" w:line="264" w:lineRule="auto"/>
      <w:ind w:left="2160" w:hanging="720"/>
    </w:pPr>
    <w:rPr>
      <w:rFonts w:ascii="Times New Roman" w:eastAsia="Times New Roman" w:hAnsi="Times New Roman"/>
      <w:sz w:val="22"/>
      <w:szCs w:val="20"/>
    </w:rPr>
  </w:style>
  <w:style w:type="paragraph" w:customStyle="1" w:styleId="LSL6">
    <w:name w:val="LSL 6"/>
    <w:basedOn w:val="Normal"/>
    <w:rsid w:val="005875E7"/>
    <w:pPr>
      <w:tabs>
        <w:tab w:val="num" w:pos="0"/>
      </w:tabs>
      <w:spacing w:after="220" w:line="264" w:lineRule="auto"/>
      <w:ind w:left="3312" w:hanging="432"/>
    </w:pPr>
    <w:rPr>
      <w:rFonts w:ascii="Times New Roman" w:eastAsia="Times New Roman" w:hAnsi="Times New Roman"/>
      <w:sz w:val="22"/>
      <w:szCs w:val="20"/>
    </w:rPr>
  </w:style>
  <w:style w:type="paragraph" w:customStyle="1" w:styleId="LSL5">
    <w:name w:val="LSL 5"/>
    <w:basedOn w:val="Normal"/>
    <w:rsid w:val="005875E7"/>
    <w:pPr>
      <w:tabs>
        <w:tab w:val="num" w:pos="0"/>
      </w:tabs>
      <w:spacing w:after="220" w:line="264" w:lineRule="auto"/>
      <w:ind w:left="2880" w:hanging="720"/>
    </w:pPr>
    <w:rPr>
      <w:rFonts w:ascii="Times New Roman" w:eastAsia="Times New Roman" w:hAnsi="Times New Roman"/>
      <w:sz w:val="22"/>
      <w:szCs w:val="20"/>
    </w:rPr>
  </w:style>
  <w:style w:type="paragraph" w:customStyle="1" w:styleId="ContactInformation">
    <w:name w:val="Contact Information"/>
    <w:basedOn w:val="Normal"/>
    <w:rsid w:val="005875E7"/>
    <w:pPr>
      <w:spacing w:before="40" w:after="0" w:line="220" w:lineRule="atLeast"/>
      <w:jc w:val="right"/>
    </w:pPr>
    <w:rPr>
      <w:rFonts w:ascii="Trebuchet MS" w:eastAsia="MS Gothic" w:hAnsi="Trebuchet MS"/>
      <w:color w:val="38ABED"/>
      <w:sz w:val="16"/>
      <w:szCs w:val="22"/>
      <w:lang w:val="en-US"/>
    </w:rPr>
  </w:style>
  <w:style w:type="character" w:customStyle="1" w:styleId="subtitle1">
    <w:name w:val="subtitle1"/>
    <w:basedOn w:val="DefaultParagraphFont"/>
    <w:rsid w:val="005875E7"/>
    <w:rPr>
      <w:b/>
      <w:bCs/>
      <w:color w:val="D12B2C"/>
      <w:sz w:val="23"/>
      <w:szCs w:val="23"/>
    </w:rPr>
  </w:style>
  <w:style w:type="paragraph" w:styleId="ListBullet2">
    <w:name w:val="List Bullet 2"/>
    <w:basedOn w:val="BodyText"/>
    <w:rsid w:val="005875E7"/>
    <w:pPr>
      <w:tabs>
        <w:tab w:val="num" w:pos="1418"/>
      </w:tabs>
      <w:spacing w:before="160" w:after="160" w:line="288" w:lineRule="auto"/>
      <w:ind w:left="1418" w:hanging="567"/>
    </w:pPr>
    <w:rPr>
      <w:rFonts w:ascii="Arial" w:eastAsia="SC STKaiti" w:hAnsi="Arial" w:cs="Arial"/>
      <w:sz w:val="20"/>
      <w:lang w:val="en-AU" w:eastAsia="zh-CN"/>
    </w:rPr>
  </w:style>
  <w:style w:type="paragraph" w:styleId="ListBullet3">
    <w:name w:val="List Bullet 3"/>
    <w:basedOn w:val="BodyText"/>
    <w:rsid w:val="005875E7"/>
    <w:pPr>
      <w:tabs>
        <w:tab w:val="num" w:pos="1985"/>
      </w:tabs>
      <w:spacing w:before="160" w:after="160" w:line="288" w:lineRule="auto"/>
      <w:ind w:left="1985" w:hanging="567"/>
    </w:pPr>
    <w:rPr>
      <w:rFonts w:ascii="Arial" w:eastAsia="SC STKaiti" w:hAnsi="Arial" w:cs="Arial"/>
      <w:sz w:val="20"/>
      <w:lang w:val="en-AU" w:eastAsia="zh-CN"/>
    </w:rPr>
  </w:style>
  <w:style w:type="paragraph" w:styleId="ListBullet4">
    <w:name w:val="List Bullet 4"/>
    <w:basedOn w:val="BodyText"/>
    <w:autoRedefine/>
    <w:rsid w:val="005875E7"/>
    <w:pPr>
      <w:tabs>
        <w:tab w:val="num" w:pos="2552"/>
      </w:tabs>
      <w:spacing w:before="160" w:after="160" w:line="288" w:lineRule="auto"/>
      <w:ind w:left="2552" w:hanging="567"/>
    </w:pPr>
    <w:rPr>
      <w:rFonts w:ascii="Arial" w:eastAsia="SimSun" w:hAnsi="Arial" w:cs="Arial"/>
      <w:sz w:val="20"/>
      <w:szCs w:val="20"/>
      <w:lang w:val="en-AU" w:eastAsia="zh-CN"/>
    </w:rPr>
  </w:style>
  <w:style w:type="paragraph" w:styleId="ListBullet5">
    <w:name w:val="List Bullet 5"/>
    <w:basedOn w:val="BodyText"/>
    <w:autoRedefine/>
    <w:rsid w:val="005875E7"/>
    <w:pPr>
      <w:tabs>
        <w:tab w:val="num" w:pos="3119"/>
      </w:tabs>
      <w:spacing w:before="160" w:after="160" w:line="288" w:lineRule="auto"/>
      <w:ind w:left="3119" w:hanging="567"/>
    </w:pPr>
    <w:rPr>
      <w:rFonts w:ascii="Arial" w:eastAsia="SimSun" w:hAnsi="Arial" w:cs="Arial"/>
      <w:sz w:val="20"/>
      <w:szCs w:val="20"/>
      <w:lang w:val="en-AU" w:eastAsia="zh-CN"/>
    </w:rPr>
  </w:style>
  <w:style w:type="paragraph" w:customStyle="1" w:styleId="Bullets-Minor">
    <w:name w:val="Bullets - Minor"/>
    <w:basedOn w:val="Bullets-Major"/>
    <w:link w:val="Bullets-MinorChar"/>
    <w:rsid w:val="005875E7"/>
    <w:pPr>
      <w:numPr>
        <w:numId w:val="0"/>
      </w:numPr>
      <w:spacing w:before="120"/>
      <w:ind w:left="567" w:hanging="567"/>
      <w:jc w:val="left"/>
    </w:pPr>
    <w:rPr>
      <w:rFonts w:ascii="Times New Roman" w:hAnsi="Times New Roman"/>
      <w:sz w:val="22"/>
      <w:szCs w:val="22"/>
    </w:rPr>
  </w:style>
  <w:style w:type="character" w:customStyle="1" w:styleId="Bullets-MinorChar">
    <w:name w:val="Bullets - Minor Char"/>
    <w:basedOn w:val="DefaultParagraphFont"/>
    <w:link w:val="Bullets-Minor"/>
    <w:locked/>
    <w:rsid w:val="005875E7"/>
    <w:rPr>
      <w:rFonts w:ascii="Times New Roman" w:eastAsia="Times" w:hAnsi="Times New Roman"/>
      <w:sz w:val="22"/>
      <w:szCs w:val="22"/>
    </w:rPr>
  </w:style>
  <w:style w:type="character" w:styleId="Emphasis">
    <w:name w:val="Emphasis"/>
    <w:basedOn w:val="DefaultParagraphFont"/>
    <w:uiPriority w:val="20"/>
    <w:qFormat/>
    <w:rsid w:val="005875E7"/>
    <w:rPr>
      <w:i/>
      <w:iCs/>
    </w:rPr>
  </w:style>
  <w:style w:type="paragraph" w:customStyle="1" w:styleId="tbl-txt2">
    <w:name w:val="tbl-txt2"/>
    <w:basedOn w:val="Normal"/>
    <w:rsid w:val="005875E7"/>
    <w:pPr>
      <w:spacing w:before="60" w:after="60" w:line="312" w:lineRule="atLeast"/>
    </w:pPr>
    <w:rPr>
      <w:rFonts w:ascii="Times New Roman" w:eastAsia="Times New Roman" w:hAnsi="Times New Roman"/>
      <w:sz w:val="22"/>
      <w:szCs w:val="22"/>
      <w:lang w:val="en-NZ" w:eastAsia="en-NZ"/>
    </w:rPr>
  </w:style>
  <w:style w:type="character" w:customStyle="1" w:styleId="TableChar">
    <w:name w:val="Table Char"/>
    <w:link w:val="Table"/>
    <w:locked/>
    <w:rsid w:val="005875E7"/>
    <w:rPr>
      <w:rFonts w:ascii="Arial" w:hAnsi="Arial" w:cs="Arial"/>
      <w:sz w:val="18"/>
    </w:rPr>
  </w:style>
  <w:style w:type="paragraph" w:customStyle="1" w:styleId="Table">
    <w:name w:val="Table"/>
    <w:basedOn w:val="Normal"/>
    <w:link w:val="TableChar"/>
    <w:qFormat/>
    <w:rsid w:val="005875E7"/>
    <w:pPr>
      <w:keepLines/>
      <w:spacing w:before="40" w:after="20" w:line="240" w:lineRule="auto"/>
      <w:jc w:val="both"/>
    </w:pPr>
    <w:rPr>
      <w:rFonts w:ascii="Arial" w:eastAsia="Calibri" w:hAnsi="Arial" w:cs="Arial"/>
      <w:sz w:val="18"/>
      <w:szCs w:val="20"/>
    </w:rPr>
  </w:style>
  <w:style w:type="paragraph" w:customStyle="1" w:styleId="e3bodytext0">
    <w:name w:val="e3bodytext"/>
    <w:basedOn w:val="Normal"/>
    <w:rsid w:val="005875E7"/>
    <w:pPr>
      <w:spacing w:before="100" w:beforeAutospacing="1" w:after="100" w:afterAutospacing="1" w:line="240" w:lineRule="auto"/>
    </w:pPr>
    <w:rPr>
      <w:rFonts w:ascii="Times New Roman" w:eastAsiaTheme="minorHAnsi" w:hAnsi="Times New Roman"/>
      <w:sz w:val="24"/>
      <w:lang w:val="en-NZ" w:eastAsia="en-NZ"/>
    </w:rPr>
  </w:style>
  <w:style w:type="paragraph" w:customStyle="1" w:styleId="msonormal0">
    <w:name w:val="msonormal"/>
    <w:basedOn w:val="Normal"/>
    <w:uiPriority w:val="99"/>
    <w:rsid w:val="005875E7"/>
    <w:pPr>
      <w:spacing w:before="100" w:beforeAutospacing="1" w:after="100" w:afterAutospacing="1" w:line="240" w:lineRule="auto"/>
    </w:pPr>
    <w:rPr>
      <w:rFonts w:ascii="Times New Roman" w:eastAsia="Times New Roman" w:hAnsi="Times New Roman"/>
      <w:sz w:val="24"/>
      <w:lang w:val="en-US"/>
    </w:rPr>
  </w:style>
  <w:style w:type="table" w:customStyle="1" w:styleId="TableGrid1">
    <w:name w:val="Table Grid1"/>
    <w:basedOn w:val="TableNormal"/>
    <w:next w:val="TableGrid"/>
    <w:uiPriority w:val="59"/>
    <w:rsid w:val="006C0C1F"/>
    <w:pPr>
      <w:spacing w:before="40" w:after="40"/>
    </w:pPr>
    <w:rPr>
      <w:rFonts w:ascii="Helvetica Neue Light" w:eastAsia="Times New Roman" w:hAnsi="Helvetica Neue Light"/>
      <w:sz w:val="17"/>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C0C1F"/>
    <w:pPr>
      <w:spacing w:before="40" w:after="40"/>
    </w:pPr>
    <w:rPr>
      <w:rFonts w:ascii="Helvetica Neue Light" w:eastAsia="Times New Roman" w:hAnsi="Helvetica Neue Light"/>
      <w:sz w:val="17"/>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C0C1F"/>
    <w:pPr>
      <w:spacing w:before="40" w:after="40"/>
    </w:pPr>
    <w:rPr>
      <w:rFonts w:ascii="Helvetica Neue Light" w:eastAsia="Times New Roman" w:hAnsi="Helvetica Neue Light"/>
      <w:sz w:val="17"/>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C0C1F"/>
    <w:pPr>
      <w:spacing w:before="40" w:after="40"/>
    </w:pPr>
    <w:rPr>
      <w:rFonts w:ascii="Helvetica Neue Light" w:eastAsia="Times New Roman" w:hAnsi="Helvetica Neue Light"/>
      <w:sz w:val="17"/>
      <w:szCs w:val="24"/>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C0C1F"/>
    <w:rPr>
      <w:color w:val="808080"/>
    </w:rPr>
  </w:style>
  <w:style w:type="table" w:customStyle="1" w:styleId="E3Table">
    <w:name w:val="E3 Table"/>
    <w:basedOn w:val="LightList"/>
    <w:uiPriority w:val="99"/>
    <w:rsid w:val="006C0C1F"/>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spacing w:beforeLines="0" w:before="0" w:beforeAutospacing="0" w:afterLines="0" w:after="0" w:afterAutospacing="0" w:line="240" w:lineRule="auto"/>
      </w:pPr>
      <w:rPr>
        <w:rFonts w:ascii="Helvetica" w:hAnsi="Helvetica" w:cs="Helvetica" w:hint="default"/>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val="0"/>
        <w:bCs/>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firstCol">
      <w:rPr>
        <w:b w:val="0"/>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
    <w:name w:val="Light List"/>
    <w:basedOn w:val="TableNormal"/>
    <w:uiPriority w:val="61"/>
    <w:rsid w:val="006C0C1F"/>
    <w:rPr>
      <w:rFonts w:asciiTheme="minorHAnsi" w:eastAsiaTheme="minorHAnsi" w:hAnsiTheme="minorHAnsi" w:cstheme="minorBidi"/>
      <w:sz w:val="22"/>
      <w:szCs w:val="22"/>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5">
    <w:name w:val="Table Grid5"/>
    <w:basedOn w:val="TableNormal"/>
    <w:next w:val="TableGrid"/>
    <w:uiPriority w:val="59"/>
    <w:rsid w:val="00162644"/>
    <w:pPr>
      <w:spacing w:before="40" w:after="40"/>
    </w:pPr>
    <w:rPr>
      <w:rFonts w:ascii="Helvetica Neue Light" w:eastAsia="Times New Roman" w:hAnsi="Helvetica Neue Light"/>
      <w:sz w:val="17"/>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3959876">
      <w:bodyDiv w:val="1"/>
      <w:marLeft w:val="0"/>
      <w:marRight w:val="0"/>
      <w:marTop w:val="0"/>
      <w:marBottom w:val="0"/>
      <w:divBdr>
        <w:top w:val="none" w:sz="0" w:space="0" w:color="auto"/>
        <w:left w:val="none" w:sz="0" w:space="0" w:color="auto"/>
        <w:bottom w:val="none" w:sz="0" w:space="0" w:color="auto"/>
        <w:right w:val="none" w:sz="0" w:space="0" w:color="auto"/>
      </w:divBdr>
      <w:divsChild>
        <w:div w:id="10306861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image" Target="media/image20.emf"/><Relationship Id="rId21" Type="http://schemas.openxmlformats.org/officeDocument/2006/relationships/header" Target="header6.xml"/><Relationship Id="rId34" Type="http://schemas.openxmlformats.org/officeDocument/2006/relationships/image" Target="media/image15.emf"/><Relationship Id="rId42" Type="http://schemas.openxmlformats.org/officeDocument/2006/relationships/image" Target="media/image22.png"/><Relationship Id="rId47" Type="http://schemas.openxmlformats.org/officeDocument/2006/relationships/chart" Target="charts/chart1.xml"/><Relationship Id="rId50" Type="http://schemas.openxmlformats.org/officeDocument/2006/relationships/hyperlink" Target="http://www.energyrating.gov.au" TargetMode="External"/><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nergyrating.gov.au"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5.png"/><Relationship Id="rId53" Type="http://schemas.openxmlformats.org/officeDocument/2006/relationships/image" Target="media/image30.emf"/><Relationship Id="rId58" Type="http://schemas.openxmlformats.org/officeDocument/2006/relationships/image" Target="media/image35.emf"/><Relationship Id="rId66" Type="http://schemas.openxmlformats.org/officeDocument/2006/relationships/image" Target="media/image41.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emf"/><Relationship Id="rId49" Type="http://schemas.openxmlformats.org/officeDocument/2006/relationships/image" Target="media/image28.png"/><Relationship Id="rId57" Type="http://schemas.openxmlformats.org/officeDocument/2006/relationships/image" Target="media/image34.png"/><Relationship Id="rId61" Type="http://schemas.openxmlformats.org/officeDocument/2006/relationships/image" Target="media/image38.emf"/><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hyperlink" Target="http://energyrating.gov.au/document/industry-update-refrigerated-display-and-storage-cabinets-technical-working-group"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creativecommons.org/licences/by/3.0/au" TargetMode="External"/><Relationship Id="rId22" Type="http://schemas.openxmlformats.org/officeDocument/2006/relationships/footer" Target="footer6.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emf"/><Relationship Id="rId43" Type="http://schemas.openxmlformats.org/officeDocument/2006/relationships/image" Target="media/image23.png"/><Relationship Id="rId48" Type="http://schemas.openxmlformats.org/officeDocument/2006/relationships/image" Target="media/image27.jpeg"/><Relationship Id="rId56" Type="http://schemas.openxmlformats.org/officeDocument/2006/relationships/image" Target="media/image33.png"/><Relationship Id="rId64" Type="http://schemas.openxmlformats.org/officeDocument/2006/relationships/hyperlink" Target="http://www.energyrating.gov.au" TargetMode="External"/><Relationship Id="rId69" Type="http://schemas.openxmlformats.org/officeDocument/2006/relationships/footer" Target="footer8.xml"/><Relationship Id="rId8" Type="http://schemas.openxmlformats.org/officeDocument/2006/relationships/header" Target="header1.xml"/><Relationship Id="rId51"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image" Target="media/image14.png"/><Relationship Id="rId38" Type="http://schemas.openxmlformats.org/officeDocument/2006/relationships/image" Target="media/image19.emf"/><Relationship Id="rId46" Type="http://schemas.openxmlformats.org/officeDocument/2006/relationships/image" Target="media/image26.emf"/><Relationship Id="rId59" Type="http://schemas.openxmlformats.org/officeDocument/2006/relationships/image" Target="media/image36.emf"/><Relationship Id="rId67" Type="http://schemas.openxmlformats.org/officeDocument/2006/relationships/image" Target="media/image42.emf"/><Relationship Id="rId20" Type="http://schemas.openxmlformats.org/officeDocument/2006/relationships/footer" Target="footer5.xml"/><Relationship Id="rId41" Type="http://schemas.openxmlformats.org/officeDocument/2006/relationships/oleObject" Target="embeddings/oleObject1.bin"/><Relationship Id="rId54" Type="http://schemas.openxmlformats.org/officeDocument/2006/relationships/image" Target="media/image31.png"/><Relationship Id="rId62" Type="http://schemas.openxmlformats.org/officeDocument/2006/relationships/image" Target="media/image39.emf"/><Relationship Id="rId7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energyrating.gov.au/retailers/labellingresources" TargetMode="External"/><Relationship Id="rId2" Type="http://schemas.openxmlformats.org/officeDocument/2006/relationships/hyperlink" Target="https://www.gov.uk/guidance/energy-technology-list" TargetMode="External"/><Relationship Id="rId1" Type="http://schemas.openxmlformats.org/officeDocument/2006/relationships/hyperlink" Target="http://www.energyrating.gov.au/retailers/labellingresourc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43.jpe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peterbrodribb:Dropbox:RDC%20RIS:RIS%20analysis:RIS%20Model%20Inputs%20V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itzgeb\AppData\Local\Microsoft\Windows\INetCache\Content.Outlook\TT3KEZNG\RDC%20DRIS%20Outputs%20V1.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dPt>
            <c:idx val="2"/>
            <c:bubble3D val="0"/>
            <c:spPr>
              <a:solidFill>
                <a:srgbClr val="9999FF"/>
              </a:solidFill>
            </c:spPr>
            <c:extLst xmlns:c16r2="http://schemas.microsoft.com/office/drawing/2015/06/chart">
              <c:ext xmlns:c16="http://schemas.microsoft.com/office/drawing/2014/chart" uri="{C3380CC4-5D6E-409C-BE32-E72D297353CC}">
                <c16:uniqueId val="{00000001-044D-407A-ADF4-AD069286DAB4}"/>
              </c:ext>
            </c:extLst>
          </c:dPt>
          <c:dPt>
            <c:idx val="7"/>
            <c:bubble3D val="0"/>
            <c:spPr>
              <a:solidFill>
                <a:srgbClr val="CC66FF"/>
              </a:solidFill>
            </c:spPr>
            <c:extLst xmlns:c16r2="http://schemas.microsoft.com/office/drawing/2015/06/chart">
              <c:ext xmlns:c16="http://schemas.microsoft.com/office/drawing/2014/chart" uri="{C3380CC4-5D6E-409C-BE32-E72D297353CC}">
                <c16:uniqueId val="{00000003-044D-407A-ADF4-AD069286DAB4}"/>
              </c:ext>
            </c:extLst>
          </c:dPt>
          <c:dPt>
            <c:idx val="13"/>
            <c:bubble3D val="0"/>
            <c:spPr>
              <a:solidFill>
                <a:srgbClr val="996633"/>
              </a:solidFill>
            </c:spPr>
            <c:extLst xmlns:c16r2="http://schemas.microsoft.com/office/drawing/2015/06/chart">
              <c:ext xmlns:c16="http://schemas.microsoft.com/office/drawing/2014/chart" uri="{C3380CC4-5D6E-409C-BE32-E72D297353CC}">
                <c16:uniqueId val="{00000005-044D-407A-ADF4-AD069286DAB4}"/>
              </c:ext>
            </c:extLst>
          </c:dPt>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'Grouped Types'!$C$39:$C$53</c:f>
              <c:strCache>
                <c:ptCount val="15"/>
                <c:pt idx="0">
                  <c:v>IRH</c:v>
                </c:pt>
                <c:pt idx="1">
                  <c:v>IRV</c:v>
                </c:pt>
                <c:pt idx="2">
                  <c:v>IRV-4</c:v>
                </c:pt>
                <c:pt idx="3">
                  <c:v>IFH</c:v>
                </c:pt>
                <c:pt idx="4">
                  <c:v>IFH-5</c:v>
                </c:pt>
                <c:pt idx="5">
                  <c:v>IFV</c:v>
                </c:pt>
                <c:pt idx="6">
                  <c:v>RRH</c:v>
                </c:pt>
                <c:pt idx="7">
                  <c:v>RRV</c:v>
                </c:pt>
                <c:pt idx="8">
                  <c:v>RRV-2</c:v>
                </c:pt>
                <c:pt idx="9">
                  <c:v>RFH</c:v>
                </c:pt>
                <c:pt idx="10">
                  <c:v>RFV</c:v>
                </c:pt>
                <c:pt idx="11">
                  <c:v>SRH</c:v>
                </c:pt>
                <c:pt idx="12">
                  <c:v>SRV</c:v>
                </c:pt>
                <c:pt idx="13">
                  <c:v>SFH</c:v>
                </c:pt>
                <c:pt idx="14">
                  <c:v>SFV</c:v>
                </c:pt>
              </c:strCache>
            </c:strRef>
          </c:cat>
          <c:val>
            <c:numRef>
              <c:f>'Grouped Types'!$D$39:$D$53</c:f>
              <c:numCache>
                <c:formatCode>0.0%</c:formatCode>
                <c:ptCount val="15"/>
                <c:pt idx="0">
                  <c:v>1.4355773517610301E-2</c:v>
                </c:pt>
                <c:pt idx="1">
                  <c:v>6.1346411056620601E-2</c:v>
                </c:pt>
                <c:pt idx="2">
                  <c:v>0.48238519839500699</c:v>
                </c:pt>
                <c:pt idx="3">
                  <c:v>6.0633080695497096E-3</c:v>
                </c:pt>
                <c:pt idx="4">
                  <c:v>2.7730717788675901E-2</c:v>
                </c:pt>
                <c:pt idx="5">
                  <c:v>2.72848863129737E-2</c:v>
                </c:pt>
                <c:pt idx="6">
                  <c:v>1.20749778787962E-2</c:v>
                </c:pt>
                <c:pt idx="7">
                  <c:v>2.7932478948540701E-2</c:v>
                </c:pt>
                <c:pt idx="8">
                  <c:v>0.107365465958453</c:v>
                </c:pt>
                <c:pt idx="9">
                  <c:v>9.7472712997511805E-3</c:v>
                </c:pt>
                <c:pt idx="10">
                  <c:v>2.37135107740215E-2</c:v>
                </c:pt>
                <c:pt idx="11">
                  <c:v>2.8000000000000001E-2</c:v>
                </c:pt>
                <c:pt idx="12">
                  <c:v>0.11</c:v>
                </c:pt>
                <c:pt idx="13">
                  <c:v>0.01</c:v>
                </c:pt>
                <c:pt idx="14">
                  <c:v>5.1999999999999998E-2</c:v>
                </c:pt>
              </c:numCache>
            </c:numRef>
          </c:val>
          <c:extLst xmlns:c16r2="http://schemas.microsoft.com/office/drawing/2015/06/chart">
            <c:ext xmlns:c16="http://schemas.microsoft.com/office/drawing/2014/chart" uri="{C3380CC4-5D6E-409C-BE32-E72D297353CC}">
              <c16:uniqueId val="{00000006-044D-407A-ADF4-AD069286DAB4}"/>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Energy Consumption (GWh pa)</a:t>
            </a:r>
          </a:p>
        </c:rich>
      </c:tx>
      <c:layout/>
      <c:overlay val="0"/>
    </c:title>
    <c:autoTitleDeleted val="0"/>
    <c:plotArea>
      <c:layout/>
      <c:lineChart>
        <c:grouping val="standard"/>
        <c:varyColors val="0"/>
        <c:ser>
          <c:idx val="1"/>
          <c:order val="0"/>
          <c:tx>
            <c:v>BAU-AU</c:v>
          </c:tx>
          <c:marker>
            <c:symbol val="none"/>
          </c:marker>
          <c:cat>
            <c:numLit>
              <c:formatCode>General</c:formatCode>
              <c:ptCount val="3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numLit>
          </c:cat>
          <c:val>
            <c:numLit>
              <c:formatCode>#,##0</c:formatCode>
              <c:ptCount val="36"/>
              <c:pt idx="0">
                <c:v>3939.8646386574874</c:v>
              </c:pt>
              <c:pt idx="1">
                <c:v>4206.5828090839177</c:v>
              </c:pt>
              <c:pt idx="2">
                <c:v>4469.4188713246094</c:v>
              </c:pt>
              <c:pt idx="3">
                <c:v>4729.593681439952</c:v>
              </c:pt>
              <c:pt idx="4">
                <c:v>4987.9457714902946</c:v>
              </c:pt>
              <c:pt idx="5">
                <c:v>5137.4685753837175</c:v>
              </c:pt>
              <c:pt idx="6">
                <c:v>5283.9717571861456</c:v>
              </c:pt>
              <c:pt idx="7">
                <c:v>5406.090650521588</c:v>
              </c:pt>
              <c:pt idx="8">
                <c:v>5524.6547741715885</c:v>
              </c:pt>
              <c:pt idx="9">
                <c:v>5657.0357809381849</c:v>
              </c:pt>
              <c:pt idx="10">
                <c:v>5787.5639090926488</c:v>
              </c:pt>
              <c:pt idx="11">
                <c:v>5900.1808392523299</c:v>
              </c:pt>
              <c:pt idx="12">
                <c:v>6014.0444003152807</c:v>
              </c:pt>
              <c:pt idx="13">
                <c:v>6088.1123503288718</c:v>
              </c:pt>
              <c:pt idx="14">
                <c:v>6161.1677725530881</c:v>
              </c:pt>
              <c:pt idx="15">
                <c:v>6230.673018934126</c:v>
              </c:pt>
              <c:pt idx="16">
                <c:v>6307.6813532221649</c:v>
              </c:pt>
              <c:pt idx="17">
                <c:v>6389.9868138216934</c:v>
              </c:pt>
              <c:pt idx="18">
                <c:v>6478.7846994781876</c:v>
              </c:pt>
              <c:pt idx="19">
                <c:v>6568.2230532488693</c:v>
              </c:pt>
              <c:pt idx="20">
                <c:v>6656.166956696864</c:v>
              </c:pt>
              <c:pt idx="21">
                <c:v>6740.9043997847084</c:v>
              </c:pt>
              <c:pt idx="22">
                <c:v>6821.8689767638143</c:v>
              </c:pt>
              <c:pt idx="23">
                <c:v>6900.6657817518972</c:v>
              </c:pt>
              <c:pt idx="24">
                <c:v>6978.7730305466621</c:v>
              </c:pt>
              <c:pt idx="25">
                <c:v>7056.4862760330961</c:v>
              </c:pt>
              <c:pt idx="26">
                <c:v>7134.3816001366158</c:v>
              </c:pt>
              <c:pt idx="27">
                <c:v>7210.3074279728562</c:v>
              </c:pt>
              <c:pt idx="28">
                <c:v>7283.7007023970773</c:v>
              </c:pt>
              <c:pt idx="29">
                <c:v>7354.2183861247304</c:v>
              </c:pt>
              <c:pt idx="30">
                <c:v>7421.4380733782937</c:v>
              </c:pt>
              <c:pt idx="31">
                <c:v>7485.4288149141439</c:v>
              </c:pt>
              <c:pt idx="32">
                <c:v>7546.3016575015436</c:v>
              </c:pt>
              <c:pt idx="33">
                <c:v>7604.1886385138887</c:v>
              </c:pt>
              <c:pt idx="34">
                <c:v>7659.2241084294328</c:v>
              </c:pt>
              <c:pt idx="35">
                <c:v>7711.5627975810548</c:v>
              </c:pt>
            </c:numLit>
          </c:val>
          <c:smooth val="0"/>
          <c:extLst xmlns:c16r2="http://schemas.microsoft.com/office/drawing/2015/06/chart">
            <c:ext xmlns:c16="http://schemas.microsoft.com/office/drawing/2014/chart" uri="{C3380CC4-5D6E-409C-BE32-E72D297353CC}">
              <c16:uniqueId val="{00000000-8B89-4649-9A8E-7A348C99578D}"/>
            </c:ext>
          </c:extLst>
        </c:ser>
        <c:ser>
          <c:idx val="2"/>
          <c:order val="1"/>
          <c:tx>
            <c:v>Policy-AU</c:v>
          </c:tx>
          <c:spPr>
            <a:ln>
              <a:solidFill>
                <a:schemeClr val="accent2"/>
              </a:solidFill>
              <a:prstDash val="sysDash"/>
            </a:ln>
          </c:spPr>
          <c:marker>
            <c:symbol val="none"/>
          </c:marker>
          <c:cat>
            <c:numLit>
              <c:formatCode>General</c:formatCode>
              <c:ptCount val="3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numLit>
          </c:cat>
          <c:val>
            <c:numLit>
              <c:formatCode>#,##0</c:formatCode>
              <c:ptCount val="36"/>
              <c:pt idx="0">
                <c:v>3939.8646386574874</c:v>
              </c:pt>
              <c:pt idx="1">
                <c:v>4206.5828090839177</c:v>
              </c:pt>
              <c:pt idx="2">
                <c:v>4469.4188713246094</c:v>
              </c:pt>
              <c:pt idx="3">
                <c:v>4729.593681439952</c:v>
              </c:pt>
              <c:pt idx="4">
                <c:v>4987.9457714902946</c:v>
              </c:pt>
              <c:pt idx="5">
                <c:v>5137.4685753837175</c:v>
              </c:pt>
              <c:pt idx="6">
                <c:v>5283.9717571861456</c:v>
              </c:pt>
              <c:pt idx="7">
                <c:v>5406.090650521588</c:v>
              </c:pt>
              <c:pt idx="8">
                <c:v>5524.6547741715885</c:v>
              </c:pt>
              <c:pt idx="9">
                <c:v>5657.0357809381849</c:v>
              </c:pt>
              <c:pt idx="10">
                <c:v>5787.5639090926488</c:v>
              </c:pt>
              <c:pt idx="11">
                <c:v>5900.1808392523299</c:v>
              </c:pt>
              <c:pt idx="12">
                <c:v>6014.0444003152807</c:v>
              </c:pt>
              <c:pt idx="13">
                <c:v>6088.1123503288718</c:v>
              </c:pt>
              <c:pt idx="14">
                <c:v>6161.1677725530881</c:v>
              </c:pt>
              <c:pt idx="15">
                <c:v>6230.673018934126</c:v>
              </c:pt>
              <c:pt idx="16">
                <c:v>6307.6813532221649</c:v>
              </c:pt>
              <c:pt idx="17">
                <c:v>6389.9868138216934</c:v>
              </c:pt>
              <c:pt idx="18">
                <c:v>6478.7846994781876</c:v>
              </c:pt>
              <c:pt idx="19">
                <c:v>6568.2230532488693</c:v>
              </c:pt>
              <c:pt idx="20">
                <c:v>6646.2520511197163</c:v>
              </c:pt>
              <c:pt idx="21">
                <c:v>6719.3206594421345</c:v>
              </c:pt>
              <c:pt idx="22">
                <c:v>6786.8384963142616</c:v>
              </c:pt>
              <c:pt idx="23">
                <c:v>6850.3904730050162</c:v>
              </c:pt>
              <c:pt idx="24">
                <c:v>6911.4421638145595</c:v>
              </c:pt>
              <c:pt idx="25">
                <c:v>6970.8597265976787</c:v>
              </c:pt>
              <c:pt idx="26">
                <c:v>7029.2755395508302</c:v>
              </c:pt>
              <c:pt idx="27">
                <c:v>7084.6461908687552</c:v>
              </c:pt>
              <c:pt idx="28">
                <c:v>7136.5993318428846</c:v>
              </c:pt>
              <c:pt idx="29">
                <c:v>7185.0978622141001</c:v>
              </c:pt>
              <c:pt idx="30">
                <c:v>7230.148702451299</c:v>
              </c:pt>
              <c:pt idx="31">
                <c:v>7272.2950235852113</c:v>
              </c:pt>
              <c:pt idx="32">
                <c:v>7311.9673082724066</c:v>
              </c:pt>
              <c:pt idx="33">
                <c:v>7349.587103875735</c:v>
              </c:pt>
              <c:pt idx="34">
                <c:v>7384.9986384134299</c:v>
              </c:pt>
              <c:pt idx="35">
                <c:v>7418.311648556908</c:v>
              </c:pt>
            </c:numLit>
          </c:val>
          <c:smooth val="0"/>
          <c:extLst xmlns:c16r2="http://schemas.microsoft.com/office/drawing/2015/06/chart">
            <c:ext xmlns:c16="http://schemas.microsoft.com/office/drawing/2014/chart" uri="{C3380CC4-5D6E-409C-BE32-E72D297353CC}">
              <c16:uniqueId val="{00000001-8B89-4649-9A8E-7A348C99578D}"/>
            </c:ext>
          </c:extLst>
        </c:ser>
        <c:ser>
          <c:idx val="0"/>
          <c:order val="2"/>
          <c:tx>
            <c:v>BAU-NZ</c:v>
          </c:tx>
          <c:marker>
            <c:symbol val="none"/>
          </c:marker>
          <c:val>
            <c:numLit>
              <c:formatCode>#,##0</c:formatCode>
              <c:ptCount val="36"/>
              <c:pt idx="0">
                <c:v>757.68696101159208</c:v>
              </c:pt>
              <c:pt idx="1">
                <c:v>808.95850294629054</c:v>
              </c:pt>
              <c:pt idx="2">
                <c:v>859.48508103919789</c:v>
              </c:pt>
              <c:pt idx="3">
                <c:v>909.50135675007107</c:v>
              </c:pt>
              <c:pt idx="4">
                <c:v>959.16812317691654</c:v>
              </c:pt>
              <c:pt idx="5">
                <c:v>987.91877621326842</c:v>
              </c:pt>
              <c:pt idx="6">
                <c:v>1016.0888966798893</c:v>
              </c:pt>
              <c:pt idx="7">
                <c:v>1039.5504941351548</c:v>
              </c:pt>
              <c:pt idx="8">
                <c:v>1062.3273310420327</c:v>
              </c:pt>
              <c:pt idx="9">
                <c:v>1087.744258903356</c:v>
              </c:pt>
              <c:pt idx="10">
                <c:v>1112.8037022581548</c:v>
              </c:pt>
              <c:pt idx="11">
                <c:v>1134.4218533930564</c:v>
              </c:pt>
              <c:pt idx="12">
                <c:v>1156.2811145127175</c:v>
              </c:pt>
              <c:pt idx="13">
                <c:v>1170.4976572609901</c:v>
              </c:pt>
              <c:pt idx="14">
                <c:v>1183.5511005053206</c:v>
              </c:pt>
              <c:pt idx="15">
                <c:v>1194.9277507323832</c:v>
              </c:pt>
              <c:pt idx="16">
                <c:v>1206.8268553212486</c:v>
              </c:pt>
              <c:pt idx="17">
                <c:v>1218.922241144513</c:v>
              </c:pt>
              <c:pt idx="18">
                <c:v>1231.532278803257</c:v>
              </c:pt>
              <c:pt idx="19">
                <c:v>1243.6328384310254</c:v>
              </c:pt>
              <c:pt idx="20">
                <c:v>1254.9186000183886</c:v>
              </c:pt>
              <c:pt idx="21">
                <c:v>1265.0733378824198</c:v>
              </c:pt>
              <c:pt idx="22">
                <c:v>1274.0166183117253</c:v>
              </c:pt>
              <c:pt idx="23">
                <c:v>1282.1068392875209</c:v>
              </c:pt>
              <c:pt idx="24">
                <c:v>1289.7086504380295</c:v>
              </c:pt>
              <c:pt idx="25">
                <c:v>1296.9850043618392</c:v>
              </c:pt>
              <c:pt idx="26">
                <c:v>1304.260145265559</c:v>
              </c:pt>
              <c:pt idx="27">
                <c:v>1311.3331167688611</c:v>
              </c:pt>
              <c:pt idx="28">
                <c:v>1318.2558854843351</c:v>
              </c:pt>
              <c:pt idx="29">
                <c:v>1325.0966680131455</c:v>
              </c:pt>
              <c:pt idx="30">
                <c:v>1331.8909708083233</c:v>
              </c:pt>
              <c:pt idx="31">
                <c:v>1338.6438285806685</c:v>
              </c:pt>
              <c:pt idx="32">
                <c:v>1345.3632335954378</c:v>
              </c:pt>
              <c:pt idx="33">
                <c:v>1352.059470520984</c:v>
              </c:pt>
              <c:pt idx="34">
                <c:v>1358.7434210723713</c:v>
              </c:pt>
              <c:pt idx="35">
                <c:v>1365.4251922471649</c:v>
              </c:pt>
            </c:numLit>
          </c:val>
          <c:smooth val="0"/>
          <c:extLst xmlns:c16r2="http://schemas.microsoft.com/office/drawing/2015/06/chart">
            <c:ext xmlns:c16="http://schemas.microsoft.com/office/drawing/2014/chart" uri="{C3380CC4-5D6E-409C-BE32-E72D297353CC}">
              <c16:uniqueId val="{00000002-8B89-4649-9A8E-7A348C99578D}"/>
            </c:ext>
          </c:extLst>
        </c:ser>
        <c:ser>
          <c:idx val="3"/>
          <c:order val="3"/>
          <c:tx>
            <c:v>Policy-NZ</c:v>
          </c:tx>
          <c:spPr>
            <a:ln>
              <a:solidFill>
                <a:schemeClr val="accent1"/>
              </a:solidFill>
              <a:prstDash val="sysDash"/>
            </a:ln>
          </c:spPr>
          <c:marker>
            <c:symbol val="none"/>
          </c:marker>
          <c:val>
            <c:numLit>
              <c:formatCode>#,##0</c:formatCode>
              <c:ptCount val="36"/>
              <c:pt idx="0">
                <c:v>757.68696101159208</c:v>
              </c:pt>
              <c:pt idx="1">
                <c:v>808.95850294629054</c:v>
              </c:pt>
              <c:pt idx="2">
                <c:v>859.48508103919789</c:v>
              </c:pt>
              <c:pt idx="3">
                <c:v>909.50135675007107</c:v>
              </c:pt>
              <c:pt idx="4">
                <c:v>959.16812317691654</c:v>
              </c:pt>
              <c:pt idx="5">
                <c:v>987.91877621326842</c:v>
              </c:pt>
              <c:pt idx="6">
                <c:v>1016.0888966798893</c:v>
              </c:pt>
              <c:pt idx="7">
                <c:v>1039.5504941351548</c:v>
              </c:pt>
              <c:pt idx="8">
                <c:v>1062.3273310420327</c:v>
              </c:pt>
              <c:pt idx="9">
                <c:v>1087.744258903356</c:v>
              </c:pt>
              <c:pt idx="10">
                <c:v>1112.8037022581548</c:v>
              </c:pt>
              <c:pt idx="11">
                <c:v>1134.4218533930564</c:v>
              </c:pt>
              <c:pt idx="12">
                <c:v>1156.2811145127175</c:v>
              </c:pt>
              <c:pt idx="13">
                <c:v>1170.4976572609901</c:v>
              </c:pt>
              <c:pt idx="14">
                <c:v>1183.5511005053206</c:v>
              </c:pt>
              <c:pt idx="15">
                <c:v>1194.9277507323832</c:v>
              </c:pt>
              <c:pt idx="16">
                <c:v>1206.8268553212486</c:v>
              </c:pt>
              <c:pt idx="17">
                <c:v>1218.922241144513</c:v>
              </c:pt>
              <c:pt idx="18">
                <c:v>1231.532278803257</c:v>
              </c:pt>
              <c:pt idx="19">
                <c:v>1243.6328384310254</c:v>
              </c:pt>
              <c:pt idx="20">
                <c:v>1253.1154536732531</c:v>
              </c:pt>
              <c:pt idx="21">
                <c:v>1261.1578658991632</c:v>
              </c:pt>
              <c:pt idx="22">
                <c:v>1267.6784023280854</c:v>
              </c:pt>
              <c:pt idx="23">
                <c:v>1273.034963084438</c:v>
              </c:pt>
              <c:pt idx="24">
                <c:v>1277.5931212722467</c:v>
              </c:pt>
              <c:pt idx="25">
                <c:v>1281.6205656992743</c:v>
              </c:pt>
              <c:pt idx="26">
                <c:v>1285.4505323424737</c:v>
              </c:pt>
              <c:pt idx="27">
                <c:v>1288.8997822941635</c:v>
              </c:pt>
              <c:pt idx="28">
                <c:v>1292.0522553407304</c:v>
              </c:pt>
              <c:pt idx="29">
                <c:v>1295.0282473935931</c:v>
              </c:pt>
              <c:pt idx="30">
                <c:v>1297.9367625734812</c:v>
              </c:pt>
              <c:pt idx="31">
                <c:v>1300.8679104900934</c:v>
              </c:pt>
              <c:pt idx="32">
                <c:v>1303.8857432797033</c:v>
              </c:pt>
              <c:pt idx="33">
                <c:v>1307.0508194381212</c:v>
              </c:pt>
              <c:pt idx="34">
                <c:v>1310.3190632877395</c:v>
              </c:pt>
              <c:pt idx="35">
                <c:v>1313.6903217810843</c:v>
              </c:pt>
            </c:numLit>
          </c:val>
          <c:smooth val="0"/>
          <c:extLst xmlns:c16r2="http://schemas.microsoft.com/office/drawing/2015/06/chart">
            <c:ext xmlns:c16="http://schemas.microsoft.com/office/drawing/2014/chart" uri="{C3380CC4-5D6E-409C-BE32-E72D297353CC}">
              <c16:uniqueId val="{00000003-8B89-4649-9A8E-7A348C99578D}"/>
            </c:ext>
          </c:extLst>
        </c:ser>
        <c:dLbls>
          <c:showLegendKey val="0"/>
          <c:showVal val="0"/>
          <c:showCatName val="0"/>
          <c:showSerName val="0"/>
          <c:showPercent val="0"/>
          <c:showBubbleSize val="0"/>
        </c:dLbls>
        <c:smooth val="0"/>
        <c:axId val="246706592"/>
        <c:axId val="246706984"/>
      </c:lineChart>
      <c:catAx>
        <c:axId val="246706592"/>
        <c:scaling>
          <c:orientation val="minMax"/>
        </c:scaling>
        <c:delete val="0"/>
        <c:axPos val="b"/>
        <c:numFmt formatCode="General" sourceLinked="1"/>
        <c:majorTickMark val="out"/>
        <c:minorTickMark val="none"/>
        <c:tickLblPos val="nextTo"/>
        <c:txPr>
          <a:bodyPr/>
          <a:lstStyle/>
          <a:p>
            <a:pPr>
              <a:defRPr b="1"/>
            </a:pPr>
            <a:endParaRPr lang="en-US"/>
          </a:p>
        </c:txPr>
        <c:crossAx val="246706984"/>
        <c:crosses val="autoZero"/>
        <c:auto val="1"/>
        <c:lblAlgn val="ctr"/>
        <c:lblOffset val="100"/>
        <c:noMultiLvlLbl val="0"/>
      </c:catAx>
      <c:valAx>
        <c:axId val="246706984"/>
        <c:scaling>
          <c:orientation val="minMax"/>
        </c:scaling>
        <c:delete val="0"/>
        <c:axPos val="l"/>
        <c:majorGridlines/>
        <c:numFmt formatCode="#,##0" sourceLinked="1"/>
        <c:majorTickMark val="out"/>
        <c:minorTickMark val="none"/>
        <c:tickLblPos val="nextTo"/>
        <c:txPr>
          <a:bodyPr/>
          <a:lstStyle/>
          <a:p>
            <a:pPr>
              <a:defRPr b="1"/>
            </a:pPr>
            <a:endParaRPr lang="en-US"/>
          </a:p>
        </c:txPr>
        <c:crossAx val="24670659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E3 Theme Colours">
  <a:themeElements>
    <a:clrScheme name="E3 Theme Colours">
      <a:dk1>
        <a:sysClr val="windowText" lastClr="000000"/>
      </a:dk1>
      <a:lt1>
        <a:sysClr val="window" lastClr="FFFFFF"/>
      </a:lt1>
      <a:dk2>
        <a:srgbClr val="000000"/>
      </a:dk2>
      <a:lt2>
        <a:srgbClr val="F2F2F2"/>
      </a:lt2>
      <a:accent1>
        <a:srgbClr val="C1001A"/>
      </a:accent1>
      <a:accent2>
        <a:srgbClr val="DA001D"/>
      </a:accent2>
      <a:accent3>
        <a:srgbClr val="EA6C1B"/>
      </a:accent3>
      <a:accent4>
        <a:srgbClr val="FEB610"/>
      </a:accent4>
      <a:accent5>
        <a:srgbClr val="FFF0B4"/>
      </a:accent5>
      <a:accent6>
        <a:srgbClr val="464749"/>
      </a:accent6>
      <a:hlink>
        <a:srgbClr val="5DBDE1"/>
      </a:hlink>
      <a:folHlink>
        <a:srgbClr val="0092D3"/>
      </a:folHlink>
    </a:clrScheme>
    <a:fontScheme name="Civic">
      <a:majorFont>
        <a:latin typeface="Georgia"/>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华文新魏"/>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DBB5F-E4A0-405C-86E6-14499702C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9D70BD2C.dotm</Template>
  <TotalTime>0</TotalTime>
  <Pages>155</Pages>
  <Words>42448</Words>
  <Characters>241959</Characters>
  <Application>Microsoft Office Word</Application>
  <DocSecurity>0</DocSecurity>
  <Lines>2016</Lines>
  <Paragraphs>567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283840</CharactersWithSpaces>
  <SharedDoc>false</SharedDoc>
  <HyperlinkBase/>
  <HLinks>
    <vt:vector size="18" baseType="variant">
      <vt:variant>
        <vt:i4>1441804</vt:i4>
      </vt:variant>
      <vt:variant>
        <vt:i4>62</vt:i4>
      </vt:variant>
      <vt:variant>
        <vt:i4>0</vt:i4>
      </vt:variant>
      <vt:variant>
        <vt:i4>5</vt:i4>
      </vt:variant>
      <vt:variant>
        <vt:lpwstr/>
      </vt:variant>
      <vt:variant>
        <vt:lpwstr>_Toc297748974</vt:lpwstr>
      </vt:variant>
      <vt:variant>
        <vt:i4>4063274</vt:i4>
      </vt:variant>
      <vt:variant>
        <vt:i4>6</vt:i4>
      </vt:variant>
      <vt:variant>
        <vt:i4>0</vt:i4>
      </vt:variant>
      <vt:variant>
        <vt:i4>5</vt:i4>
      </vt:variant>
      <vt:variant>
        <vt:lpwstr>http://www.energyrating.gov.au</vt:lpwstr>
      </vt:variant>
      <vt:variant>
        <vt:lpwstr/>
      </vt:variant>
      <vt:variant>
        <vt:i4>327724</vt:i4>
      </vt:variant>
      <vt:variant>
        <vt:i4>0</vt:i4>
      </vt:variant>
      <vt:variant>
        <vt:i4>0</vt:i4>
      </vt:variant>
      <vt:variant>
        <vt:i4>5</vt:i4>
      </vt:variant>
      <vt:variant>
        <vt:lpwstr>http://creativecommons.org/licences/by/3.0/au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2017-12-04T03:25:00Z</dcterms:created>
  <dcterms:modified xsi:type="dcterms:W3CDTF">2017-12-04T03:39:00Z</dcterms:modified>
  <cp:category/>
</cp:coreProperties>
</file>