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2ADF" w:rsidRDefault="002A0F6A">
      <w:r>
        <w:rPr>
          <w:noProof/>
          <w:lang w:eastAsia="en-AU"/>
        </w:rPr>
        <w:drawing>
          <wp:anchor distT="0" distB="0" distL="114300" distR="114300" simplePos="0" relativeHeight="251659264" behindDoc="1" locked="0" layoutInCell="1" allowOverlap="1" wp14:anchorId="3239D181" wp14:editId="6F26FFAD">
            <wp:simplePos x="0" y="0"/>
            <wp:positionH relativeFrom="column">
              <wp:posOffset>-1000125</wp:posOffset>
            </wp:positionH>
            <wp:positionV relativeFrom="paragraph">
              <wp:posOffset>-947738</wp:posOffset>
            </wp:positionV>
            <wp:extent cx="7696009" cy="1219201"/>
            <wp:effectExtent l="0" t="0" r="635" b="0"/>
            <wp:wrapNone/>
            <wp:docPr id="2" name="Picture 2" descr="Australian Government - GEMS Regul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694513" cy="1218964"/>
                    </a:xfrm>
                    <a:prstGeom prst="rect">
                      <a:avLst/>
                    </a:prstGeom>
                  </pic:spPr>
                </pic:pic>
              </a:graphicData>
            </a:graphic>
            <wp14:sizeRelH relativeFrom="page">
              <wp14:pctWidth>0</wp14:pctWidth>
            </wp14:sizeRelH>
            <wp14:sizeRelV relativeFrom="page">
              <wp14:pctHeight>0</wp14:pctHeight>
            </wp14:sizeRelV>
          </wp:anchor>
        </w:drawing>
      </w:r>
    </w:p>
    <w:p w:rsidR="00CB2ADF" w:rsidRDefault="00CB2ADF" w:rsidP="00CB2ADF"/>
    <w:p w:rsidR="00EC4963" w:rsidRDefault="00EC4963" w:rsidP="004C4769">
      <w:pPr>
        <w:pStyle w:val="Heading1"/>
        <w:jc w:val="right"/>
        <w:rPr>
          <w:rFonts w:eastAsia="Cambria"/>
        </w:rPr>
      </w:pPr>
      <w:r>
        <w:rPr>
          <w:rFonts w:eastAsia="Cambria"/>
        </w:rPr>
        <w:t xml:space="preserve">Fact Sheet: </w:t>
      </w:r>
      <w:r w:rsidR="00130F70">
        <w:rPr>
          <w:rFonts w:eastAsia="Cambria"/>
        </w:rPr>
        <w:t>May</w:t>
      </w:r>
      <w:r w:rsidR="00197077">
        <w:rPr>
          <w:rFonts w:eastAsia="Cambria"/>
        </w:rPr>
        <w:t xml:space="preserve"> </w:t>
      </w:r>
      <w:r>
        <w:rPr>
          <w:rFonts w:eastAsia="Cambria"/>
        </w:rPr>
        <w:t>2014</w:t>
      </w:r>
    </w:p>
    <w:p w:rsidR="00EC4963" w:rsidRDefault="00EC4963" w:rsidP="00CB2ADF">
      <w:pPr>
        <w:rPr>
          <w:rFonts w:ascii="Arial" w:eastAsia="Cambria" w:hAnsi="Arial" w:cs="Arial"/>
          <w:b/>
          <w:sz w:val="40"/>
          <w:szCs w:val="40"/>
        </w:rPr>
      </w:pPr>
    </w:p>
    <w:p w:rsidR="00CB2ADF" w:rsidRDefault="00EC4963" w:rsidP="00CB2ADF">
      <w:pPr>
        <w:rPr>
          <w:rFonts w:ascii="Arial" w:eastAsia="Cambria" w:hAnsi="Arial" w:cs="Arial"/>
          <w:b/>
          <w:sz w:val="40"/>
          <w:szCs w:val="40"/>
        </w:rPr>
      </w:pPr>
      <w:r>
        <w:rPr>
          <w:rFonts w:ascii="Arial" w:eastAsia="Cambria" w:hAnsi="Arial" w:cs="Arial"/>
          <w:b/>
          <w:sz w:val="40"/>
          <w:szCs w:val="40"/>
        </w:rPr>
        <w:t>Distribution Transformers</w:t>
      </w:r>
      <w:r w:rsidR="00FA2825">
        <w:rPr>
          <w:rFonts w:ascii="Arial" w:eastAsia="Cambria" w:hAnsi="Arial" w:cs="Arial"/>
          <w:b/>
          <w:sz w:val="40"/>
          <w:szCs w:val="40"/>
        </w:rPr>
        <w:t>:</w:t>
      </w:r>
      <w:r>
        <w:rPr>
          <w:rFonts w:ascii="Arial" w:eastAsia="Cambria" w:hAnsi="Arial" w:cs="Arial"/>
          <w:b/>
          <w:sz w:val="40"/>
          <w:szCs w:val="40"/>
        </w:rPr>
        <w:t xml:space="preserve"> </w:t>
      </w:r>
      <w:r w:rsidR="00FA2825">
        <w:rPr>
          <w:rFonts w:ascii="Arial" w:eastAsia="Cambria" w:hAnsi="Arial" w:cs="Arial"/>
          <w:b/>
          <w:sz w:val="40"/>
          <w:szCs w:val="40"/>
        </w:rPr>
        <w:t>Minimum Energy Performance Standards</w:t>
      </w:r>
    </w:p>
    <w:p w:rsidR="00D2704F" w:rsidRPr="00D2704F" w:rsidRDefault="00D2704F" w:rsidP="00CB2ADF">
      <w:pPr>
        <w:rPr>
          <w:rFonts w:ascii="Arial" w:eastAsia="Cambria" w:hAnsi="Arial" w:cs="Arial"/>
          <w:sz w:val="20"/>
          <w:szCs w:val="20"/>
        </w:rPr>
      </w:pPr>
    </w:p>
    <w:p w:rsidR="004C79EB" w:rsidRPr="00CB2ADF" w:rsidRDefault="004C79EB" w:rsidP="00CB2ADF">
      <w:pPr>
        <w:rPr>
          <w:rFonts w:ascii="Arial" w:eastAsia="Cambria" w:hAnsi="Arial" w:cs="Arial"/>
          <w:sz w:val="20"/>
          <w:szCs w:val="20"/>
        </w:rPr>
      </w:pPr>
    </w:p>
    <w:p w:rsidR="005C2387" w:rsidRDefault="005C2387" w:rsidP="00EC4963">
      <w:pPr>
        <w:pStyle w:val="Default"/>
        <w:rPr>
          <w:bCs/>
          <w:color w:val="auto"/>
          <w:sz w:val="23"/>
          <w:szCs w:val="23"/>
        </w:rPr>
        <w:sectPr w:rsidR="005C2387">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pPr>
    </w:p>
    <w:p w:rsidR="00EC4963" w:rsidRPr="004C4769" w:rsidRDefault="00EC4963" w:rsidP="00EC4963">
      <w:pPr>
        <w:pStyle w:val="Default"/>
        <w:rPr>
          <w:bCs/>
          <w:color w:val="auto"/>
          <w:sz w:val="23"/>
          <w:szCs w:val="23"/>
        </w:rPr>
      </w:pPr>
      <w:r w:rsidRPr="004C4769">
        <w:rPr>
          <w:bCs/>
          <w:color w:val="auto"/>
          <w:sz w:val="23"/>
          <w:szCs w:val="23"/>
        </w:rPr>
        <w:lastRenderedPageBreak/>
        <w:t>Certain classes of distribution transformers are regulated for energy efficiency</w:t>
      </w:r>
      <w:r w:rsidR="005C2387">
        <w:rPr>
          <w:bCs/>
          <w:color w:val="auto"/>
          <w:sz w:val="23"/>
          <w:szCs w:val="23"/>
        </w:rPr>
        <w:t xml:space="preserve"> in Australia and New Zealand</w:t>
      </w:r>
      <w:r w:rsidRPr="004C4769">
        <w:rPr>
          <w:bCs/>
          <w:color w:val="auto"/>
          <w:sz w:val="23"/>
          <w:szCs w:val="23"/>
        </w:rPr>
        <w:t>.  If you manufacture, import, or supply a distribution transformer that is regulated for energy efficiency, it is important to understand what your legal obligations are.</w:t>
      </w:r>
    </w:p>
    <w:p w:rsidR="00EC4963" w:rsidRPr="004C4769" w:rsidRDefault="00EC4963" w:rsidP="00EC4963">
      <w:pPr>
        <w:pStyle w:val="Default"/>
        <w:rPr>
          <w:color w:val="auto"/>
          <w:sz w:val="16"/>
          <w:szCs w:val="16"/>
        </w:rPr>
      </w:pPr>
    </w:p>
    <w:p w:rsidR="00EC4963" w:rsidRDefault="00EC4963" w:rsidP="00EC4963">
      <w:pPr>
        <w:pStyle w:val="Default"/>
        <w:rPr>
          <w:b/>
          <w:bCs/>
          <w:color w:val="auto"/>
          <w:sz w:val="23"/>
          <w:szCs w:val="23"/>
        </w:rPr>
      </w:pPr>
      <w:r w:rsidRPr="00D16D4D">
        <w:rPr>
          <w:b/>
          <w:bCs/>
          <w:color w:val="auto"/>
          <w:sz w:val="23"/>
          <w:szCs w:val="23"/>
        </w:rPr>
        <w:t>Legislative framework</w:t>
      </w:r>
      <w:r w:rsidR="005C2387">
        <w:rPr>
          <w:b/>
          <w:bCs/>
          <w:color w:val="auto"/>
          <w:sz w:val="23"/>
          <w:szCs w:val="23"/>
        </w:rPr>
        <w:t xml:space="preserve"> for </w:t>
      </w:r>
      <w:r w:rsidR="000F5456" w:rsidRPr="00EE354B">
        <w:rPr>
          <w:b/>
          <w:bCs/>
          <w:color w:val="auto"/>
          <w:sz w:val="23"/>
          <w:szCs w:val="23"/>
        </w:rPr>
        <w:t xml:space="preserve">Minimum Energy Performance Standards </w:t>
      </w:r>
      <w:r w:rsidR="000F5456">
        <w:rPr>
          <w:bCs/>
          <w:color w:val="auto"/>
          <w:sz w:val="23"/>
          <w:szCs w:val="23"/>
        </w:rPr>
        <w:t>(</w:t>
      </w:r>
      <w:r w:rsidR="005C2387">
        <w:rPr>
          <w:b/>
          <w:bCs/>
          <w:color w:val="auto"/>
          <w:sz w:val="23"/>
          <w:szCs w:val="23"/>
        </w:rPr>
        <w:t>MEPS</w:t>
      </w:r>
      <w:r w:rsidR="000F5456">
        <w:rPr>
          <w:b/>
          <w:bCs/>
          <w:color w:val="auto"/>
          <w:sz w:val="23"/>
          <w:szCs w:val="23"/>
        </w:rPr>
        <w:t>)</w:t>
      </w:r>
    </w:p>
    <w:p w:rsidR="00EC4963" w:rsidRPr="004C4769" w:rsidRDefault="00EC4963" w:rsidP="00EC4963">
      <w:pPr>
        <w:pStyle w:val="Default"/>
        <w:rPr>
          <w:b/>
          <w:bCs/>
          <w:color w:val="auto"/>
          <w:sz w:val="16"/>
          <w:szCs w:val="16"/>
        </w:rPr>
      </w:pPr>
    </w:p>
    <w:p w:rsidR="005C2387" w:rsidRDefault="00EC4963" w:rsidP="00EC4963">
      <w:pPr>
        <w:pStyle w:val="Default"/>
        <w:rPr>
          <w:bCs/>
          <w:color w:val="auto"/>
          <w:sz w:val="23"/>
          <w:szCs w:val="23"/>
        </w:rPr>
      </w:pPr>
      <w:r w:rsidRPr="004C4769">
        <w:rPr>
          <w:bCs/>
          <w:color w:val="auto"/>
          <w:sz w:val="23"/>
          <w:szCs w:val="23"/>
        </w:rPr>
        <w:t>Distribution transformers have been regulated for energy efficiency In Australia and New Zealand through the application of MEPS since 1</w:t>
      </w:r>
      <w:r w:rsidR="005C2387">
        <w:rPr>
          <w:bCs/>
          <w:color w:val="auto"/>
          <w:sz w:val="23"/>
          <w:szCs w:val="23"/>
        </w:rPr>
        <w:t> </w:t>
      </w:r>
      <w:r w:rsidRPr="004C4769">
        <w:rPr>
          <w:bCs/>
          <w:color w:val="auto"/>
          <w:sz w:val="23"/>
          <w:szCs w:val="23"/>
        </w:rPr>
        <w:t>October 2004.</w:t>
      </w:r>
    </w:p>
    <w:p w:rsidR="00EC4963" w:rsidRPr="004C4769" w:rsidRDefault="00EC4963" w:rsidP="00EC4963">
      <w:pPr>
        <w:pStyle w:val="Default"/>
        <w:rPr>
          <w:bCs/>
          <w:color w:val="auto"/>
          <w:sz w:val="16"/>
          <w:szCs w:val="16"/>
        </w:rPr>
      </w:pPr>
    </w:p>
    <w:p w:rsidR="00EC4963" w:rsidRPr="004C4769" w:rsidRDefault="00EC4963" w:rsidP="00EC4963">
      <w:pPr>
        <w:pStyle w:val="Default"/>
        <w:rPr>
          <w:bCs/>
          <w:color w:val="auto"/>
          <w:sz w:val="23"/>
          <w:szCs w:val="23"/>
        </w:rPr>
      </w:pPr>
      <w:r w:rsidRPr="004C4769">
        <w:rPr>
          <w:bCs/>
          <w:color w:val="auto"/>
          <w:sz w:val="23"/>
          <w:szCs w:val="23"/>
        </w:rPr>
        <w:t xml:space="preserve">In October 2012, a single piece of Australian Government legislation, the </w:t>
      </w:r>
      <w:r w:rsidRPr="004C4769">
        <w:rPr>
          <w:bCs/>
          <w:i/>
          <w:color w:val="auto"/>
          <w:sz w:val="23"/>
          <w:szCs w:val="23"/>
        </w:rPr>
        <w:t>Greenhouse and Energy Minimum Standards (GEMS) Act 2012</w:t>
      </w:r>
      <w:r w:rsidR="005142A1">
        <w:rPr>
          <w:bCs/>
          <w:color w:val="auto"/>
          <w:sz w:val="23"/>
          <w:szCs w:val="23"/>
        </w:rPr>
        <w:t xml:space="preserve"> (</w:t>
      </w:r>
      <w:r w:rsidRPr="005142A1">
        <w:rPr>
          <w:b/>
          <w:bCs/>
          <w:color w:val="auto"/>
          <w:sz w:val="23"/>
          <w:szCs w:val="23"/>
        </w:rPr>
        <w:t>Act</w:t>
      </w:r>
      <w:r w:rsidRPr="004C4769">
        <w:rPr>
          <w:bCs/>
          <w:color w:val="auto"/>
          <w:sz w:val="23"/>
          <w:szCs w:val="23"/>
        </w:rPr>
        <w:t>)</w:t>
      </w:r>
      <w:r w:rsidR="000F5456">
        <w:rPr>
          <w:bCs/>
          <w:color w:val="auto"/>
          <w:sz w:val="23"/>
          <w:szCs w:val="23"/>
        </w:rPr>
        <w:t>,</w:t>
      </w:r>
      <w:r w:rsidRPr="004C4769">
        <w:rPr>
          <w:bCs/>
          <w:color w:val="auto"/>
          <w:sz w:val="23"/>
          <w:szCs w:val="23"/>
        </w:rPr>
        <w:t xml:space="preserve"> replaced the various State and Territory laws</w:t>
      </w:r>
      <w:r w:rsidR="005C2387">
        <w:rPr>
          <w:bCs/>
          <w:color w:val="auto"/>
          <w:sz w:val="23"/>
          <w:szCs w:val="23"/>
        </w:rPr>
        <w:t xml:space="preserve"> that had previously been used to implement MEPS</w:t>
      </w:r>
      <w:r w:rsidRPr="004C4769">
        <w:rPr>
          <w:bCs/>
          <w:color w:val="auto"/>
          <w:sz w:val="23"/>
          <w:szCs w:val="23"/>
        </w:rPr>
        <w:t>.  The new Act sets out participation requirements as well as a range of offences for non-compliance.</w:t>
      </w:r>
    </w:p>
    <w:p w:rsidR="00EC4963" w:rsidRPr="004C4769" w:rsidRDefault="00EC4963" w:rsidP="00EC4963">
      <w:pPr>
        <w:pStyle w:val="Default"/>
        <w:rPr>
          <w:bCs/>
          <w:color w:val="auto"/>
          <w:sz w:val="16"/>
          <w:szCs w:val="16"/>
        </w:rPr>
      </w:pPr>
    </w:p>
    <w:p w:rsidR="00EC4963" w:rsidRPr="004C4769" w:rsidRDefault="00EC4963" w:rsidP="00EC4963">
      <w:pPr>
        <w:pStyle w:val="Default"/>
        <w:rPr>
          <w:bCs/>
          <w:color w:val="auto"/>
          <w:sz w:val="23"/>
          <w:szCs w:val="23"/>
        </w:rPr>
      </w:pPr>
      <w:r w:rsidRPr="004C4769">
        <w:rPr>
          <w:bCs/>
          <w:color w:val="auto"/>
          <w:sz w:val="23"/>
          <w:szCs w:val="23"/>
        </w:rPr>
        <w:t xml:space="preserve">A key change from the previous State and Territory laws is the extension of coverage to include both the offer to supply and </w:t>
      </w:r>
      <w:r w:rsidR="00075C78">
        <w:rPr>
          <w:bCs/>
          <w:color w:val="auto"/>
          <w:sz w:val="23"/>
          <w:szCs w:val="23"/>
        </w:rPr>
        <w:t xml:space="preserve">the </w:t>
      </w:r>
      <w:r w:rsidRPr="004C4769">
        <w:rPr>
          <w:bCs/>
          <w:color w:val="auto"/>
          <w:sz w:val="23"/>
          <w:szCs w:val="23"/>
        </w:rPr>
        <w:t>commercial use of regulated products.  If you purchase regulated transformers overseas and import them for your own commercial use they must still comply with the law</w:t>
      </w:r>
      <w:r w:rsidR="00E915F4">
        <w:rPr>
          <w:bCs/>
          <w:color w:val="auto"/>
          <w:sz w:val="23"/>
          <w:szCs w:val="23"/>
        </w:rPr>
        <w:t>, even though the supply</w:t>
      </w:r>
      <w:r w:rsidR="005142A1">
        <w:rPr>
          <w:rStyle w:val="FootnoteReference"/>
          <w:bCs/>
          <w:color w:val="auto"/>
          <w:sz w:val="23"/>
          <w:szCs w:val="23"/>
        </w:rPr>
        <w:footnoteReference w:id="1"/>
      </w:r>
      <w:r w:rsidR="00E915F4">
        <w:rPr>
          <w:bCs/>
          <w:color w:val="auto"/>
          <w:sz w:val="23"/>
          <w:szCs w:val="23"/>
        </w:rPr>
        <w:t xml:space="preserve"> event occurred outside</w:t>
      </w:r>
      <w:r w:rsidR="00050269">
        <w:rPr>
          <w:bCs/>
          <w:color w:val="auto"/>
          <w:sz w:val="23"/>
          <w:szCs w:val="23"/>
        </w:rPr>
        <w:t xml:space="preserve"> </w:t>
      </w:r>
      <w:r w:rsidR="00E915F4">
        <w:rPr>
          <w:bCs/>
          <w:color w:val="auto"/>
          <w:sz w:val="23"/>
          <w:szCs w:val="23"/>
        </w:rPr>
        <w:t>Australia</w:t>
      </w:r>
      <w:r w:rsidRPr="004C4769">
        <w:rPr>
          <w:bCs/>
          <w:color w:val="auto"/>
          <w:sz w:val="23"/>
          <w:szCs w:val="23"/>
        </w:rPr>
        <w:t>.</w:t>
      </w:r>
    </w:p>
    <w:p w:rsidR="005C2387" w:rsidRPr="004C4769" w:rsidRDefault="005C2387" w:rsidP="00EC4963">
      <w:pPr>
        <w:pStyle w:val="Default"/>
        <w:rPr>
          <w:b/>
          <w:bCs/>
          <w:color w:val="auto"/>
          <w:sz w:val="23"/>
          <w:szCs w:val="23"/>
        </w:rPr>
      </w:pPr>
      <w:r>
        <w:rPr>
          <w:b/>
          <w:bCs/>
          <w:color w:val="auto"/>
          <w:sz w:val="23"/>
          <w:szCs w:val="23"/>
        </w:rPr>
        <w:lastRenderedPageBreak/>
        <w:t>Specific requirements for transformers</w:t>
      </w:r>
    </w:p>
    <w:p w:rsidR="005C2387" w:rsidRPr="004C4769" w:rsidRDefault="005C2387" w:rsidP="00EC4963">
      <w:pPr>
        <w:pStyle w:val="Default"/>
        <w:rPr>
          <w:bCs/>
          <w:color w:val="auto"/>
          <w:sz w:val="16"/>
          <w:szCs w:val="16"/>
        </w:rPr>
      </w:pPr>
    </w:p>
    <w:p w:rsidR="00FA2825" w:rsidRPr="004C4769" w:rsidRDefault="00FA2825" w:rsidP="00FA2825">
      <w:pPr>
        <w:pStyle w:val="Default"/>
        <w:rPr>
          <w:bCs/>
          <w:color w:val="auto"/>
          <w:sz w:val="23"/>
          <w:szCs w:val="23"/>
        </w:rPr>
      </w:pPr>
      <w:r w:rsidRPr="00FA2825">
        <w:rPr>
          <w:bCs/>
          <w:color w:val="auto"/>
          <w:sz w:val="23"/>
          <w:szCs w:val="23"/>
        </w:rPr>
        <w:t xml:space="preserve">In Australia, regulatory requirements for </w:t>
      </w:r>
      <w:r>
        <w:rPr>
          <w:bCs/>
          <w:color w:val="auto"/>
          <w:sz w:val="23"/>
          <w:szCs w:val="23"/>
        </w:rPr>
        <w:t>distribution transformers</w:t>
      </w:r>
      <w:r w:rsidRPr="00FA2825">
        <w:rPr>
          <w:bCs/>
          <w:color w:val="auto"/>
          <w:sz w:val="23"/>
          <w:szCs w:val="23"/>
        </w:rPr>
        <w:t xml:space="preserve"> are set under the </w:t>
      </w:r>
      <w:r w:rsidRPr="004C4769">
        <w:rPr>
          <w:bCs/>
          <w:i/>
          <w:color w:val="auto"/>
          <w:sz w:val="23"/>
          <w:szCs w:val="23"/>
        </w:rPr>
        <w:t>Greenhouse and Energy Minimum Standards (</w:t>
      </w:r>
      <w:r>
        <w:rPr>
          <w:bCs/>
          <w:i/>
          <w:color w:val="auto"/>
          <w:sz w:val="23"/>
          <w:szCs w:val="23"/>
        </w:rPr>
        <w:t>Power Transformers</w:t>
      </w:r>
      <w:r w:rsidRPr="004C4769">
        <w:rPr>
          <w:bCs/>
          <w:i/>
          <w:color w:val="auto"/>
          <w:sz w:val="23"/>
          <w:szCs w:val="23"/>
        </w:rPr>
        <w:t>) Determination 2012</w:t>
      </w:r>
      <w:r w:rsidRPr="00FA2825">
        <w:rPr>
          <w:bCs/>
          <w:color w:val="auto"/>
          <w:sz w:val="23"/>
          <w:szCs w:val="23"/>
        </w:rPr>
        <w:t xml:space="preserve"> (</w:t>
      </w:r>
      <w:r w:rsidRPr="00E7682E">
        <w:rPr>
          <w:b/>
          <w:bCs/>
          <w:color w:val="auto"/>
          <w:sz w:val="23"/>
          <w:szCs w:val="23"/>
        </w:rPr>
        <w:t>Determination</w:t>
      </w:r>
      <w:r w:rsidRPr="00FA2825">
        <w:rPr>
          <w:bCs/>
          <w:color w:val="auto"/>
          <w:sz w:val="23"/>
          <w:szCs w:val="23"/>
        </w:rPr>
        <w:t xml:space="preserve">). The Determination specifies what products </w:t>
      </w:r>
      <w:r w:rsidRPr="00FA2825">
        <w:rPr>
          <w:b/>
          <w:bCs/>
          <w:color w:val="auto"/>
          <w:sz w:val="23"/>
          <w:szCs w:val="23"/>
        </w:rPr>
        <w:t xml:space="preserve">are </w:t>
      </w:r>
      <w:r w:rsidRPr="00FA2825">
        <w:rPr>
          <w:bCs/>
          <w:color w:val="auto"/>
          <w:sz w:val="23"/>
          <w:szCs w:val="23"/>
        </w:rPr>
        <w:t xml:space="preserve">and </w:t>
      </w:r>
      <w:proofErr w:type="gramStart"/>
      <w:r w:rsidRPr="00FA2825">
        <w:rPr>
          <w:b/>
          <w:bCs/>
          <w:color w:val="auto"/>
          <w:sz w:val="23"/>
          <w:szCs w:val="23"/>
        </w:rPr>
        <w:t>are</w:t>
      </w:r>
      <w:proofErr w:type="gramEnd"/>
      <w:r w:rsidRPr="00FA2825">
        <w:rPr>
          <w:b/>
          <w:bCs/>
          <w:color w:val="auto"/>
          <w:sz w:val="23"/>
          <w:szCs w:val="23"/>
        </w:rPr>
        <w:t xml:space="preserve"> not </w:t>
      </w:r>
      <w:r w:rsidRPr="00FA2825">
        <w:rPr>
          <w:bCs/>
          <w:color w:val="auto"/>
          <w:sz w:val="23"/>
          <w:szCs w:val="23"/>
        </w:rPr>
        <w:t xml:space="preserve">covered, and incorporates requirements for </w:t>
      </w:r>
      <w:r>
        <w:rPr>
          <w:bCs/>
          <w:color w:val="auto"/>
          <w:sz w:val="23"/>
          <w:szCs w:val="23"/>
        </w:rPr>
        <w:t>MEPS</w:t>
      </w:r>
      <w:r w:rsidRPr="00FA2825">
        <w:rPr>
          <w:bCs/>
          <w:color w:val="auto"/>
          <w:sz w:val="23"/>
          <w:szCs w:val="23"/>
        </w:rPr>
        <w:t xml:space="preserve"> and testing from the relevant Australian Standard by reference.</w:t>
      </w:r>
    </w:p>
    <w:p w:rsidR="00FA2825" w:rsidRPr="004C4769" w:rsidRDefault="00FA2825" w:rsidP="00EC4963">
      <w:pPr>
        <w:pStyle w:val="Default"/>
        <w:rPr>
          <w:bCs/>
          <w:color w:val="auto"/>
          <w:sz w:val="16"/>
          <w:szCs w:val="16"/>
        </w:rPr>
      </w:pPr>
    </w:p>
    <w:p w:rsidR="00EC4963" w:rsidRDefault="00FA2825" w:rsidP="00EC4963">
      <w:pPr>
        <w:pStyle w:val="Default"/>
        <w:rPr>
          <w:b/>
          <w:bCs/>
          <w:color w:val="auto"/>
          <w:sz w:val="23"/>
          <w:szCs w:val="23"/>
        </w:rPr>
      </w:pPr>
      <w:r>
        <w:rPr>
          <w:b/>
          <w:bCs/>
          <w:color w:val="auto"/>
          <w:sz w:val="23"/>
          <w:szCs w:val="23"/>
        </w:rPr>
        <w:t>What transformers are covered?</w:t>
      </w:r>
    </w:p>
    <w:p w:rsidR="00EC4963" w:rsidRPr="004C4769" w:rsidRDefault="00EC4963" w:rsidP="00EC4963">
      <w:pPr>
        <w:pStyle w:val="Default"/>
        <w:rPr>
          <w:b/>
          <w:bCs/>
          <w:color w:val="auto"/>
          <w:sz w:val="16"/>
          <w:szCs w:val="16"/>
        </w:rPr>
      </w:pPr>
    </w:p>
    <w:p w:rsidR="00711754" w:rsidRDefault="00711754" w:rsidP="00711754">
      <w:pPr>
        <w:pStyle w:val="Default"/>
        <w:rPr>
          <w:bCs/>
          <w:color w:val="auto"/>
          <w:sz w:val="23"/>
          <w:szCs w:val="23"/>
        </w:rPr>
      </w:pPr>
      <w:r>
        <w:rPr>
          <w:bCs/>
          <w:color w:val="auto"/>
          <w:sz w:val="23"/>
          <w:szCs w:val="23"/>
        </w:rPr>
        <w:t>The Determination covers o</w:t>
      </w:r>
      <w:r w:rsidRPr="004C4769">
        <w:rPr>
          <w:bCs/>
          <w:color w:val="auto"/>
          <w:sz w:val="23"/>
          <w:szCs w:val="23"/>
        </w:rPr>
        <w:t xml:space="preserve">il </w:t>
      </w:r>
      <w:r>
        <w:rPr>
          <w:bCs/>
          <w:color w:val="auto"/>
          <w:sz w:val="23"/>
          <w:szCs w:val="23"/>
        </w:rPr>
        <w:t>immersed type and</w:t>
      </w:r>
      <w:r w:rsidRPr="004C4769">
        <w:rPr>
          <w:bCs/>
          <w:color w:val="auto"/>
          <w:sz w:val="23"/>
          <w:szCs w:val="23"/>
        </w:rPr>
        <w:t xml:space="preserve"> dry</w:t>
      </w:r>
      <w:r>
        <w:rPr>
          <w:bCs/>
          <w:color w:val="auto"/>
          <w:sz w:val="23"/>
          <w:szCs w:val="23"/>
        </w:rPr>
        <w:t>-type distribution transformers, both single and three phase:</w:t>
      </w:r>
    </w:p>
    <w:p w:rsidR="00711754" w:rsidRDefault="00711754" w:rsidP="00711754">
      <w:pPr>
        <w:pStyle w:val="Default"/>
        <w:numPr>
          <w:ilvl w:val="0"/>
          <w:numId w:val="4"/>
        </w:numPr>
        <w:rPr>
          <w:bCs/>
          <w:color w:val="auto"/>
          <w:sz w:val="23"/>
          <w:szCs w:val="23"/>
        </w:rPr>
      </w:pPr>
      <w:r w:rsidRPr="004C4769">
        <w:rPr>
          <w:bCs/>
          <w:color w:val="auto"/>
          <w:sz w:val="23"/>
          <w:szCs w:val="23"/>
        </w:rPr>
        <w:t xml:space="preserve">with </w:t>
      </w:r>
      <w:r>
        <w:rPr>
          <w:bCs/>
          <w:color w:val="auto"/>
          <w:sz w:val="23"/>
          <w:szCs w:val="23"/>
        </w:rPr>
        <w:t xml:space="preserve">power </w:t>
      </w:r>
      <w:r w:rsidRPr="004C4769">
        <w:rPr>
          <w:bCs/>
          <w:color w:val="auto"/>
          <w:sz w:val="23"/>
          <w:szCs w:val="23"/>
        </w:rPr>
        <w:t>rating</w:t>
      </w:r>
      <w:r>
        <w:rPr>
          <w:bCs/>
          <w:color w:val="auto"/>
          <w:sz w:val="23"/>
          <w:szCs w:val="23"/>
        </w:rPr>
        <w:t>s</w:t>
      </w:r>
      <w:r w:rsidRPr="004C4769">
        <w:rPr>
          <w:bCs/>
          <w:color w:val="auto"/>
          <w:sz w:val="23"/>
          <w:szCs w:val="23"/>
        </w:rPr>
        <w:t xml:space="preserve"> between 10 and 2500 KVA</w:t>
      </w:r>
      <w:r>
        <w:rPr>
          <w:bCs/>
          <w:color w:val="auto"/>
          <w:sz w:val="23"/>
          <w:szCs w:val="23"/>
        </w:rPr>
        <w:t>;</w:t>
      </w:r>
      <w:r w:rsidRPr="004C4769">
        <w:rPr>
          <w:bCs/>
          <w:color w:val="auto"/>
          <w:sz w:val="23"/>
          <w:szCs w:val="23"/>
        </w:rPr>
        <w:t xml:space="preserve"> </w:t>
      </w:r>
    </w:p>
    <w:p w:rsidR="00711754" w:rsidRDefault="00711754" w:rsidP="00711754">
      <w:pPr>
        <w:pStyle w:val="Default"/>
        <w:numPr>
          <w:ilvl w:val="0"/>
          <w:numId w:val="4"/>
        </w:numPr>
        <w:rPr>
          <w:bCs/>
          <w:color w:val="auto"/>
          <w:sz w:val="23"/>
          <w:szCs w:val="23"/>
        </w:rPr>
      </w:pPr>
      <w:r>
        <w:rPr>
          <w:bCs/>
          <w:color w:val="auto"/>
          <w:sz w:val="23"/>
          <w:szCs w:val="23"/>
        </w:rPr>
        <w:t>with</w:t>
      </w:r>
      <w:r w:rsidRPr="004C4769">
        <w:rPr>
          <w:bCs/>
          <w:color w:val="auto"/>
          <w:sz w:val="23"/>
          <w:szCs w:val="23"/>
        </w:rPr>
        <w:t xml:space="preserve"> a </w:t>
      </w:r>
      <w:r>
        <w:rPr>
          <w:bCs/>
          <w:color w:val="auto"/>
          <w:sz w:val="23"/>
          <w:szCs w:val="23"/>
        </w:rPr>
        <w:t xml:space="preserve">system highest </w:t>
      </w:r>
      <w:r w:rsidRPr="004C4769">
        <w:rPr>
          <w:bCs/>
          <w:color w:val="auto"/>
          <w:sz w:val="23"/>
          <w:szCs w:val="23"/>
        </w:rPr>
        <w:t>voltage of 2</w:t>
      </w:r>
      <w:r>
        <w:rPr>
          <w:bCs/>
          <w:color w:val="auto"/>
          <w:sz w:val="23"/>
          <w:szCs w:val="23"/>
        </w:rPr>
        <w:t>4</w:t>
      </w:r>
      <w:r w:rsidRPr="004C4769">
        <w:rPr>
          <w:bCs/>
          <w:color w:val="auto"/>
          <w:sz w:val="23"/>
          <w:szCs w:val="23"/>
        </w:rPr>
        <w:t xml:space="preserve"> kV</w:t>
      </w:r>
      <w:r>
        <w:rPr>
          <w:bCs/>
          <w:color w:val="auto"/>
          <w:sz w:val="23"/>
          <w:szCs w:val="23"/>
        </w:rPr>
        <w:t>;</w:t>
      </w:r>
      <w:r w:rsidRPr="000D4CC4">
        <w:rPr>
          <w:bCs/>
          <w:color w:val="auto"/>
          <w:sz w:val="23"/>
          <w:szCs w:val="23"/>
        </w:rPr>
        <w:t xml:space="preserve"> </w:t>
      </w:r>
      <w:r w:rsidRPr="004C4769">
        <w:rPr>
          <w:bCs/>
          <w:color w:val="auto"/>
          <w:sz w:val="23"/>
          <w:szCs w:val="23"/>
        </w:rPr>
        <w:t>and</w:t>
      </w:r>
    </w:p>
    <w:p w:rsidR="00711754" w:rsidRPr="004C4769" w:rsidRDefault="00711754" w:rsidP="00711754">
      <w:pPr>
        <w:pStyle w:val="Default"/>
        <w:numPr>
          <w:ilvl w:val="0"/>
          <w:numId w:val="4"/>
        </w:numPr>
        <w:rPr>
          <w:bCs/>
          <w:color w:val="auto"/>
          <w:sz w:val="23"/>
          <w:szCs w:val="23"/>
        </w:rPr>
      </w:pPr>
      <w:proofErr w:type="gramStart"/>
      <w:r>
        <w:rPr>
          <w:bCs/>
          <w:color w:val="auto"/>
          <w:sz w:val="23"/>
          <w:szCs w:val="23"/>
        </w:rPr>
        <w:t>that</w:t>
      </w:r>
      <w:proofErr w:type="gramEnd"/>
      <w:r>
        <w:rPr>
          <w:bCs/>
          <w:color w:val="auto"/>
          <w:sz w:val="23"/>
          <w:szCs w:val="23"/>
        </w:rPr>
        <w:t xml:space="preserve"> are designed for 11 or 22kV networks</w:t>
      </w:r>
      <w:r w:rsidRPr="004C4769">
        <w:rPr>
          <w:bCs/>
          <w:color w:val="auto"/>
          <w:sz w:val="23"/>
          <w:szCs w:val="23"/>
        </w:rPr>
        <w:t>.</w:t>
      </w:r>
    </w:p>
    <w:p w:rsidR="00EC4963" w:rsidRPr="004C4769" w:rsidRDefault="00EC4963" w:rsidP="00EC4963">
      <w:pPr>
        <w:pStyle w:val="Default"/>
        <w:rPr>
          <w:bCs/>
          <w:color w:val="auto"/>
          <w:sz w:val="16"/>
          <w:szCs w:val="16"/>
        </w:rPr>
      </w:pPr>
    </w:p>
    <w:p w:rsidR="00EC4963" w:rsidRDefault="004C4769" w:rsidP="00EC4963">
      <w:pPr>
        <w:pStyle w:val="Default"/>
        <w:rPr>
          <w:bCs/>
          <w:color w:val="auto"/>
          <w:sz w:val="23"/>
          <w:szCs w:val="23"/>
        </w:rPr>
      </w:pPr>
      <w:r w:rsidRPr="004C4769">
        <w:rPr>
          <w:bCs/>
          <w:color w:val="auto"/>
          <w:sz w:val="23"/>
          <w:szCs w:val="23"/>
        </w:rPr>
        <w:t xml:space="preserve">This </w:t>
      </w:r>
      <w:r w:rsidR="00EC4963" w:rsidRPr="004C4769">
        <w:rPr>
          <w:bCs/>
          <w:color w:val="auto"/>
          <w:sz w:val="23"/>
          <w:szCs w:val="23"/>
        </w:rPr>
        <w:t xml:space="preserve">covers transformers installed </w:t>
      </w:r>
      <w:r w:rsidRPr="004C4769">
        <w:rPr>
          <w:bCs/>
          <w:color w:val="auto"/>
          <w:sz w:val="23"/>
          <w:szCs w:val="23"/>
        </w:rPr>
        <w:t xml:space="preserve">both </w:t>
      </w:r>
      <w:r w:rsidR="00EC4963" w:rsidRPr="004C4769">
        <w:rPr>
          <w:bCs/>
          <w:color w:val="auto"/>
          <w:sz w:val="23"/>
          <w:szCs w:val="23"/>
        </w:rPr>
        <w:t xml:space="preserve">in public </w:t>
      </w:r>
      <w:r w:rsidRPr="004C4769">
        <w:rPr>
          <w:bCs/>
          <w:color w:val="auto"/>
          <w:sz w:val="23"/>
          <w:szCs w:val="23"/>
        </w:rPr>
        <w:t xml:space="preserve">and </w:t>
      </w:r>
      <w:r w:rsidR="00EC4963" w:rsidRPr="004C4769">
        <w:rPr>
          <w:bCs/>
          <w:color w:val="auto"/>
          <w:sz w:val="23"/>
          <w:szCs w:val="23"/>
        </w:rPr>
        <w:t>privately owned electrical distribution systems</w:t>
      </w:r>
      <w:r w:rsidRPr="004C4769">
        <w:rPr>
          <w:bCs/>
          <w:color w:val="auto"/>
          <w:sz w:val="23"/>
          <w:szCs w:val="23"/>
        </w:rPr>
        <w:t>, whether</w:t>
      </w:r>
      <w:r w:rsidR="00EC4963" w:rsidRPr="004C4769">
        <w:rPr>
          <w:bCs/>
          <w:color w:val="auto"/>
          <w:sz w:val="23"/>
          <w:szCs w:val="23"/>
        </w:rPr>
        <w:t xml:space="preserve"> installed within on</w:t>
      </w:r>
      <w:r w:rsidRPr="004C4769">
        <w:rPr>
          <w:bCs/>
          <w:color w:val="auto"/>
          <w:sz w:val="23"/>
          <w:szCs w:val="23"/>
        </w:rPr>
        <w:t xml:space="preserve">-main grid </w:t>
      </w:r>
      <w:r w:rsidR="00EC4963" w:rsidRPr="004C4769">
        <w:rPr>
          <w:bCs/>
          <w:color w:val="auto"/>
          <w:sz w:val="23"/>
          <w:szCs w:val="23"/>
        </w:rPr>
        <w:t>systems</w:t>
      </w:r>
      <w:r w:rsidRPr="004C4769">
        <w:rPr>
          <w:bCs/>
          <w:color w:val="auto"/>
          <w:sz w:val="23"/>
          <w:szCs w:val="23"/>
        </w:rPr>
        <w:t>, or off-main grid systems</w:t>
      </w:r>
      <w:r w:rsidR="00EC4963" w:rsidRPr="004C4769">
        <w:rPr>
          <w:bCs/>
          <w:color w:val="auto"/>
          <w:sz w:val="23"/>
          <w:szCs w:val="23"/>
        </w:rPr>
        <w:t xml:space="preserve"> such as mining sites etc.</w:t>
      </w:r>
      <w:r w:rsidR="004A2573">
        <w:rPr>
          <w:bCs/>
          <w:color w:val="auto"/>
          <w:sz w:val="23"/>
          <w:szCs w:val="23"/>
        </w:rPr>
        <w:t xml:space="preserve">  </w:t>
      </w:r>
      <w:r w:rsidR="004A2573" w:rsidRPr="004A2573">
        <w:rPr>
          <w:bCs/>
          <w:color w:val="auto"/>
          <w:sz w:val="23"/>
          <w:szCs w:val="23"/>
        </w:rPr>
        <w:t xml:space="preserve">Privately owned transformers installed in commercial or industrial facilities where the voltage of the primary winding is either 11 or 22 kV </w:t>
      </w:r>
      <w:r w:rsidR="00D2704F">
        <w:rPr>
          <w:bCs/>
          <w:color w:val="auto"/>
          <w:sz w:val="23"/>
          <w:szCs w:val="23"/>
        </w:rPr>
        <w:t xml:space="preserve">are </w:t>
      </w:r>
      <w:r w:rsidR="004A2573" w:rsidRPr="004A2573">
        <w:rPr>
          <w:bCs/>
          <w:color w:val="auto"/>
          <w:sz w:val="23"/>
          <w:szCs w:val="23"/>
        </w:rPr>
        <w:t xml:space="preserve">also </w:t>
      </w:r>
      <w:r w:rsidR="00D2704F">
        <w:rPr>
          <w:bCs/>
          <w:color w:val="auto"/>
          <w:sz w:val="23"/>
          <w:szCs w:val="23"/>
        </w:rPr>
        <w:t>covered</w:t>
      </w:r>
      <w:r w:rsidR="004A2573" w:rsidRPr="004A2573">
        <w:rPr>
          <w:bCs/>
          <w:color w:val="auto"/>
          <w:sz w:val="23"/>
          <w:szCs w:val="23"/>
        </w:rPr>
        <w:t>.</w:t>
      </w:r>
    </w:p>
    <w:p w:rsidR="004A2573" w:rsidRPr="004A2573" w:rsidRDefault="004A2573" w:rsidP="00EC4963">
      <w:pPr>
        <w:pStyle w:val="Default"/>
        <w:rPr>
          <w:bCs/>
          <w:color w:val="auto"/>
          <w:sz w:val="16"/>
          <w:szCs w:val="16"/>
        </w:rPr>
      </w:pPr>
    </w:p>
    <w:p w:rsidR="004A2573" w:rsidRDefault="004A2573" w:rsidP="00EC4963">
      <w:pPr>
        <w:pStyle w:val="Default"/>
        <w:rPr>
          <w:bCs/>
          <w:color w:val="auto"/>
          <w:sz w:val="23"/>
          <w:szCs w:val="23"/>
        </w:rPr>
      </w:pPr>
      <w:r w:rsidRPr="006925C7">
        <w:rPr>
          <w:bCs/>
          <w:i/>
          <w:color w:val="auto"/>
          <w:sz w:val="23"/>
          <w:szCs w:val="23"/>
        </w:rPr>
        <w:t>Dry-type transformer</w:t>
      </w:r>
      <w:r w:rsidRPr="006925C7">
        <w:rPr>
          <w:bCs/>
          <w:color w:val="auto"/>
          <w:sz w:val="23"/>
          <w:szCs w:val="23"/>
        </w:rPr>
        <w:t xml:space="preserve"> means a transformer of which the magnetic circuit and windings are not immersed in an insulating liquid.  </w:t>
      </w:r>
      <w:r w:rsidRPr="006925C7">
        <w:rPr>
          <w:bCs/>
          <w:i/>
          <w:color w:val="auto"/>
          <w:sz w:val="23"/>
          <w:szCs w:val="23"/>
        </w:rPr>
        <w:t>Oil-immersed type transformer</w:t>
      </w:r>
      <w:r w:rsidRPr="006925C7">
        <w:rPr>
          <w:bCs/>
          <w:color w:val="auto"/>
          <w:sz w:val="23"/>
          <w:szCs w:val="23"/>
        </w:rPr>
        <w:t xml:space="preserve"> means a transformer of </w:t>
      </w:r>
      <w:r w:rsidRPr="006925C7">
        <w:rPr>
          <w:bCs/>
          <w:color w:val="auto"/>
          <w:sz w:val="23"/>
          <w:szCs w:val="23"/>
        </w:rPr>
        <w:lastRenderedPageBreak/>
        <w:t>which the magnetic circuit and windings are immersed in oil.</w:t>
      </w:r>
    </w:p>
    <w:p w:rsidR="00E77641" w:rsidRPr="004C4769" w:rsidRDefault="00E77641" w:rsidP="00EC4963">
      <w:pPr>
        <w:pStyle w:val="Default"/>
        <w:rPr>
          <w:bCs/>
          <w:color w:val="auto"/>
          <w:sz w:val="16"/>
          <w:szCs w:val="16"/>
        </w:rPr>
      </w:pPr>
    </w:p>
    <w:p w:rsidR="004A2573" w:rsidRPr="004C4769" w:rsidRDefault="004A2573" w:rsidP="004A2573">
      <w:pPr>
        <w:pStyle w:val="Default"/>
        <w:rPr>
          <w:b/>
          <w:bCs/>
          <w:color w:val="auto"/>
          <w:sz w:val="23"/>
          <w:szCs w:val="23"/>
        </w:rPr>
      </w:pPr>
      <w:r>
        <w:rPr>
          <w:b/>
          <w:bCs/>
          <w:color w:val="auto"/>
          <w:sz w:val="23"/>
          <w:szCs w:val="23"/>
        </w:rPr>
        <w:t>MEPS Requirements</w:t>
      </w:r>
    </w:p>
    <w:p w:rsidR="004A2573" w:rsidRPr="004C4769" w:rsidRDefault="004A2573" w:rsidP="004A2573">
      <w:pPr>
        <w:pStyle w:val="Default"/>
        <w:rPr>
          <w:color w:val="auto"/>
          <w:sz w:val="16"/>
          <w:szCs w:val="16"/>
        </w:rPr>
      </w:pPr>
    </w:p>
    <w:p w:rsidR="004A2573" w:rsidRPr="004C4769" w:rsidRDefault="004A2573" w:rsidP="004A2573">
      <w:pPr>
        <w:pStyle w:val="Default"/>
        <w:rPr>
          <w:color w:val="auto"/>
          <w:sz w:val="23"/>
          <w:szCs w:val="23"/>
        </w:rPr>
      </w:pPr>
      <w:r>
        <w:rPr>
          <w:color w:val="auto"/>
          <w:sz w:val="23"/>
          <w:szCs w:val="23"/>
        </w:rPr>
        <w:t xml:space="preserve">MEPS requirements are </w:t>
      </w:r>
      <w:r w:rsidRPr="00E77641">
        <w:rPr>
          <w:color w:val="auto"/>
          <w:sz w:val="23"/>
          <w:szCs w:val="23"/>
        </w:rPr>
        <w:t>set out in Section 2 of AS 2374.1.2-2003</w:t>
      </w:r>
      <w:r>
        <w:rPr>
          <w:color w:val="auto"/>
          <w:sz w:val="23"/>
          <w:szCs w:val="23"/>
        </w:rPr>
        <w:t>, and are set in relation to power efficiency at 50 per cent load.</w:t>
      </w:r>
    </w:p>
    <w:p w:rsidR="004A2573" w:rsidRPr="004C4769" w:rsidRDefault="004A2573" w:rsidP="004A2573">
      <w:pPr>
        <w:pStyle w:val="Default"/>
        <w:rPr>
          <w:color w:val="auto"/>
          <w:sz w:val="16"/>
          <w:szCs w:val="16"/>
        </w:rPr>
      </w:pPr>
    </w:p>
    <w:p w:rsidR="00E77641" w:rsidRDefault="00E77641" w:rsidP="00EC4963">
      <w:pPr>
        <w:pStyle w:val="Default"/>
        <w:rPr>
          <w:b/>
          <w:bCs/>
          <w:color w:val="auto"/>
          <w:sz w:val="23"/>
          <w:szCs w:val="23"/>
        </w:rPr>
      </w:pPr>
      <w:r>
        <w:rPr>
          <w:b/>
          <w:bCs/>
          <w:color w:val="auto"/>
          <w:sz w:val="23"/>
          <w:szCs w:val="23"/>
        </w:rPr>
        <w:t>Testing Requirements</w:t>
      </w:r>
    </w:p>
    <w:p w:rsidR="000E4504" w:rsidRPr="004C4769" w:rsidRDefault="000E4504" w:rsidP="00E77641">
      <w:pPr>
        <w:pStyle w:val="Default"/>
        <w:rPr>
          <w:bCs/>
          <w:color w:val="auto"/>
          <w:sz w:val="16"/>
          <w:szCs w:val="16"/>
        </w:rPr>
      </w:pPr>
    </w:p>
    <w:p w:rsidR="00E77641" w:rsidRDefault="00E77641" w:rsidP="00E77641">
      <w:pPr>
        <w:pStyle w:val="Default"/>
        <w:rPr>
          <w:bCs/>
          <w:color w:val="auto"/>
          <w:sz w:val="23"/>
          <w:szCs w:val="23"/>
        </w:rPr>
      </w:pPr>
      <w:r>
        <w:rPr>
          <w:bCs/>
          <w:color w:val="auto"/>
          <w:sz w:val="23"/>
          <w:szCs w:val="23"/>
        </w:rPr>
        <w:t>Transformers</w:t>
      </w:r>
      <w:r w:rsidRPr="004C4769">
        <w:rPr>
          <w:bCs/>
          <w:color w:val="auto"/>
          <w:sz w:val="23"/>
          <w:szCs w:val="23"/>
        </w:rPr>
        <w:t xml:space="preserve"> must be </w:t>
      </w:r>
      <w:r w:rsidRPr="00E77641">
        <w:rPr>
          <w:b/>
          <w:bCs/>
          <w:color w:val="auto"/>
          <w:sz w:val="23"/>
          <w:szCs w:val="23"/>
          <w:lang w:val="en"/>
        </w:rPr>
        <w:t>laboratory tested</w:t>
      </w:r>
      <w:r w:rsidRPr="00E77641">
        <w:rPr>
          <w:bCs/>
          <w:color w:val="auto"/>
          <w:sz w:val="23"/>
          <w:szCs w:val="23"/>
          <w:lang w:val="en"/>
        </w:rPr>
        <w:t xml:space="preserve"> to </w:t>
      </w:r>
      <w:r>
        <w:rPr>
          <w:bCs/>
          <w:color w:val="auto"/>
          <w:sz w:val="23"/>
          <w:szCs w:val="23"/>
          <w:lang w:val="en"/>
        </w:rPr>
        <w:t>verify</w:t>
      </w:r>
      <w:r w:rsidRPr="00E77641">
        <w:rPr>
          <w:bCs/>
          <w:color w:val="auto"/>
          <w:sz w:val="23"/>
          <w:szCs w:val="23"/>
          <w:lang w:val="en"/>
        </w:rPr>
        <w:t xml:space="preserve"> </w:t>
      </w:r>
      <w:r>
        <w:rPr>
          <w:bCs/>
          <w:color w:val="auto"/>
          <w:sz w:val="23"/>
          <w:szCs w:val="23"/>
          <w:lang w:val="en"/>
        </w:rPr>
        <w:t>their</w:t>
      </w:r>
      <w:r w:rsidRPr="00E77641">
        <w:rPr>
          <w:bCs/>
          <w:color w:val="auto"/>
          <w:sz w:val="23"/>
          <w:szCs w:val="23"/>
          <w:lang w:val="en"/>
        </w:rPr>
        <w:t xml:space="preserve"> energy performance.  </w:t>
      </w:r>
      <w:r>
        <w:rPr>
          <w:bCs/>
          <w:color w:val="auto"/>
          <w:sz w:val="23"/>
          <w:szCs w:val="23"/>
          <w:lang w:val="en"/>
        </w:rPr>
        <w:t>The t</w:t>
      </w:r>
      <w:r w:rsidRPr="00E77641">
        <w:rPr>
          <w:bCs/>
          <w:color w:val="auto"/>
          <w:sz w:val="23"/>
          <w:szCs w:val="23"/>
          <w:lang w:val="en"/>
        </w:rPr>
        <w:t xml:space="preserve">est requirements and calculations are specified in Section 4 of </w:t>
      </w:r>
      <w:r w:rsidRPr="00E77641">
        <w:rPr>
          <w:bCs/>
          <w:color w:val="auto"/>
          <w:sz w:val="23"/>
          <w:szCs w:val="23"/>
        </w:rPr>
        <w:t xml:space="preserve">AS 2374.1.2-2003.  </w:t>
      </w:r>
      <w:r>
        <w:rPr>
          <w:bCs/>
          <w:color w:val="auto"/>
          <w:sz w:val="23"/>
          <w:szCs w:val="23"/>
        </w:rPr>
        <w:t>The t</w:t>
      </w:r>
      <w:r w:rsidRPr="00E77641">
        <w:rPr>
          <w:bCs/>
          <w:color w:val="auto"/>
          <w:sz w:val="23"/>
          <w:szCs w:val="23"/>
        </w:rPr>
        <w:t xml:space="preserve">est procedures used to determine compliance with MEPS are </w:t>
      </w:r>
      <w:r w:rsidR="00C86F7E">
        <w:rPr>
          <w:bCs/>
          <w:color w:val="auto"/>
          <w:sz w:val="23"/>
          <w:szCs w:val="23"/>
        </w:rPr>
        <w:t xml:space="preserve">specified in </w:t>
      </w:r>
      <w:r w:rsidRPr="00E77641">
        <w:rPr>
          <w:bCs/>
          <w:color w:val="auto"/>
          <w:sz w:val="23"/>
          <w:szCs w:val="23"/>
        </w:rPr>
        <w:t>AS</w:t>
      </w:r>
      <w:r>
        <w:rPr>
          <w:bCs/>
          <w:color w:val="auto"/>
          <w:sz w:val="23"/>
          <w:szCs w:val="23"/>
        </w:rPr>
        <w:t> 2374.1-</w:t>
      </w:r>
      <w:r w:rsidRPr="00E77641">
        <w:rPr>
          <w:bCs/>
          <w:color w:val="auto"/>
          <w:sz w:val="23"/>
          <w:szCs w:val="23"/>
        </w:rPr>
        <w:t>1997 Power Transformers and AS 2735-1984 Dry Type Power Transformers.  Test</w:t>
      </w:r>
      <w:r w:rsidR="00C86F7E">
        <w:rPr>
          <w:bCs/>
          <w:color w:val="auto"/>
          <w:sz w:val="23"/>
          <w:szCs w:val="23"/>
        </w:rPr>
        <w:t>ing</w:t>
      </w:r>
      <w:r w:rsidRPr="00E77641">
        <w:rPr>
          <w:bCs/>
          <w:color w:val="auto"/>
          <w:sz w:val="23"/>
          <w:szCs w:val="23"/>
        </w:rPr>
        <w:t xml:space="preserve"> </w:t>
      </w:r>
      <w:r w:rsidR="00C86F7E">
        <w:rPr>
          <w:bCs/>
          <w:color w:val="auto"/>
          <w:sz w:val="23"/>
          <w:szCs w:val="23"/>
        </w:rPr>
        <w:t>conducted by</w:t>
      </w:r>
      <w:r w:rsidRPr="00E77641">
        <w:rPr>
          <w:bCs/>
          <w:color w:val="auto"/>
          <w:sz w:val="23"/>
          <w:szCs w:val="23"/>
        </w:rPr>
        <w:t xml:space="preserve"> manufacturers</w:t>
      </w:r>
      <w:r w:rsidR="000F5456">
        <w:rPr>
          <w:bCs/>
          <w:color w:val="auto"/>
          <w:sz w:val="23"/>
          <w:szCs w:val="23"/>
        </w:rPr>
        <w:t>’</w:t>
      </w:r>
      <w:r w:rsidRPr="00E77641">
        <w:rPr>
          <w:bCs/>
          <w:color w:val="auto"/>
          <w:sz w:val="23"/>
          <w:szCs w:val="23"/>
        </w:rPr>
        <w:t xml:space="preserve"> in-house test laboratories </w:t>
      </w:r>
      <w:r w:rsidR="00C86F7E">
        <w:rPr>
          <w:bCs/>
          <w:color w:val="auto"/>
          <w:sz w:val="23"/>
          <w:szCs w:val="23"/>
        </w:rPr>
        <w:t>is</w:t>
      </w:r>
      <w:r w:rsidRPr="00E77641">
        <w:rPr>
          <w:bCs/>
          <w:color w:val="auto"/>
          <w:sz w:val="23"/>
          <w:szCs w:val="23"/>
        </w:rPr>
        <w:t xml:space="preserve"> acceptable.</w:t>
      </w:r>
    </w:p>
    <w:p w:rsidR="00E77641" w:rsidRPr="004C4769" w:rsidRDefault="00E77641" w:rsidP="00E77641">
      <w:pPr>
        <w:pStyle w:val="Default"/>
        <w:rPr>
          <w:bCs/>
          <w:color w:val="auto"/>
          <w:sz w:val="16"/>
          <w:szCs w:val="16"/>
        </w:rPr>
      </w:pPr>
    </w:p>
    <w:p w:rsidR="00033DC1" w:rsidRPr="004C4769" w:rsidRDefault="00033DC1" w:rsidP="00EC4963">
      <w:pPr>
        <w:pStyle w:val="Default"/>
        <w:rPr>
          <w:b/>
          <w:color w:val="auto"/>
          <w:sz w:val="23"/>
          <w:szCs w:val="23"/>
        </w:rPr>
      </w:pPr>
      <w:r w:rsidRPr="004C4769">
        <w:rPr>
          <w:b/>
          <w:color w:val="auto"/>
          <w:sz w:val="23"/>
          <w:szCs w:val="23"/>
        </w:rPr>
        <w:t>Registration</w:t>
      </w:r>
    </w:p>
    <w:p w:rsidR="00033DC1" w:rsidRPr="004C4769" w:rsidRDefault="00033DC1" w:rsidP="00EC4963">
      <w:pPr>
        <w:pStyle w:val="Default"/>
        <w:rPr>
          <w:b/>
          <w:color w:val="auto"/>
          <w:sz w:val="16"/>
          <w:szCs w:val="16"/>
        </w:rPr>
      </w:pPr>
    </w:p>
    <w:p w:rsidR="00A707A2" w:rsidRDefault="00033DC1" w:rsidP="00033DC1">
      <w:pPr>
        <w:pStyle w:val="Default"/>
        <w:rPr>
          <w:sz w:val="23"/>
          <w:szCs w:val="23"/>
        </w:rPr>
      </w:pPr>
      <w:r w:rsidRPr="004C4769">
        <w:rPr>
          <w:sz w:val="23"/>
          <w:szCs w:val="23"/>
        </w:rPr>
        <w:t>In Australia</w:t>
      </w:r>
      <w:r w:rsidR="00A707A2">
        <w:rPr>
          <w:sz w:val="23"/>
          <w:szCs w:val="23"/>
        </w:rPr>
        <w:t>,</w:t>
      </w:r>
      <w:r w:rsidRPr="004C4769">
        <w:rPr>
          <w:sz w:val="23"/>
          <w:szCs w:val="23"/>
        </w:rPr>
        <w:t xml:space="preserve"> all </w:t>
      </w:r>
      <w:r w:rsidR="00596B7A">
        <w:rPr>
          <w:sz w:val="23"/>
          <w:szCs w:val="23"/>
        </w:rPr>
        <w:t xml:space="preserve">regulated </w:t>
      </w:r>
      <w:r>
        <w:rPr>
          <w:sz w:val="23"/>
          <w:szCs w:val="23"/>
        </w:rPr>
        <w:t>distribution transformers</w:t>
      </w:r>
      <w:r w:rsidRPr="004C4769">
        <w:rPr>
          <w:sz w:val="23"/>
          <w:szCs w:val="23"/>
        </w:rPr>
        <w:t xml:space="preserve"> must be registered</w:t>
      </w:r>
      <w:r w:rsidR="00A707A2">
        <w:rPr>
          <w:sz w:val="23"/>
          <w:szCs w:val="23"/>
        </w:rPr>
        <w:t xml:space="preserve"> before being offered for </w:t>
      </w:r>
      <w:r w:rsidR="00B41CEB">
        <w:rPr>
          <w:sz w:val="23"/>
          <w:szCs w:val="23"/>
        </w:rPr>
        <w:t>supply</w:t>
      </w:r>
      <w:r w:rsidR="00A707A2">
        <w:rPr>
          <w:sz w:val="23"/>
          <w:szCs w:val="23"/>
        </w:rPr>
        <w:t xml:space="preserve"> </w:t>
      </w:r>
      <w:r w:rsidR="00596B7A">
        <w:rPr>
          <w:sz w:val="23"/>
          <w:szCs w:val="23"/>
        </w:rPr>
        <w:t xml:space="preserve">or used </w:t>
      </w:r>
      <w:r w:rsidR="00A707A2">
        <w:rPr>
          <w:sz w:val="23"/>
          <w:szCs w:val="23"/>
        </w:rPr>
        <w:t>commercially.</w:t>
      </w:r>
    </w:p>
    <w:p w:rsidR="00033DC1" w:rsidRPr="004C4769" w:rsidRDefault="00033DC1" w:rsidP="00033DC1">
      <w:pPr>
        <w:pStyle w:val="Default"/>
        <w:rPr>
          <w:sz w:val="16"/>
          <w:szCs w:val="16"/>
        </w:rPr>
      </w:pPr>
    </w:p>
    <w:p w:rsidR="00711754" w:rsidRDefault="00033DC1" w:rsidP="00033DC1">
      <w:pPr>
        <w:pStyle w:val="Default"/>
        <w:rPr>
          <w:sz w:val="23"/>
          <w:szCs w:val="23"/>
        </w:rPr>
      </w:pPr>
      <w:r w:rsidRPr="004C4769">
        <w:rPr>
          <w:sz w:val="23"/>
          <w:szCs w:val="23"/>
        </w:rPr>
        <w:t xml:space="preserve">More information on registering a </w:t>
      </w:r>
      <w:r w:rsidR="00A707A2">
        <w:rPr>
          <w:sz w:val="23"/>
          <w:szCs w:val="23"/>
        </w:rPr>
        <w:t>transformer</w:t>
      </w:r>
      <w:r w:rsidRPr="004C4769">
        <w:rPr>
          <w:sz w:val="23"/>
          <w:szCs w:val="23"/>
        </w:rPr>
        <w:t xml:space="preserve"> is available at: </w:t>
      </w:r>
    </w:p>
    <w:p w:rsidR="00711754" w:rsidRPr="00EE354B" w:rsidRDefault="00711754" w:rsidP="00033DC1">
      <w:pPr>
        <w:pStyle w:val="Default"/>
        <w:rPr>
          <w:sz w:val="16"/>
          <w:szCs w:val="16"/>
        </w:rPr>
      </w:pPr>
    </w:p>
    <w:p w:rsidR="00A707A2" w:rsidRPr="00711754" w:rsidRDefault="00C9068A" w:rsidP="00033DC1">
      <w:pPr>
        <w:pStyle w:val="Default"/>
        <w:rPr>
          <w:sz w:val="23"/>
          <w:szCs w:val="23"/>
        </w:rPr>
      </w:pPr>
      <w:hyperlink r:id="rId16" w:tooltip="Energy Rating" w:history="1">
        <w:r w:rsidR="00A707A2" w:rsidRPr="00EE354B">
          <w:rPr>
            <w:rStyle w:val="Hyperlink"/>
            <w:sz w:val="23"/>
            <w:szCs w:val="23"/>
          </w:rPr>
          <w:t>www.energyrating.gov.au/programs/e3-program/energy-rating-labelling/submit/</w:t>
        </w:r>
      </w:hyperlink>
      <w:r w:rsidR="00A707A2" w:rsidRPr="00711754">
        <w:rPr>
          <w:sz w:val="23"/>
          <w:szCs w:val="23"/>
        </w:rPr>
        <w:t>.</w:t>
      </w:r>
    </w:p>
    <w:p w:rsidR="00033DC1" w:rsidRPr="004C4769" w:rsidRDefault="00033DC1" w:rsidP="00033DC1">
      <w:pPr>
        <w:pStyle w:val="Default"/>
        <w:rPr>
          <w:sz w:val="16"/>
          <w:szCs w:val="16"/>
        </w:rPr>
      </w:pPr>
    </w:p>
    <w:p w:rsidR="00711754" w:rsidRDefault="00033DC1" w:rsidP="00033DC1">
      <w:pPr>
        <w:pStyle w:val="Default"/>
        <w:rPr>
          <w:color w:val="auto"/>
          <w:sz w:val="23"/>
          <w:szCs w:val="23"/>
        </w:rPr>
      </w:pPr>
      <w:r w:rsidRPr="004C4769">
        <w:rPr>
          <w:sz w:val="23"/>
          <w:szCs w:val="23"/>
        </w:rPr>
        <w:t xml:space="preserve">A test report is not required to be submitted as part of the registration process. However, manufacturers or importers are required to provide a copy of the test report to the Regulator on request. </w:t>
      </w:r>
      <w:r w:rsidR="00D2704F">
        <w:rPr>
          <w:sz w:val="23"/>
          <w:szCs w:val="23"/>
        </w:rPr>
        <w:t>To streamline compliance checks</w:t>
      </w:r>
      <w:r w:rsidRPr="004C4769">
        <w:rPr>
          <w:sz w:val="23"/>
          <w:szCs w:val="23"/>
        </w:rPr>
        <w:t xml:space="preserve"> it is recommended that an electronic copy of the test report be uploaded when making a registration application.</w:t>
      </w:r>
      <w:r w:rsidR="00D2704F">
        <w:rPr>
          <w:sz w:val="23"/>
          <w:szCs w:val="23"/>
        </w:rPr>
        <w:t xml:space="preserve"> </w:t>
      </w:r>
      <w:r w:rsidRPr="004C4769">
        <w:rPr>
          <w:color w:val="auto"/>
          <w:sz w:val="23"/>
          <w:szCs w:val="23"/>
        </w:rPr>
        <w:t xml:space="preserve">Instructions on the use of the on-line registration system are available at: </w:t>
      </w:r>
    </w:p>
    <w:p w:rsidR="00711754" w:rsidRPr="00EE354B" w:rsidRDefault="00711754" w:rsidP="00033DC1">
      <w:pPr>
        <w:pStyle w:val="Default"/>
        <w:rPr>
          <w:color w:val="auto"/>
          <w:sz w:val="16"/>
          <w:szCs w:val="16"/>
        </w:rPr>
      </w:pPr>
    </w:p>
    <w:p w:rsidR="00033DC1" w:rsidRPr="00EE354B" w:rsidRDefault="00C9068A" w:rsidP="00033DC1">
      <w:pPr>
        <w:pStyle w:val="Default"/>
        <w:rPr>
          <w:color w:val="auto"/>
          <w:sz w:val="23"/>
          <w:szCs w:val="23"/>
        </w:rPr>
      </w:pPr>
      <w:hyperlink r:id="rId17" w:tooltip="Energy Rating" w:history="1">
        <w:r w:rsidR="00C86F7E" w:rsidRPr="00EE354B">
          <w:rPr>
            <w:rStyle w:val="Hyperlink"/>
            <w:sz w:val="23"/>
            <w:szCs w:val="23"/>
          </w:rPr>
          <w:t>www.energyrating.gov.au/resources/program-publications/?viewPublicationID=2139</w:t>
        </w:r>
      </w:hyperlink>
      <w:r w:rsidR="00A707A2" w:rsidRPr="00EE354B">
        <w:rPr>
          <w:color w:val="auto"/>
          <w:sz w:val="23"/>
          <w:szCs w:val="23"/>
        </w:rPr>
        <w:t>.</w:t>
      </w:r>
    </w:p>
    <w:p w:rsidR="00C86F7E" w:rsidRPr="004C4769" w:rsidRDefault="00C86F7E" w:rsidP="00033DC1">
      <w:pPr>
        <w:pStyle w:val="Default"/>
        <w:rPr>
          <w:color w:val="auto"/>
          <w:sz w:val="16"/>
          <w:szCs w:val="16"/>
        </w:rPr>
      </w:pPr>
    </w:p>
    <w:p w:rsidR="000E4504" w:rsidRDefault="00D2704F" w:rsidP="000E4504">
      <w:pPr>
        <w:pStyle w:val="Default"/>
        <w:rPr>
          <w:b/>
          <w:bCs/>
          <w:sz w:val="23"/>
          <w:szCs w:val="23"/>
        </w:rPr>
      </w:pPr>
      <w:r>
        <w:rPr>
          <w:b/>
          <w:bCs/>
          <w:sz w:val="23"/>
          <w:szCs w:val="23"/>
        </w:rPr>
        <w:br w:type="column"/>
      </w:r>
      <w:r w:rsidR="00B41CEB">
        <w:rPr>
          <w:b/>
          <w:bCs/>
          <w:sz w:val="23"/>
          <w:szCs w:val="23"/>
        </w:rPr>
        <w:lastRenderedPageBreak/>
        <w:t xml:space="preserve">Monitoring and </w:t>
      </w:r>
      <w:r w:rsidR="000E4504" w:rsidRPr="000E4504">
        <w:rPr>
          <w:b/>
          <w:bCs/>
          <w:sz w:val="23"/>
          <w:szCs w:val="23"/>
        </w:rPr>
        <w:t>Enforcement</w:t>
      </w:r>
    </w:p>
    <w:p w:rsidR="000E4504" w:rsidRPr="004C4769" w:rsidRDefault="000E4504" w:rsidP="000E4504">
      <w:pPr>
        <w:pStyle w:val="Default"/>
        <w:rPr>
          <w:bCs/>
          <w:sz w:val="16"/>
          <w:szCs w:val="16"/>
        </w:rPr>
      </w:pPr>
    </w:p>
    <w:p w:rsidR="000E4504" w:rsidRPr="004C4769" w:rsidRDefault="000E4504" w:rsidP="000E4504">
      <w:pPr>
        <w:pStyle w:val="Default"/>
        <w:rPr>
          <w:sz w:val="23"/>
          <w:szCs w:val="23"/>
        </w:rPr>
      </w:pPr>
      <w:r w:rsidRPr="004C4769">
        <w:rPr>
          <w:sz w:val="23"/>
          <w:szCs w:val="23"/>
        </w:rPr>
        <w:t>The E3 Compliance Program incorporates a range of compliance activities including the national check-testing program and retail surveillance.  Check-testing aims to ensure the compliance of products with energy efficiency regulations</w:t>
      </w:r>
      <w:r w:rsidR="00D2704F">
        <w:rPr>
          <w:sz w:val="23"/>
          <w:szCs w:val="23"/>
        </w:rPr>
        <w:t>.</w:t>
      </w:r>
      <w:r w:rsidRPr="004C4769">
        <w:rPr>
          <w:sz w:val="23"/>
          <w:szCs w:val="23"/>
        </w:rPr>
        <w:t xml:space="preserve"> </w:t>
      </w:r>
      <w:r w:rsidR="00D2704F">
        <w:rPr>
          <w:sz w:val="23"/>
          <w:szCs w:val="23"/>
        </w:rPr>
        <w:t>It also</w:t>
      </w:r>
      <w:r w:rsidRPr="004C4769">
        <w:rPr>
          <w:sz w:val="23"/>
          <w:szCs w:val="23"/>
        </w:rPr>
        <w:t xml:space="preserve"> provides the community and other stakeholders with information that demonstrates that the overall efficiency goals of the program are being met and that those suppliers not meeting their responsibilities are identified and sanctioned.  Regular check-testing is undertaken on a range of domestic and commercial product types.  Results of previous check-testing and surveillance activity and information on the E3 compliance program are available at:</w:t>
      </w:r>
    </w:p>
    <w:p w:rsidR="000E4504" w:rsidRPr="004C4769" w:rsidRDefault="000E4504" w:rsidP="000E4504">
      <w:pPr>
        <w:pStyle w:val="Default"/>
        <w:rPr>
          <w:sz w:val="16"/>
          <w:szCs w:val="16"/>
        </w:rPr>
      </w:pPr>
    </w:p>
    <w:p w:rsidR="000E4504" w:rsidRPr="00EE354B" w:rsidRDefault="00C9068A" w:rsidP="000E4504">
      <w:pPr>
        <w:pStyle w:val="Default"/>
        <w:rPr>
          <w:rStyle w:val="Hyperlink"/>
          <w:sz w:val="23"/>
          <w:szCs w:val="23"/>
        </w:rPr>
      </w:pPr>
      <w:hyperlink r:id="rId18" w:tooltip="Energy Rating" w:history="1">
        <w:r w:rsidR="000E4504" w:rsidRPr="00EE354B">
          <w:rPr>
            <w:rStyle w:val="Hyperlink"/>
            <w:sz w:val="23"/>
            <w:szCs w:val="23"/>
          </w:rPr>
          <w:t>www.energyrating.gov.au/programs/e3-program/compliance/</w:t>
        </w:r>
      </w:hyperlink>
      <w:r w:rsidR="000E4504" w:rsidRPr="00EE354B">
        <w:rPr>
          <w:rStyle w:val="Hyperlink"/>
          <w:sz w:val="23"/>
          <w:szCs w:val="23"/>
        </w:rPr>
        <w:t xml:space="preserve">. </w:t>
      </w:r>
    </w:p>
    <w:p w:rsidR="000E4504" w:rsidRPr="004C4769" w:rsidRDefault="000E4504" w:rsidP="000E4504">
      <w:pPr>
        <w:pStyle w:val="Default"/>
        <w:rPr>
          <w:sz w:val="16"/>
          <w:szCs w:val="16"/>
        </w:rPr>
      </w:pPr>
    </w:p>
    <w:p w:rsidR="00C86F7E" w:rsidRPr="004C4769" w:rsidRDefault="00C86F7E" w:rsidP="00033DC1">
      <w:pPr>
        <w:pStyle w:val="Default"/>
        <w:rPr>
          <w:b/>
          <w:color w:val="auto"/>
          <w:sz w:val="23"/>
          <w:szCs w:val="23"/>
        </w:rPr>
      </w:pPr>
      <w:r>
        <w:rPr>
          <w:b/>
          <w:color w:val="auto"/>
          <w:sz w:val="23"/>
          <w:szCs w:val="23"/>
        </w:rPr>
        <w:t>Exclusions</w:t>
      </w:r>
    </w:p>
    <w:p w:rsidR="00033DC1" w:rsidRPr="004C4769" w:rsidRDefault="00033DC1" w:rsidP="00EC4963">
      <w:pPr>
        <w:pStyle w:val="Default"/>
        <w:rPr>
          <w:color w:val="auto"/>
          <w:sz w:val="16"/>
          <w:szCs w:val="16"/>
        </w:rPr>
      </w:pPr>
    </w:p>
    <w:p w:rsidR="00EC4963" w:rsidRPr="004C4769" w:rsidRDefault="00EC4963" w:rsidP="00EC4963">
      <w:pPr>
        <w:pStyle w:val="Default"/>
        <w:rPr>
          <w:bCs/>
          <w:color w:val="auto"/>
          <w:sz w:val="23"/>
          <w:szCs w:val="23"/>
        </w:rPr>
      </w:pPr>
      <w:r w:rsidRPr="004C4769">
        <w:rPr>
          <w:bCs/>
          <w:color w:val="auto"/>
          <w:sz w:val="23"/>
          <w:szCs w:val="23"/>
        </w:rPr>
        <w:t xml:space="preserve">The following transformer types are not </w:t>
      </w:r>
      <w:r w:rsidR="00C86F7E">
        <w:rPr>
          <w:bCs/>
          <w:color w:val="auto"/>
          <w:sz w:val="23"/>
          <w:szCs w:val="23"/>
        </w:rPr>
        <w:t xml:space="preserve">covered by the Determination, </w:t>
      </w:r>
      <w:r w:rsidRPr="004C4769">
        <w:rPr>
          <w:bCs/>
          <w:color w:val="auto"/>
          <w:sz w:val="23"/>
          <w:szCs w:val="23"/>
        </w:rPr>
        <w:t xml:space="preserve">and </w:t>
      </w:r>
      <w:r w:rsidR="00C86F7E">
        <w:rPr>
          <w:bCs/>
          <w:color w:val="auto"/>
          <w:sz w:val="23"/>
          <w:szCs w:val="23"/>
        </w:rPr>
        <w:t>are not required to comply with</w:t>
      </w:r>
      <w:r w:rsidRPr="004C4769">
        <w:rPr>
          <w:bCs/>
          <w:color w:val="auto"/>
          <w:sz w:val="23"/>
          <w:szCs w:val="23"/>
        </w:rPr>
        <w:t xml:space="preserve"> energy efficiency requirements:</w:t>
      </w:r>
    </w:p>
    <w:p w:rsidR="00EC4963" w:rsidRPr="004C4769" w:rsidRDefault="00EC4963" w:rsidP="004C4769">
      <w:pPr>
        <w:pStyle w:val="r2"/>
        <w:numPr>
          <w:ilvl w:val="0"/>
          <w:numId w:val="3"/>
        </w:numPr>
        <w:spacing w:before="120" w:beforeAutospacing="0" w:after="0" w:afterAutospacing="0"/>
        <w:rPr>
          <w:rFonts w:ascii="Arial" w:eastAsiaTheme="minorHAnsi" w:hAnsi="Arial" w:cs="Arial"/>
          <w:bCs/>
          <w:sz w:val="23"/>
          <w:szCs w:val="23"/>
          <w:lang w:eastAsia="en-US"/>
        </w:rPr>
      </w:pPr>
      <w:r w:rsidRPr="004C4769">
        <w:rPr>
          <w:rFonts w:ascii="Arial" w:eastAsiaTheme="minorHAnsi" w:hAnsi="Arial" w:cs="Arial"/>
          <w:bCs/>
          <w:sz w:val="23"/>
          <w:szCs w:val="23"/>
          <w:lang w:eastAsia="en-US"/>
        </w:rPr>
        <w:t xml:space="preserve">transformers </w:t>
      </w:r>
      <w:r w:rsidR="00D2704F">
        <w:rPr>
          <w:rFonts w:ascii="Arial" w:eastAsiaTheme="minorHAnsi" w:hAnsi="Arial" w:cs="Arial"/>
          <w:bCs/>
          <w:sz w:val="23"/>
          <w:szCs w:val="23"/>
          <w:lang w:eastAsia="en-US"/>
        </w:rPr>
        <w:t>not</w:t>
      </w:r>
      <w:r w:rsidRPr="004C4769">
        <w:rPr>
          <w:rFonts w:ascii="Arial" w:eastAsiaTheme="minorHAnsi" w:hAnsi="Arial" w:cs="Arial"/>
          <w:bCs/>
          <w:sz w:val="23"/>
          <w:szCs w:val="23"/>
          <w:lang w:eastAsia="en-US"/>
        </w:rPr>
        <w:t xml:space="preserve"> designed for 11 or 22 kV networks</w:t>
      </w:r>
    </w:p>
    <w:p w:rsidR="00EC4963" w:rsidRPr="004C4769" w:rsidRDefault="00EC4963" w:rsidP="004C4769">
      <w:pPr>
        <w:pStyle w:val="r2"/>
        <w:numPr>
          <w:ilvl w:val="0"/>
          <w:numId w:val="3"/>
        </w:numPr>
        <w:spacing w:before="120" w:beforeAutospacing="0" w:after="0" w:afterAutospacing="0"/>
        <w:rPr>
          <w:rFonts w:ascii="Arial" w:eastAsiaTheme="minorHAnsi" w:hAnsi="Arial" w:cs="Arial"/>
          <w:bCs/>
          <w:sz w:val="23"/>
          <w:szCs w:val="23"/>
          <w:lang w:eastAsia="en-US"/>
        </w:rPr>
      </w:pPr>
      <w:r w:rsidRPr="004C4769">
        <w:rPr>
          <w:rFonts w:ascii="Arial" w:eastAsiaTheme="minorHAnsi" w:hAnsi="Arial" w:cs="Arial"/>
          <w:bCs/>
          <w:sz w:val="23"/>
          <w:szCs w:val="23"/>
          <w:lang w:eastAsia="en-US"/>
        </w:rPr>
        <w:t>instrument transformers</w:t>
      </w:r>
    </w:p>
    <w:p w:rsidR="00EC4963" w:rsidRPr="004C4769" w:rsidRDefault="00EC4963" w:rsidP="004C4769">
      <w:pPr>
        <w:pStyle w:val="r2"/>
        <w:numPr>
          <w:ilvl w:val="0"/>
          <w:numId w:val="3"/>
        </w:numPr>
        <w:spacing w:before="120" w:beforeAutospacing="0" w:after="0" w:afterAutospacing="0"/>
        <w:rPr>
          <w:rFonts w:ascii="Arial" w:eastAsiaTheme="minorHAnsi" w:hAnsi="Arial" w:cs="Arial"/>
          <w:bCs/>
          <w:sz w:val="23"/>
          <w:szCs w:val="23"/>
          <w:lang w:eastAsia="en-US"/>
        </w:rPr>
      </w:pPr>
      <w:r w:rsidRPr="004C4769">
        <w:rPr>
          <w:rFonts w:ascii="Arial" w:eastAsiaTheme="minorHAnsi" w:hAnsi="Arial" w:cs="Arial"/>
          <w:bCs/>
          <w:sz w:val="23"/>
          <w:szCs w:val="23"/>
          <w:lang w:eastAsia="en-US"/>
        </w:rPr>
        <w:t>auto transformers, that is transformers in which at least two windings have a common part</w:t>
      </w:r>
    </w:p>
    <w:p w:rsidR="00EC4963" w:rsidRPr="004C4769" w:rsidRDefault="00EC4963" w:rsidP="004C4769">
      <w:pPr>
        <w:pStyle w:val="r2"/>
        <w:numPr>
          <w:ilvl w:val="0"/>
          <w:numId w:val="3"/>
        </w:numPr>
        <w:spacing w:before="120" w:beforeAutospacing="0" w:after="0" w:afterAutospacing="0"/>
        <w:rPr>
          <w:rFonts w:ascii="Arial" w:eastAsiaTheme="minorHAnsi" w:hAnsi="Arial" w:cs="Arial"/>
          <w:bCs/>
          <w:sz w:val="23"/>
          <w:szCs w:val="23"/>
          <w:lang w:eastAsia="en-US"/>
        </w:rPr>
      </w:pPr>
      <w:r w:rsidRPr="004C4769">
        <w:rPr>
          <w:rFonts w:ascii="Arial" w:eastAsiaTheme="minorHAnsi" w:hAnsi="Arial" w:cs="Arial"/>
          <w:bCs/>
          <w:sz w:val="23"/>
          <w:szCs w:val="23"/>
          <w:lang w:eastAsia="en-US"/>
        </w:rPr>
        <w:t>traction transformers mounted on rolling stock</w:t>
      </w:r>
    </w:p>
    <w:p w:rsidR="00C86F7E" w:rsidRDefault="00EC4963" w:rsidP="004C4769">
      <w:pPr>
        <w:pStyle w:val="r2"/>
        <w:numPr>
          <w:ilvl w:val="0"/>
          <w:numId w:val="3"/>
        </w:numPr>
        <w:spacing w:before="120" w:beforeAutospacing="0" w:after="0" w:afterAutospacing="0"/>
        <w:rPr>
          <w:rFonts w:ascii="Arial" w:eastAsiaTheme="minorHAnsi" w:hAnsi="Arial" w:cs="Arial"/>
          <w:bCs/>
          <w:sz w:val="23"/>
          <w:szCs w:val="23"/>
          <w:lang w:eastAsia="en-US"/>
        </w:rPr>
      </w:pPr>
      <w:r w:rsidRPr="004C4769">
        <w:rPr>
          <w:rFonts w:ascii="Arial" w:eastAsiaTheme="minorHAnsi" w:hAnsi="Arial" w:cs="Arial"/>
          <w:bCs/>
          <w:sz w:val="23"/>
          <w:szCs w:val="23"/>
          <w:lang w:eastAsia="en-US"/>
        </w:rPr>
        <w:t>starting transformers</w:t>
      </w:r>
    </w:p>
    <w:p w:rsidR="00C86F7E" w:rsidRDefault="00EC4963" w:rsidP="004C4769">
      <w:pPr>
        <w:pStyle w:val="r2"/>
        <w:numPr>
          <w:ilvl w:val="0"/>
          <w:numId w:val="3"/>
        </w:numPr>
        <w:spacing w:before="120" w:beforeAutospacing="0" w:after="0" w:afterAutospacing="0"/>
        <w:rPr>
          <w:rFonts w:ascii="Arial" w:eastAsiaTheme="minorHAnsi" w:hAnsi="Arial" w:cs="Arial"/>
          <w:bCs/>
          <w:sz w:val="23"/>
          <w:szCs w:val="23"/>
          <w:lang w:eastAsia="en-US"/>
        </w:rPr>
      </w:pPr>
      <w:r w:rsidRPr="004C4769">
        <w:rPr>
          <w:rFonts w:ascii="Arial" w:eastAsiaTheme="minorHAnsi" w:hAnsi="Arial" w:cs="Arial"/>
          <w:bCs/>
          <w:sz w:val="23"/>
          <w:szCs w:val="23"/>
          <w:lang w:eastAsia="en-US"/>
        </w:rPr>
        <w:t>testing transformers</w:t>
      </w:r>
    </w:p>
    <w:p w:rsidR="00EC4963" w:rsidRPr="004C4769" w:rsidRDefault="00EC4963" w:rsidP="004C4769">
      <w:pPr>
        <w:pStyle w:val="r2"/>
        <w:numPr>
          <w:ilvl w:val="0"/>
          <w:numId w:val="3"/>
        </w:numPr>
        <w:spacing w:before="120" w:beforeAutospacing="0" w:after="0" w:afterAutospacing="0"/>
        <w:rPr>
          <w:rFonts w:ascii="Arial" w:eastAsiaTheme="minorHAnsi" w:hAnsi="Arial" w:cs="Arial"/>
          <w:bCs/>
          <w:sz w:val="23"/>
          <w:szCs w:val="23"/>
          <w:lang w:eastAsia="en-US"/>
        </w:rPr>
      </w:pPr>
      <w:r w:rsidRPr="004C4769">
        <w:rPr>
          <w:rFonts w:ascii="Arial" w:eastAsiaTheme="minorHAnsi" w:hAnsi="Arial" w:cs="Arial"/>
          <w:bCs/>
          <w:sz w:val="23"/>
          <w:szCs w:val="23"/>
          <w:lang w:eastAsia="en-US"/>
        </w:rPr>
        <w:t>welding transformers</w:t>
      </w:r>
    </w:p>
    <w:p w:rsidR="00EC4963" w:rsidRPr="004C4769" w:rsidRDefault="00EC4963" w:rsidP="004C4769">
      <w:pPr>
        <w:pStyle w:val="r2"/>
        <w:numPr>
          <w:ilvl w:val="0"/>
          <w:numId w:val="3"/>
        </w:numPr>
        <w:spacing w:before="120" w:beforeAutospacing="0" w:after="0" w:afterAutospacing="0"/>
        <w:rPr>
          <w:rFonts w:ascii="Arial" w:eastAsiaTheme="minorHAnsi" w:hAnsi="Arial" w:cs="Arial"/>
          <w:bCs/>
          <w:sz w:val="23"/>
          <w:szCs w:val="23"/>
          <w:lang w:eastAsia="en-US"/>
        </w:rPr>
      </w:pPr>
      <w:r w:rsidRPr="004C4769">
        <w:rPr>
          <w:rFonts w:ascii="Arial" w:eastAsiaTheme="minorHAnsi" w:hAnsi="Arial" w:cs="Arial"/>
          <w:bCs/>
          <w:sz w:val="23"/>
          <w:szCs w:val="23"/>
          <w:lang w:eastAsia="en-US"/>
        </w:rPr>
        <w:t>three phase transformers with three or more windings per phase</w:t>
      </w:r>
    </w:p>
    <w:p w:rsidR="00EC4963" w:rsidRPr="004C4769" w:rsidRDefault="00EC4963" w:rsidP="004C4769">
      <w:pPr>
        <w:pStyle w:val="r2"/>
        <w:numPr>
          <w:ilvl w:val="0"/>
          <w:numId w:val="3"/>
        </w:numPr>
        <w:spacing w:before="120" w:beforeAutospacing="0" w:after="0" w:afterAutospacing="0"/>
        <w:rPr>
          <w:rFonts w:ascii="Arial" w:eastAsiaTheme="minorHAnsi" w:hAnsi="Arial" w:cs="Arial"/>
          <w:bCs/>
          <w:sz w:val="23"/>
          <w:szCs w:val="23"/>
          <w:lang w:eastAsia="en-US"/>
        </w:rPr>
      </w:pPr>
      <w:r w:rsidRPr="004C4769">
        <w:rPr>
          <w:rFonts w:ascii="Arial" w:eastAsiaTheme="minorHAnsi" w:hAnsi="Arial" w:cs="Arial"/>
          <w:bCs/>
          <w:sz w:val="23"/>
          <w:szCs w:val="23"/>
          <w:lang w:eastAsia="en-US"/>
        </w:rPr>
        <w:t>arc-furnace transformers</w:t>
      </w:r>
    </w:p>
    <w:p w:rsidR="00EC4963" w:rsidRPr="004C4769" w:rsidRDefault="00EC4963" w:rsidP="004C4769">
      <w:pPr>
        <w:pStyle w:val="r2"/>
        <w:numPr>
          <w:ilvl w:val="0"/>
          <w:numId w:val="3"/>
        </w:numPr>
        <w:spacing w:before="120" w:beforeAutospacing="0" w:after="0" w:afterAutospacing="0"/>
        <w:rPr>
          <w:rFonts w:ascii="Arial" w:eastAsiaTheme="minorHAnsi" w:hAnsi="Arial" w:cs="Arial"/>
          <w:bCs/>
          <w:sz w:val="23"/>
          <w:szCs w:val="23"/>
          <w:lang w:eastAsia="en-US"/>
        </w:rPr>
      </w:pPr>
      <w:r w:rsidRPr="004C4769">
        <w:rPr>
          <w:rFonts w:ascii="Arial" w:eastAsiaTheme="minorHAnsi" w:hAnsi="Arial" w:cs="Arial"/>
          <w:bCs/>
          <w:sz w:val="23"/>
          <w:szCs w:val="23"/>
          <w:lang w:eastAsia="en-US"/>
        </w:rPr>
        <w:t>earthing transformers</w:t>
      </w:r>
    </w:p>
    <w:p w:rsidR="00EC4963" w:rsidRPr="004C4769" w:rsidRDefault="00EC4963" w:rsidP="004C4769">
      <w:pPr>
        <w:pStyle w:val="r2"/>
        <w:numPr>
          <w:ilvl w:val="0"/>
          <w:numId w:val="3"/>
        </w:numPr>
        <w:spacing w:before="120" w:beforeAutospacing="0" w:after="0" w:afterAutospacing="0"/>
        <w:rPr>
          <w:rFonts w:ascii="Arial" w:eastAsiaTheme="minorHAnsi" w:hAnsi="Arial" w:cs="Arial"/>
          <w:bCs/>
          <w:sz w:val="23"/>
          <w:szCs w:val="23"/>
          <w:lang w:eastAsia="en-US"/>
        </w:rPr>
      </w:pPr>
      <w:r w:rsidRPr="004C4769">
        <w:rPr>
          <w:rFonts w:ascii="Arial" w:eastAsiaTheme="minorHAnsi" w:hAnsi="Arial" w:cs="Arial"/>
          <w:bCs/>
          <w:sz w:val="23"/>
          <w:szCs w:val="23"/>
          <w:lang w:eastAsia="en-US"/>
        </w:rPr>
        <w:t>rectifier or converter transformers</w:t>
      </w:r>
    </w:p>
    <w:p w:rsidR="00EC4963" w:rsidRPr="004C4769" w:rsidRDefault="00EC4963" w:rsidP="004C4769">
      <w:pPr>
        <w:pStyle w:val="r2"/>
        <w:numPr>
          <w:ilvl w:val="0"/>
          <w:numId w:val="3"/>
        </w:numPr>
        <w:spacing w:before="120" w:beforeAutospacing="0" w:after="0" w:afterAutospacing="0"/>
        <w:rPr>
          <w:rFonts w:ascii="Arial" w:eastAsiaTheme="minorHAnsi" w:hAnsi="Arial" w:cs="Arial"/>
          <w:bCs/>
          <w:sz w:val="23"/>
          <w:szCs w:val="23"/>
          <w:lang w:eastAsia="en-US"/>
        </w:rPr>
      </w:pPr>
      <w:r w:rsidRPr="004C4769">
        <w:rPr>
          <w:rFonts w:ascii="Arial" w:eastAsiaTheme="minorHAnsi" w:hAnsi="Arial" w:cs="Arial"/>
          <w:bCs/>
          <w:sz w:val="23"/>
          <w:szCs w:val="23"/>
          <w:lang w:eastAsia="en-US"/>
        </w:rPr>
        <w:lastRenderedPageBreak/>
        <w:t>uninterruptible power supply (ups) transformers</w:t>
      </w:r>
    </w:p>
    <w:p w:rsidR="00EC4963" w:rsidRPr="004C4769" w:rsidRDefault="00EC4963" w:rsidP="004C4769">
      <w:pPr>
        <w:pStyle w:val="r2"/>
        <w:numPr>
          <w:ilvl w:val="0"/>
          <w:numId w:val="3"/>
        </w:numPr>
        <w:spacing w:before="120" w:beforeAutospacing="0" w:after="0" w:afterAutospacing="0"/>
        <w:rPr>
          <w:rFonts w:ascii="Arial" w:eastAsiaTheme="minorHAnsi" w:hAnsi="Arial" w:cs="Arial"/>
          <w:bCs/>
          <w:sz w:val="23"/>
          <w:szCs w:val="23"/>
          <w:lang w:eastAsia="en-US"/>
        </w:rPr>
      </w:pPr>
      <w:r w:rsidRPr="004C4769">
        <w:rPr>
          <w:rFonts w:ascii="Arial" w:eastAsiaTheme="minorHAnsi" w:hAnsi="Arial" w:cs="Arial"/>
          <w:bCs/>
          <w:sz w:val="23"/>
          <w:szCs w:val="23"/>
          <w:lang w:eastAsia="en-US"/>
        </w:rPr>
        <w:t>transformers with an impedance less than 3 percent or more than 8 percent</w:t>
      </w:r>
    </w:p>
    <w:p w:rsidR="00EC4963" w:rsidRPr="004C4769" w:rsidRDefault="00EC4963" w:rsidP="004C4769">
      <w:pPr>
        <w:pStyle w:val="r2"/>
        <w:numPr>
          <w:ilvl w:val="0"/>
          <w:numId w:val="3"/>
        </w:numPr>
        <w:spacing w:before="120" w:beforeAutospacing="0" w:after="0" w:afterAutospacing="0"/>
        <w:rPr>
          <w:rFonts w:ascii="Arial" w:eastAsiaTheme="minorHAnsi" w:hAnsi="Arial" w:cs="Arial"/>
          <w:bCs/>
          <w:sz w:val="23"/>
          <w:szCs w:val="23"/>
          <w:lang w:eastAsia="en-US"/>
        </w:rPr>
      </w:pPr>
      <w:r w:rsidRPr="004C4769">
        <w:rPr>
          <w:rFonts w:ascii="Arial" w:eastAsiaTheme="minorHAnsi" w:hAnsi="Arial" w:cs="Arial"/>
          <w:bCs/>
          <w:sz w:val="23"/>
          <w:szCs w:val="23"/>
          <w:lang w:eastAsia="en-US"/>
        </w:rPr>
        <w:t>voltage regulating transformers</w:t>
      </w:r>
    </w:p>
    <w:p w:rsidR="00EC4963" w:rsidRPr="004C4769" w:rsidRDefault="00EC4963" w:rsidP="004C4769">
      <w:pPr>
        <w:pStyle w:val="r2"/>
        <w:numPr>
          <w:ilvl w:val="0"/>
          <w:numId w:val="3"/>
        </w:numPr>
        <w:spacing w:before="120" w:beforeAutospacing="0" w:after="0" w:afterAutospacing="0"/>
        <w:rPr>
          <w:rFonts w:ascii="Arial" w:eastAsiaTheme="minorHAnsi" w:hAnsi="Arial" w:cs="Arial"/>
          <w:bCs/>
          <w:sz w:val="23"/>
          <w:szCs w:val="23"/>
          <w:lang w:eastAsia="en-US"/>
        </w:rPr>
      </w:pPr>
      <w:r w:rsidRPr="004C4769">
        <w:rPr>
          <w:rFonts w:ascii="Arial" w:eastAsiaTheme="minorHAnsi" w:hAnsi="Arial" w:cs="Arial"/>
          <w:bCs/>
          <w:sz w:val="23"/>
          <w:szCs w:val="23"/>
          <w:lang w:eastAsia="en-US"/>
        </w:rPr>
        <w:t>transformers designed for frequencies other than 50 hertz</w:t>
      </w:r>
    </w:p>
    <w:p w:rsidR="00EC4963" w:rsidRPr="004C4769" w:rsidRDefault="00EC4963" w:rsidP="004C4769">
      <w:pPr>
        <w:pStyle w:val="r2"/>
        <w:numPr>
          <w:ilvl w:val="0"/>
          <w:numId w:val="3"/>
        </w:numPr>
        <w:spacing w:before="120" w:beforeAutospacing="0" w:after="0" w:afterAutospacing="0"/>
        <w:rPr>
          <w:rFonts w:ascii="Arial" w:eastAsiaTheme="minorHAnsi" w:hAnsi="Arial" w:cs="Arial"/>
          <w:bCs/>
          <w:sz w:val="23"/>
          <w:szCs w:val="23"/>
          <w:lang w:eastAsia="en-US"/>
        </w:rPr>
      </w:pPr>
      <w:r w:rsidRPr="004C4769">
        <w:rPr>
          <w:rFonts w:ascii="Arial" w:eastAsiaTheme="minorHAnsi" w:hAnsi="Arial" w:cs="Arial"/>
          <w:bCs/>
          <w:sz w:val="23"/>
          <w:szCs w:val="23"/>
          <w:lang w:eastAsia="en-US"/>
        </w:rPr>
        <w:t>gas-filled dry-type  transformers</w:t>
      </w:r>
    </w:p>
    <w:p w:rsidR="00EC4963" w:rsidRDefault="00EC4963" w:rsidP="004C4769">
      <w:pPr>
        <w:pStyle w:val="r2"/>
        <w:numPr>
          <w:ilvl w:val="0"/>
          <w:numId w:val="3"/>
        </w:numPr>
        <w:spacing w:before="120" w:beforeAutospacing="0" w:after="0" w:afterAutospacing="0"/>
        <w:rPr>
          <w:rFonts w:ascii="Arial" w:eastAsiaTheme="minorHAnsi" w:hAnsi="Arial" w:cs="Arial"/>
          <w:bCs/>
          <w:sz w:val="23"/>
          <w:szCs w:val="23"/>
          <w:lang w:eastAsia="en-US"/>
        </w:rPr>
      </w:pPr>
      <w:proofErr w:type="gramStart"/>
      <w:r w:rsidRPr="004C4769">
        <w:rPr>
          <w:rFonts w:ascii="Arial" w:eastAsiaTheme="minorHAnsi" w:hAnsi="Arial" w:cs="Arial"/>
          <w:bCs/>
          <w:sz w:val="23"/>
          <w:szCs w:val="23"/>
          <w:lang w:eastAsia="en-US"/>
        </w:rPr>
        <w:t>flameproof</w:t>
      </w:r>
      <w:proofErr w:type="gramEnd"/>
      <w:r w:rsidRPr="004C4769">
        <w:rPr>
          <w:rFonts w:ascii="Arial" w:eastAsiaTheme="minorHAnsi" w:hAnsi="Arial" w:cs="Arial"/>
          <w:bCs/>
          <w:sz w:val="23"/>
          <w:szCs w:val="23"/>
          <w:lang w:eastAsia="en-US"/>
        </w:rPr>
        <w:t xml:space="preserve"> transformers.</w:t>
      </w:r>
    </w:p>
    <w:p w:rsidR="007B74A0" w:rsidRPr="007B74A0" w:rsidRDefault="007B74A0" w:rsidP="007B74A0">
      <w:pPr>
        <w:pStyle w:val="r2"/>
        <w:spacing w:before="120" w:beforeAutospacing="0" w:after="0" w:afterAutospacing="0"/>
        <w:ind w:left="720"/>
        <w:rPr>
          <w:rFonts w:ascii="Arial" w:eastAsiaTheme="minorHAnsi" w:hAnsi="Arial" w:cs="Arial"/>
          <w:bCs/>
          <w:sz w:val="4"/>
          <w:szCs w:val="4"/>
          <w:lang w:eastAsia="en-US"/>
        </w:rPr>
      </w:pPr>
      <w:r>
        <w:rPr>
          <w:rFonts w:ascii="Arial" w:eastAsiaTheme="minorHAnsi" w:hAnsi="Arial" w:cs="Arial"/>
          <w:bCs/>
          <w:sz w:val="23"/>
          <w:szCs w:val="23"/>
          <w:lang w:eastAsia="en-US"/>
        </w:rPr>
        <w:br w:type="column"/>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4C2"/>
        <w:tblLook w:val="04A0" w:firstRow="1" w:lastRow="0" w:firstColumn="1" w:lastColumn="0" w:noHBand="0" w:noVBand="1"/>
        <w:tblDescription w:val="&quot;&quot;"/>
      </w:tblPr>
      <w:tblGrid>
        <w:gridCol w:w="4375"/>
      </w:tblGrid>
      <w:tr w:rsidR="000E4504" w:rsidRPr="00C811CA" w:rsidTr="00C9068A">
        <w:trPr>
          <w:tblHeader/>
        </w:trPr>
        <w:tc>
          <w:tcPr>
            <w:tcW w:w="5242" w:type="dxa"/>
            <w:shd w:val="clear" w:color="auto" w:fill="FFF4C2"/>
          </w:tcPr>
          <w:p w:rsidR="000E4504" w:rsidRDefault="007B74A0" w:rsidP="003F053A">
            <w:pPr>
              <w:pStyle w:val="E3Heading3"/>
              <w:spacing w:before="240" w:after="120"/>
              <w:rPr>
                <w:sz w:val="20"/>
              </w:rPr>
            </w:pPr>
            <w:r>
              <w:rPr>
                <w:bCs w:val="0"/>
                <w:color w:val="auto"/>
                <w:sz w:val="23"/>
                <w:szCs w:val="23"/>
              </w:rPr>
              <w:br w:type="column"/>
            </w:r>
            <w:r w:rsidR="000E4504" w:rsidRPr="00F61A43">
              <w:rPr>
                <w:sz w:val="20"/>
              </w:rPr>
              <w:t>For more detailed information go to:</w:t>
            </w:r>
          </w:p>
          <w:p w:rsidR="000E4504" w:rsidRPr="00605DBA" w:rsidRDefault="000E4504" w:rsidP="003F053A">
            <w:pPr>
              <w:spacing w:before="0" w:after="0"/>
              <w:rPr>
                <w:sz w:val="18"/>
                <w:szCs w:val="18"/>
              </w:rPr>
            </w:pPr>
            <w:r w:rsidRPr="00605DBA">
              <w:rPr>
                <w:sz w:val="18"/>
                <w:szCs w:val="18"/>
              </w:rPr>
              <w:t>Submitting an application:</w:t>
            </w:r>
          </w:p>
          <w:p w:rsidR="000E4504" w:rsidRPr="00605DBA" w:rsidRDefault="00C9068A" w:rsidP="003F053A">
            <w:pPr>
              <w:spacing w:before="0" w:after="120"/>
              <w:rPr>
                <w:rStyle w:val="Hyperlink"/>
                <w:sz w:val="18"/>
                <w:szCs w:val="18"/>
              </w:rPr>
            </w:pPr>
            <w:hyperlink r:id="rId19" w:tooltip="Energy Rating" w:history="1">
              <w:r w:rsidR="000E4504" w:rsidRPr="00605DBA">
                <w:rPr>
                  <w:rStyle w:val="Hyperlink"/>
                  <w:sz w:val="18"/>
                  <w:szCs w:val="18"/>
                </w:rPr>
                <w:t>www.energyrating.gov.au/programs/e3-</w:t>
              </w:r>
              <w:bookmarkStart w:id="0" w:name="_GoBack"/>
              <w:bookmarkEnd w:id="0"/>
              <w:r w:rsidR="000E4504" w:rsidRPr="00605DBA">
                <w:rPr>
                  <w:rStyle w:val="Hyperlink"/>
                  <w:sz w:val="18"/>
                  <w:szCs w:val="18"/>
                </w:rPr>
                <w:t>program/energy-rating-labelling/submit/</w:t>
              </w:r>
            </w:hyperlink>
          </w:p>
          <w:p w:rsidR="000E4504" w:rsidRPr="00605DBA" w:rsidRDefault="000E4504" w:rsidP="003F053A">
            <w:pPr>
              <w:spacing w:before="0" w:after="0"/>
              <w:rPr>
                <w:sz w:val="18"/>
                <w:szCs w:val="18"/>
              </w:rPr>
            </w:pPr>
            <w:r w:rsidRPr="00605DBA">
              <w:rPr>
                <w:sz w:val="18"/>
                <w:szCs w:val="18"/>
              </w:rPr>
              <w:t>On-line registration instructions:</w:t>
            </w:r>
          </w:p>
          <w:p w:rsidR="000E4504" w:rsidRPr="00605DBA" w:rsidRDefault="00C9068A" w:rsidP="003F053A">
            <w:pPr>
              <w:spacing w:before="0" w:after="120"/>
              <w:rPr>
                <w:sz w:val="18"/>
                <w:szCs w:val="18"/>
              </w:rPr>
            </w:pPr>
            <w:hyperlink r:id="rId20" w:tooltip="Energy Rating" w:history="1">
              <w:r w:rsidR="000E4504" w:rsidRPr="00605DBA">
                <w:rPr>
                  <w:rStyle w:val="Hyperlink"/>
                  <w:sz w:val="18"/>
                  <w:szCs w:val="18"/>
                </w:rPr>
                <w:t>www.energyrating.gov.au/resources/program-publications/?viewPublicationID=2139</w:t>
              </w:r>
            </w:hyperlink>
          </w:p>
          <w:p w:rsidR="000E4504" w:rsidRPr="00605DBA" w:rsidRDefault="000E4504" w:rsidP="003F053A">
            <w:pPr>
              <w:spacing w:before="0" w:after="0"/>
              <w:rPr>
                <w:sz w:val="18"/>
                <w:szCs w:val="18"/>
              </w:rPr>
            </w:pPr>
            <w:r w:rsidRPr="00605DBA">
              <w:rPr>
                <w:sz w:val="18"/>
                <w:szCs w:val="18"/>
              </w:rPr>
              <w:t>The standards are available from SAI Global or Standards New Zealand:</w:t>
            </w:r>
          </w:p>
          <w:p w:rsidR="000E4504" w:rsidRPr="00605DBA" w:rsidRDefault="00C9068A" w:rsidP="003F053A">
            <w:pPr>
              <w:spacing w:before="0"/>
              <w:rPr>
                <w:sz w:val="18"/>
                <w:szCs w:val="18"/>
                <w:u w:val="single"/>
              </w:rPr>
            </w:pPr>
            <w:hyperlink r:id="rId21" w:tooltip="SAI Global" w:history="1">
              <w:r w:rsidR="000E4504" w:rsidRPr="00605DBA">
                <w:rPr>
                  <w:rStyle w:val="Hyperlink"/>
                  <w:sz w:val="18"/>
                  <w:szCs w:val="18"/>
                </w:rPr>
                <w:t>www.saiglobal.com</w:t>
              </w:r>
            </w:hyperlink>
          </w:p>
          <w:p w:rsidR="000E4504" w:rsidRPr="00605DBA" w:rsidRDefault="00C9068A" w:rsidP="003F053A">
            <w:pPr>
              <w:spacing w:before="0" w:after="120"/>
              <w:rPr>
                <w:sz w:val="18"/>
                <w:szCs w:val="18"/>
              </w:rPr>
            </w:pPr>
            <w:hyperlink r:id="rId22" w:history="1">
              <w:r w:rsidR="000E4504" w:rsidRPr="00605DBA">
                <w:rPr>
                  <w:rStyle w:val="Hyperlink"/>
                  <w:sz w:val="18"/>
                  <w:szCs w:val="18"/>
                </w:rPr>
                <w:t>www.standards.co.nz</w:t>
              </w:r>
            </w:hyperlink>
          </w:p>
          <w:p w:rsidR="000E4504" w:rsidRPr="00605DBA" w:rsidRDefault="000E4504" w:rsidP="003F053A">
            <w:pPr>
              <w:spacing w:before="0" w:after="0"/>
              <w:rPr>
                <w:sz w:val="18"/>
                <w:szCs w:val="18"/>
              </w:rPr>
            </w:pPr>
            <w:r w:rsidRPr="00605DBA">
              <w:rPr>
                <w:sz w:val="18"/>
                <w:szCs w:val="18"/>
              </w:rPr>
              <w:t>Purchase IEC Standards:</w:t>
            </w:r>
          </w:p>
          <w:p w:rsidR="000E4504" w:rsidRPr="00605DBA" w:rsidRDefault="00C9068A" w:rsidP="003F053A">
            <w:pPr>
              <w:spacing w:before="0" w:after="120"/>
              <w:rPr>
                <w:rStyle w:val="Hyperlink"/>
                <w:sz w:val="18"/>
                <w:szCs w:val="18"/>
              </w:rPr>
            </w:pPr>
            <w:hyperlink r:id="rId23" w:tooltip="SAI Global" w:history="1">
              <w:r w:rsidR="000E4504" w:rsidRPr="00605DBA">
                <w:rPr>
                  <w:rStyle w:val="Hyperlink"/>
                  <w:sz w:val="18"/>
                  <w:szCs w:val="18"/>
                </w:rPr>
                <w:t>www.saiglobal.com</w:t>
              </w:r>
            </w:hyperlink>
          </w:p>
          <w:p w:rsidR="000E4504" w:rsidRPr="00605DBA" w:rsidRDefault="000E4504" w:rsidP="003F053A">
            <w:pPr>
              <w:spacing w:before="0"/>
              <w:rPr>
                <w:sz w:val="18"/>
                <w:szCs w:val="18"/>
              </w:rPr>
            </w:pPr>
            <w:r w:rsidRPr="00605DBA">
              <w:rPr>
                <w:sz w:val="18"/>
                <w:szCs w:val="18"/>
              </w:rPr>
              <w:t>The Determination:</w:t>
            </w:r>
          </w:p>
          <w:p w:rsidR="000E4504" w:rsidRPr="00315243" w:rsidRDefault="00C9068A" w:rsidP="003F053A">
            <w:pPr>
              <w:spacing w:before="0" w:after="120"/>
              <w:rPr>
                <w:szCs w:val="19"/>
                <w:u w:val="single"/>
              </w:rPr>
            </w:pPr>
            <w:hyperlink r:id="rId24" w:history="1">
              <w:r w:rsidR="000E4504" w:rsidRPr="00605DBA">
                <w:rPr>
                  <w:rStyle w:val="Hyperlink"/>
                  <w:sz w:val="18"/>
                  <w:szCs w:val="18"/>
                </w:rPr>
                <w:t>www.energyrating.gov.au/legislation-for-e3-under-gems</w:t>
              </w:r>
            </w:hyperlink>
          </w:p>
        </w:tc>
      </w:tr>
    </w:tbl>
    <w:p w:rsidR="00EC4963" w:rsidRPr="00B65067" w:rsidRDefault="00EC4963" w:rsidP="00EC4963">
      <w:pPr>
        <w:pStyle w:val="Default"/>
        <w:rPr>
          <w:color w:val="auto"/>
          <w:sz w:val="20"/>
          <w:szCs w:val="20"/>
        </w:rPr>
      </w:pPr>
    </w:p>
    <w:p w:rsidR="00D2704F" w:rsidRDefault="00D2704F" w:rsidP="00EC4963">
      <w:pPr>
        <w:rPr>
          <w:rFonts w:ascii="Arial" w:eastAsia="Cambria" w:hAnsi="Arial" w:cs="Arial"/>
          <w:sz w:val="20"/>
          <w:szCs w:val="20"/>
        </w:rPr>
        <w:sectPr w:rsidR="00D2704F" w:rsidSect="004C4769">
          <w:footerReference w:type="default" r:id="rId25"/>
          <w:type w:val="continuous"/>
          <w:pgSz w:w="11906" w:h="16838"/>
          <w:pgMar w:top="1440" w:right="1440" w:bottom="1440" w:left="1440" w:header="708" w:footer="708" w:gutter="0"/>
          <w:cols w:num="2" w:space="708"/>
          <w:docGrid w:linePitch="360"/>
        </w:sectPr>
      </w:pPr>
    </w:p>
    <w:p w:rsidR="00D2704F" w:rsidRDefault="00D2704F" w:rsidP="00D2704F">
      <w:pPr>
        <w:pBdr>
          <w:top w:val="single" w:sz="4" w:space="1" w:color="auto"/>
        </w:pBdr>
        <w:rPr>
          <w:rFonts w:ascii="Arial" w:eastAsia="Cambria" w:hAnsi="Arial" w:cs="Arial"/>
          <w:sz w:val="20"/>
          <w:szCs w:val="20"/>
        </w:rPr>
      </w:pPr>
    </w:p>
    <w:p w:rsidR="00D2704F" w:rsidRPr="00D2704F" w:rsidRDefault="00D2704F" w:rsidP="00D2704F">
      <w:pPr>
        <w:spacing w:line="300" w:lineRule="auto"/>
        <w:rPr>
          <w:rFonts w:ascii="Arial" w:eastAsia="Times New Roman" w:hAnsi="Arial" w:cs="Gill Sans MT"/>
          <w:b/>
          <w:sz w:val="20"/>
          <w:szCs w:val="20"/>
        </w:rPr>
      </w:pPr>
      <w:r w:rsidRPr="00D2704F">
        <w:rPr>
          <w:rFonts w:ascii="Arial" w:eastAsia="Times New Roman" w:hAnsi="Arial" w:cs="Gill Sans MT"/>
          <w:b/>
          <w:sz w:val="20"/>
          <w:szCs w:val="20"/>
        </w:rPr>
        <w:t>The</w:t>
      </w:r>
      <w:r w:rsidRPr="00D2704F">
        <w:rPr>
          <w:rFonts w:ascii="Arial" w:eastAsia="Times New Roman" w:hAnsi="Arial" w:cs="Gill Sans MT"/>
          <w:sz w:val="20"/>
          <w:szCs w:val="20"/>
        </w:rPr>
        <w:t xml:space="preserve"> </w:t>
      </w:r>
      <w:r w:rsidRPr="00D2704F">
        <w:rPr>
          <w:rFonts w:ascii="Arial" w:eastAsia="Times New Roman" w:hAnsi="Arial" w:cs="Gill Sans MT"/>
          <w:b/>
          <w:sz w:val="20"/>
          <w:szCs w:val="20"/>
        </w:rPr>
        <w:t xml:space="preserve">information in this document is provided as guidance only. This document has been developed to help registrants of distribution transformers better understand their responsibilities under the legislative framework in Australia. For registrants of products in Australia, this document should be read in conjunction with the </w:t>
      </w:r>
      <w:r w:rsidRPr="00D2704F">
        <w:rPr>
          <w:rFonts w:ascii="Arial" w:eastAsia="Times New Roman" w:hAnsi="Arial" w:cs="Gill Sans MT"/>
          <w:b/>
          <w:i/>
          <w:sz w:val="20"/>
          <w:szCs w:val="20"/>
        </w:rPr>
        <w:t>Greenhouse and Energy Minimum Standards</w:t>
      </w:r>
      <w:r w:rsidRPr="00D2704F">
        <w:rPr>
          <w:rFonts w:ascii="Arial" w:eastAsia="Times New Roman" w:hAnsi="Arial" w:cs="Gill Sans MT"/>
          <w:b/>
          <w:sz w:val="20"/>
          <w:szCs w:val="20"/>
        </w:rPr>
        <w:t xml:space="preserve"> </w:t>
      </w:r>
      <w:r w:rsidRPr="00D2704F">
        <w:rPr>
          <w:rFonts w:ascii="Arial" w:eastAsia="Times New Roman" w:hAnsi="Arial" w:cs="Gill Sans MT"/>
          <w:b/>
          <w:i/>
          <w:sz w:val="20"/>
          <w:szCs w:val="20"/>
        </w:rPr>
        <w:t>(GEMS) Act 2012</w:t>
      </w:r>
      <w:r w:rsidRPr="00D2704F">
        <w:rPr>
          <w:rFonts w:ascii="Arial" w:eastAsia="Times New Roman" w:hAnsi="Arial" w:cs="Gill Sans MT"/>
          <w:b/>
          <w:sz w:val="20"/>
          <w:szCs w:val="20"/>
        </w:rPr>
        <w:t xml:space="preserve"> (GEMS Act) and </w:t>
      </w:r>
      <w:proofErr w:type="gramStart"/>
      <w:r w:rsidRPr="00D2704F">
        <w:rPr>
          <w:rFonts w:ascii="Arial" w:eastAsia="Times New Roman" w:hAnsi="Arial" w:cs="Gill Sans MT"/>
          <w:b/>
          <w:sz w:val="20"/>
          <w:szCs w:val="20"/>
        </w:rPr>
        <w:t>its</w:t>
      </w:r>
      <w:proofErr w:type="gramEnd"/>
      <w:r w:rsidRPr="00D2704F">
        <w:rPr>
          <w:rFonts w:ascii="Arial" w:eastAsia="Times New Roman" w:hAnsi="Arial" w:cs="Gill Sans MT"/>
          <w:b/>
          <w:sz w:val="20"/>
          <w:szCs w:val="20"/>
        </w:rPr>
        <w:t xml:space="preserve"> supporting Regulations and Instruments. Changes to legislation may affect the information in this document.  Ultimately, persons are responsible for determining their obligations under the law, and for applying the law to their individual circumstances. This document does not constitute legal advice and is not a substitute for independent professional advice.</w:t>
      </w:r>
    </w:p>
    <w:p w:rsidR="001A3FD4" w:rsidRPr="00DF6AB5" w:rsidRDefault="001A3FD4" w:rsidP="00D2704F">
      <w:pPr>
        <w:pBdr>
          <w:bottom w:val="single" w:sz="4" w:space="1" w:color="auto"/>
        </w:pBdr>
        <w:rPr>
          <w:rFonts w:ascii="Arial" w:eastAsia="Cambria" w:hAnsi="Arial" w:cs="Arial"/>
          <w:sz w:val="20"/>
          <w:szCs w:val="20"/>
        </w:rPr>
      </w:pPr>
    </w:p>
    <w:sectPr w:rsidR="001A3FD4" w:rsidRPr="00DF6AB5" w:rsidSect="00D2704F">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26F1" w:rsidRDefault="003126F1" w:rsidP="007B74A0">
      <w:r>
        <w:separator/>
      </w:r>
    </w:p>
  </w:endnote>
  <w:endnote w:type="continuationSeparator" w:id="0">
    <w:p w:rsidR="003126F1" w:rsidRDefault="003126F1" w:rsidP="007B7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Light">
    <w:altName w:val="Corbel"/>
    <w:charset w:val="00"/>
    <w:family w:val="auto"/>
    <w:pitch w:val="variable"/>
    <w:sig w:usb0="8000007F" w:usb1="0000000A" w:usb2="00000000" w:usb3="00000000" w:csb0="00000007"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7077" w:rsidRDefault="0019707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7077" w:rsidRDefault="0019707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7077" w:rsidRDefault="0019707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0902847"/>
      <w:docPartObj>
        <w:docPartGallery w:val="Page Numbers (Bottom of Page)"/>
        <w:docPartUnique/>
      </w:docPartObj>
    </w:sdtPr>
    <w:sdtEndPr>
      <w:rPr>
        <w:noProof/>
      </w:rPr>
    </w:sdtEndPr>
    <w:sdtContent>
      <w:p w:rsidR="00AD7E92" w:rsidRDefault="00AD7E92" w:rsidP="00AD7E92">
        <w:pPr>
          <w:pStyle w:val="Footer"/>
        </w:pPr>
        <w:r w:rsidRPr="00AD7E92">
          <w:rPr>
            <w:b/>
          </w:rPr>
          <w:t>www.energyrating.gov.au</w:t>
        </w:r>
        <w:r>
          <w:tab/>
        </w:r>
        <w:r>
          <w:tab/>
        </w:r>
        <w:r w:rsidRPr="00AD7E92">
          <w:rPr>
            <w:b/>
          </w:rPr>
          <w:t>Distribution Transformer Fact Sheet –</w:t>
        </w:r>
        <w:r w:rsidR="00197077">
          <w:rPr>
            <w:b/>
          </w:rPr>
          <w:t>May 2014</w:t>
        </w:r>
      </w:p>
      <w:p w:rsidR="00AD7E92" w:rsidRDefault="00AD7E92">
        <w:pPr>
          <w:pStyle w:val="Footer"/>
          <w:jc w:val="right"/>
        </w:pPr>
        <w:r w:rsidRPr="00AD7E92">
          <w:rPr>
            <w:i/>
          </w:rPr>
          <w:fldChar w:fldCharType="begin"/>
        </w:r>
        <w:r w:rsidRPr="00AD7E92">
          <w:rPr>
            <w:i/>
          </w:rPr>
          <w:instrText xml:space="preserve"> PAGE   \* MERGEFORMAT </w:instrText>
        </w:r>
        <w:r w:rsidRPr="00AD7E92">
          <w:rPr>
            <w:i/>
          </w:rPr>
          <w:fldChar w:fldCharType="separate"/>
        </w:r>
        <w:r w:rsidR="00C9068A">
          <w:rPr>
            <w:i/>
            <w:noProof/>
          </w:rPr>
          <w:t>3</w:t>
        </w:r>
        <w:r w:rsidRPr="00AD7E92">
          <w:rPr>
            <w:i/>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26F1" w:rsidRDefault="003126F1" w:rsidP="007B74A0">
      <w:r>
        <w:separator/>
      </w:r>
    </w:p>
  </w:footnote>
  <w:footnote w:type="continuationSeparator" w:id="0">
    <w:p w:rsidR="003126F1" w:rsidRDefault="003126F1" w:rsidP="007B74A0">
      <w:r>
        <w:continuationSeparator/>
      </w:r>
    </w:p>
  </w:footnote>
  <w:footnote w:id="1">
    <w:p w:rsidR="005142A1" w:rsidRDefault="005142A1" w:rsidP="005142A1">
      <w:pPr>
        <w:pStyle w:val="FootnoteText"/>
      </w:pPr>
      <w:r>
        <w:rPr>
          <w:rStyle w:val="FootnoteReference"/>
        </w:rPr>
        <w:footnoteRef/>
      </w:r>
      <w:r>
        <w:t xml:space="preserve"> See section 14 of the Act for the full range of transaction types that are considered ‘supply’.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7077" w:rsidRDefault="0019707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7077" w:rsidRDefault="0019707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7077" w:rsidRDefault="0019707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8B397D"/>
    <w:multiLevelType w:val="hybridMultilevel"/>
    <w:tmpl w:val="764CC4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412610A0"/>
    <w:multiLevelType w:val="hybridMultilevel"/>
    <w:tmpl w:val="7D1291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6B295FDF"/>
    <w:multiLevelType w:val="hybridMultilevel"/>
    <w:tmpl w:val="8DCC35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762D69C0"/>
    <w:multiLevelType w:val="hybridMultilevel"/>
    <w:tmpl w:val="8DA6879E"/>
    <w:lvl w:ilvl="0" w:tplc="0C090011">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0F6A"/>
    <w:rsid w:val="000058E9"/>
    <w:rsid w:val="00033DC1"/>
    <w:rsid w:val="00050269"/>
    <w:rsid w:val="00075C78"/>
    <w:rsid w:val="000E4504"/>
    <w:rsid w:val="000E55D7"/>
    <w:rsid w:val="000F5456"/>
    <w:rsid w:val="00124F3C"/>
    <w:rsid w:val="00130F70"/>
    <w:rsid w:val="00141990"/>
    <w:rsid w:val="00197077"/>
    <w:rsid w:val="001A3FD4"/>
    <w:rsid w:val="00245B46"/>
    <w:rsid w:val="002A0F6A"/>
    <w:rsid w:val="003126F1"/>
    <w:rsid w:val="0033206B"/>
    <w:rsid w:val="0038047B"/>
    <w:rsid w:val="0040745A"/>
    <w:rsid w:val="0044614A"/>
    <w:rsid w:val="004465E3"/>
    <w:rsid w:val="004A2573"/>
    <w:rsid w:val="004C4769"/>
    <w:rsid w:val="004C79EB"/>
    <w:rsid w:val="004E2FAA"/>
    <w:rsid w:val="005142A1"/>
    <w:rsid w:val="00596B7A"/>
    <w:rsid w:val="005C2387"/>
    <w:rsid w:val="00667175"/>
    <w:rsid w:val="0069176F"/>
    <w:rsid w:val="00711754"/>
    <w:rsid w:val="00714A3C"/>
    <w:rsid w:val="007B74A0"/>
    <w:rsid w:val="008B1D3C"/>
    <w:rsid w:val="00912617"/>
    <w:rsid w:val="00947CAD"/>
    <w:rsid w:val="009F513B"/>
    <w:rsid w:val="00A4406B"/>
    <w:rsid w:val="00A707A2"/>
    <w:rsid w:val="00A85954"/>
    <w:rsid w:val="00AD7E92"/>
    <w:rsid w:val="00B41CEB"/>
    <w:rsid w:val="00B77A96"/>
    <w:rsid w:val="00BF623D"/>
    <w:rsid w:val="00C11528"/>
    <w:rsid w:val="00C40C1B"/>
    <w:rsid w:val="00C86F7E"/>
    <w:rsid w:val="00C9068A"/>
    <w:rsid w:val="00CB2ADF"/>
    <w:rsid w:val="00D2704F"/>
    <w:rsid w:val="00DE647A"/>
    <w:rsid w:val="00DF6AB5"/>
    <w:rsid w:val="00E20AEE"/>
    <w:rsid w:val="00E7682E"/>
    <w:rsid w:val="00E77641"/>
    <w:rsid w:val="00E915F4"/>
    <w:rsid w:val="00EB6A1E"/>
    <w:rsid w:val="00EC4963"/>
    <w:rsid w:val="00EE1F37"/>
    <w:rsid w:val="00EE354B"/>
    <w:rsid w:val="00FA28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C496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0E4504"/>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B2ADF"/>
    <w:rPr>
      <w:color w:val="0000FF"/>
      <w:u w:val="single"/>
    </w:rPr>
  </w:style>
  <w:style w:type="paragraph" w:styleId="ListParagraph">
    <w:name w:val="List Paragraph"/>
    <w:basedOn w:val="Normal"/>
    <w:uiPriority w:val="34"/>
    <w:qFormat/>
    <w:rsid w:val="00CB2ADF"/>
    <w:pPr>
      <w:ind w:left="720"/>
      <w:contextualSpacing/>
    </w:pPr>
  </w:style>
  <w:style w:type="paragraph" w:styleId="BalloonText">
    <w:name w:val="Balloon Text"/>
    <w:basedOn w:val="Normal"/>
    <w:link w:val="BalloonTextChar"/>
    <w:uiPriority w:val="99"/>
    <w:semiHidden/>
    <w:unhideWhenUsed/>
    <w:rsid w:val="00CB2ADF"/>
    <w:rPr>
      <w:rFonts w:ascii="Tahoma" w:hAnsi="Tahoma" w:cs="Tahoma"/>
      <w:sz w:val="16"/>
      <w:szCs w:val="16"/>
    </w:rPr>
  </w:style>
  <w:style w:type="character" w:customStyle="1" w:styleId="BalloonTextChar">
    <w:name w:val="Balloon Text Char"/>
    <w:basedOn w:val="DefaultParagraphFont"/>
    <w:link w:val="BalloonText"/>
    <w:uiPriority w:val="99"/>
    <w:semiHidden/>
    <w:rsid w:val="00CB2ADF"/>
    <w:rPr>
      <w:rFonts w:ascii="Tahoma" w:hAnsi="Tahoma" w:cs="Tahoma"/>
      <w:sz w:val="16"/>
      <w:szCs w:val="16"/>
    </w:rPr>
  </w:style>
  <w:style w:type="character" w:styleId="CommentReference">
    <w:name w:val="annotation reference"/>
    <w:basedOn w:val="DefaultParagraphFont"/>
    <w:uiPriority w:val="99"/>
    <w:semiHidden/>
    <w:unhideWhenUsed/>
    <w:rsid w:val="00C11528"/>
    <w:rPr>
      <w:sz w:val="16"/>
      <w:szCs w:val="16"/>
    </w:rPr>
  </w:style>
  <w:style w:type="paragraph" w:styleId="CommentText">
    <w:name w:val="annotation text"/>
    <w:basedOn w:val="Normal"/>
    <w:link w:val="CommentTextChar"/>
    <w:uiPriority w:val="99"/>
    <w:semiHidden/>
    <w:unhideWhenUsed/>
    <w:rsid w:val="00C11528"/>
    <w:rPr>
      <w:sz w:val="20"/>
      <w:szCs w:val="20"/>
    </w:rPr>
  </w:style>
  <w:style w:type="character" w:customStyle="1" w:styleId="CommentTextChar">
    <w:name w:val="Comment Text Char"/>
    <w:basedOn w:val="DefaultParagraphFont"/>
    <w:link w:val="CommentText"/>
    <w:uiPriority w:val="99"/>
    <w:semiHidden/>
    <w:rsid w:val="00C11528"/>
    <w:rPr>
      <w:sz w:val="20"/>
      <w:szCs w:val="20"/>
    </w:rPr>
  </w:style>
  <w:style w:type="paragraph" w:styleId="CommentSubject">
    <w:name w:val="annotation subject"/>
    <w:basedOn w:val="CommentText"/>
    <w:next w:val="CommentText"/>
    <w:link w:val="CommentSubjectChar"/>
    <w:uiPriority w:val="99"/>
    <w:semiHidden/>
    <w:unhideWhenUsed/>
    <w:rsid w:val="00C11528"/>
    <w:rPr>
      <w:b/>
      <w:bCs/>
    </w:rPr>
  </w:style>
  <w:style w:type="character" w:customStyle="1" w:styleId="CommentSubjectChar">
    <w:name w:val="Comment Subject Char"/>
    <w:basedOn w:val="CommentTextChar"/>
    <w:link w:val="CommentSubject"/>
    <w:uiPriority w:val="99"/>
    <w:semiHidden/>
    <w:rsid w:val="00C11528"/>
    <w:rPr>
      <w:b/>
      <w:bCs/>
      <w:sz w:val="20"/>
      <w:szCs w:val="20"/>
    </w:rPr>
  </w:style>
  <w:style w:type="paragraph" w:styleId="Revision">
    <w:name w:val="Revision"/>
    <w:hidden/>
    <w:uiPriority w:val="99"/>
    <w:semiHidden/>
    <w:rsid w:val="00C11528"/>
  </w:style>
  <w:style w:type="paragraph" w:customStyle="1" w:styleId="Default">
    <w:name w:val="Default"/>
    <w:rsid w:val="00EC4963"/>
    <w:pPr>
      <w:autoSpaceDE w:val="0"/>
      <w:autoSpaceDN w:val="0"/>
      <w:adjustRightInd w:val="0"/>
    </w:pPr>
    <w:rPr>
      <w:rFonts w:ascii="Arial" w:hAnsi="Arial" w:cs="Arial"/>
      <w:color w:val="000000"/>
      <w:sz w:val="24"/>
      <w:szCs w:val="24"/>
    </w:rPr>
  </w:style>
  <w:style w:type="paragraph" w:customStyle="1" w:styleId="r2">
    <w:name w:val="r2"/>
    <w:basedOn w:val="Normal"/>
    <w:rsid w:val="00EC4963"/>
    <w:pPr>
      <w:spacing w:before="100" w:beforeAutospacing="1" w:after="100" w:afterAutospacing="1"/>
    </w:pPr>
    <w:rPr>
      <w:rFonts w:ascii="Times New Roman" w:eastAsia="Times New Roman" w:hAnsi="Times New Roman" w:cs="Times New Roman"/>
      <w:sz w:val="24"/>
      <w:szCs w:val="24"/>
      <w:lang w:eastAsia="en-AU"/>
    </w:rPr>
  </w:style>
  <w:style w:type="paragraph" w:styleId="NormalWeb">
    <w:name w:val="Normal (Web)"/>
    <w:basedOn w:val="Normal"/>
    <w:uiPriority w:val="99"/>
    <w:unhideWhenUsed/>
    <w:rsid w:val="00EC4963"/>
    <w:pPr>
      <w:spacing w:before="100" w:beforeAutospacing="1" w:after="100" w:afterAutospacing="1"/>
    </w:pPr>
    <w:rPr>
      <w:rFonts w:ascii="Times New Roman" w:eastAsia="Times New Roman" w:hAnsi="Times New Roman" w:cs="Times New Roman"/>
      <w:sz w:val="24"/>
      <w:szCs w:val="24"/>
      <w:lang w:eastAsia="en-AU"/>
    </w:rPr>
  </w:style>
  <w:style w:type="character" w:customStyle="1" w:styleId="Heading1Char">
    <w:name w:val="Heading 1 Char"/>
    <w:basedOn w:val="DefaultParagraphFont"/>
    <w:link w:val="Heading1"/>
    <w:uiPriority w:val="9"/>
    <w:rsid w:val="00EC4963"/>
    <w:rPr>
      <w:rFonts w:asciiTheme="majorHAnsi" w:eastAsiaTheme="majorEastAsia" w:hAnsiTheme="majorHAnsi" w:cstheme="majorBidi"/>
      <w:b/>
      <w:bCs/>
      <w:color w:val="365F91" w:themeColor="accent1" w:themeShade="BF"/>
      <w:sz w:val="28"/>
      <w:szCs w:val="28"/>
    </w:rPr>
  </w:style>
  <w:style w:type="character" w:styleId="FollowedHyperlink">
    <w:name w:val="FollowedHyperlink"/>
    <w:basedOn w:val="DefaultParagraphFont"/>
    <w:uiPriority w:val="99"/>
    <w:semiHidden/>
    <w:unhideWhenUsed/>
    <w:rsid w:val="000E4504"/>
    <w:rPr>
      <w:color w:val="800080" w:themeColor="followedHyperlink"/>
      <w:u w:val="single"/>
    </w:rPr>
  </w:style>
  <w:style w:type="paragraph" w:customStyle="1" w:styleId="E3Heading3">
    <w:name w:val="E3 Heading 3"/>
    <w:basedOn w:val="Heading3"/>
    <w:next w:val="Normal"/>
    <w:qFormat/>
    <w:rsid w:val="000E4504"/>
    <w:pPr>
      <w:spacing w:before="113" w:after="113" w:line="278" w:lineRule="auto"/>
    </w:pPr>
    <w:rPr>
      <w:rFonts w:ascii="Georgia" w:eastAsia="Times New Roman" w:hAnsi="Georgia" w:cs="Times New Roman"/>
      <w:color w:val="E31F26"/>
      <w:szCs w:val="24"/>
    </w:rPr>
  </w:style>
  <w:style w:type="table" w:styleId="TableGrid">
    <w:name w:val="Table Grid"/>
    <w:basedOn w:val="TableNormal"/>
    <w:rsid w:val="000E4504"/>
    <w:pPr>
      <w:spacing w:before="40" w:after="40"/>
    </w:pPr>
    <w:rPr>
      <w:rFonts w:ascii="Helvetica Neue Light" w:eastAsia="Times New Roman" w:hAnsi="Helvetica Neue Light" w:cs="Times New Roman"/>
      <w:sz w:val="17"/>
      <w:szCs w:val="24"/>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0E4504"/>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7B74A0"/>
    <w:pPr>
      <w:tabs>
        <w:tab w:val="center" w:pos="4513"/>
        <w:tab w:val="right" w:pos="9026"/>
      </w:tabs>
    </w:pPr>
  </w:style>
  <w:style w:type="character" w:customStyle="1" w:styleId="HeaderChar">
    <w:name w:val="Header Char"/>
    <w:basedOn w:val="DefaultParagraphFont"/>
    <w:link w:val="Header"/>
    <w:uiPriority w:val="99"/>
    <w:rsid w:val="007B74A0"/>
  </w:style>
  <w:style w:type="paragraph" w:styleId="Footer">
    <w:name w:val="footer"/>
    <w:basedOn w:val="Normal"/>
    <w:link w:val="FooterChar"/>
    <w:uiPriority w:val="99"/>
    <w:unhideWhenUsed/>
    <w:rsid w:val="007B74A0"/>
    <w:pPr>
      <w:tabs>
        <w:tab w:val="center" w:pos="4513"/>
        <w:tab w:val="right" w:pos="9026"/>
      </w:tabs>
    </w:pPr>
  </w:style>
  <w:style w:type="character" w:customStyle="1" w:styleId="FooterChar">
    <w:name w:val="Footer Char"/>
    <w:basedOn w:val="DefaultParagraphFont"/>
    <w:link w:val="Footer"/>
    <w:uiPriority w:val="99"/>
    <w:rsid w:val="007B74A0"/>
  </w:style>
  <w:style w:type="paragraph" w:styleId="FootnoteText">
    <w:name w:val="footnote text"/>
    <w:basedOn w:val="Normal"/>
    <w:link w:val="FootnoteTextChar"/>
    <w:uiPriority w:val="99"/>
    <w:semiHidden/>
    <w:unhideWhenUsed/>
    <w:rsid w:val="005142A1"/>
    <w:rPr>
      <w:sz w:val="20"/>
      <w:szCs w:val="20"/>
    </w:rPr>
  </w:style>
  <w:style w:type="character" w:customStyle="1" w:styleId="FootnoteTextChar">
    <w:name w:val="Footnote Text Char"/>
    <w:basedOn w:val="DefaultParagraphFont"/>
    <w:link w:val="FootnoteText"/>
    <w:uiPriority w:val="99"/>
    <w:semiHidden/>
    <w:rsid w:val="005142A1"/>
    <w:rPr>
      <w:sz w:val="20"/>
      <w:szCs w:val="20"/>
    </w:rPr>
  </w:style>
  <w:style w:type="character" w:styleId="FootnoteReference">
    <w:name w:val="footnote reference"/>
    <w:basedOn w:val="DefaultParagraphFont"/>
    <w:uiPriority w:val="99"/>
    <w:semiHidden/>
    <w:unhideWhenUsed/>
    <w:rsid w:val="005142A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C496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0E4504"/>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B2ADF"/>
    <w:rPr>
      <w:color w:val="0000FF"/>
      <w:u w:val="single"/>
    </w:rPr>
  </w:style>
  <w:style w:type="paragraph" w:styleId="ListParagraph">
    <w:name w:val="List Paragraph"/>
    <w:basedOn w:val="Normal"/>
    <w:uiPriority w:val="34"/>
    <w:qFormat/>
    <w:rsid w:val="00CB2ADF"/>
    <w:pPr>
      <w:ind w:left="720"/>
      <w:contextualSpacing/>
    </w:pPr>
  </w:style>
  <w:style w:type="paragraph" w:styleId="BalloonText">
    <w:name w:val="Balloon Text"/>
    <w:basedOn w:val="Normal"/>
    <w:link w:val="BalloonTextChar"/>
    <w:uiPriority w:val="99"/>
    <w:semiHidden/>
    <w:unhideWhenUsed/>
    <w:rsid w:val="00CB2ADF"/>
    <w:rPr>
      <w:rFonts w:ascii="Tahoma" w:hAnsi="Tahoma" w:cs="Tahoma"/>
      <w:sz w:val="16"/>
      <w:szCs w:val="16"/>
    </w:rPr>
  </w:style>
  <w:style w:type="character" w:customStyle="1" w:styleId="BalloonTextChar">
    <w:name w:val="Balloon Text Char"/>
    <w:basedOn w:val="DefaultParagraphFont"/>
    <w:link w:val="BalloonText"/>
    <w:uiPriority w:val="99"/>
    <w:semiHidden/>
    <w:rsid w:val="00CB2ADF"/>
    <w:rPr>
      <w:rFonts w:ascii="Tahoma" w:hAnsi="Tahoma" w:cs="Tahoma"/>
      <w:sz w:val="16"/>
      <w:szCs w:val="16"/>
    </w:rPr>
  </w:style>
  <w:style w:type="character" w:styleId="CommentReference">
    <w:name w:val="annotation reference"/>
    <w:basedOn w:val="DefaultParagraphFont"/>
    <w:uiPriority w:val="99"/>
    <w:semiHidden/>
    <w:unhideWhenUsed/>
    <w:rsid w:val="00C11528"/>
    <w:rPr>
      <w:sz w:val="16"/>
      <w:szCs w:val="16"/>
    </w:rPr>
  </w:style>
  <w:style w:type="paragraph" w:styleId="CommentText">
    <w:name w:val="annotation text"/>
    <w:basedOn w:val="Normal"/>
    <w:link w:val="CommentTextChar"/>
    <w:uiPriority w:val="99"/>
    <w:semiHidden/>
    <w:unhideWhenUsed/>
    <w:rsid w:val="00C11528"/>
    <w:rPr>
      <w:sz w:val="20"/>
      <w:szCs w:val="20"/>
    </w:rPr>
  </w:style>
  <w:style w:type="character" w:customStyle="1" w:styleId="CommentTextChar">
    <w:name w:val="Comment Text Char"/>
    <w:basedOn w:val="DefaultParagraphFont"/>
    <w:link w:val="CommentText"/>
    <w:uiPriority w:val="99"/>
    <w:semiHidden/>
    <w:rsid w:val="00C11528"/>
    <w:rPr>
      <w:sz w:val="20"/>
      <w:szCs w:val="20"/>
    </w:rPr>
  </w:style>
  <w:style w:type="paragraph" w:styleId="CommentSubject">
    <w:name w:val="annotation subject"/>
    <w:basedOn w:val="CommentText"/>
    <w:next w:val="CommentText"/>
    <w:link w:val="CommentSubjectChar"/>
    <w:uiPriority w:val="99"/>
    <w:semiHidden/>
    <w:unhideWhenUsed/>
    <w:rsid w:val="00C11528"/>
    <w:rPr>
      <w:b/>
      <w:bCs/>
    </w:rPr>
  </w:style>
  <w:style w:type="character" w:customStyle="1" w:styleId="CommentSubjectChar">
    <w:name w:val="Comment Subject Char"/>
    <w:basedOn w:val="CommentTextChar"/>
    <w:link w:val="CommentSubject"/>
    <w:uiPriority w:val="99"/>
    <w:semiHidden/>
    <w:rsid w:val="00C11528"/>
    <w:rPr>
      <w:b/>
      <w:bCs/>
      <w:sz w:val="20"/>
      <w:szCs w:val="20"/>
    </w:rPr>
  </w:style>
  <w:style w:type="paragraph" w:styleId="Revision">
    <w:name w:val="Revision"/>
    <w:hidden/>
    <w:uiPriority w:val="99"/>
    <w:semiHidden/>
    <w:rsid w:val="00C11528"/>
  </w:style>
  <w:style w:type="paragraph" w:customStyle="1" w:styleId="Default">
    <w:name w:val="Default"/>
    <w:rsid w:val="00EC4963"/>
    <w:pPr>
      <w:autoSpaceDE w:val="0"/>
      <w:autoSpaceDN w:val="0"/>
      <w:adjustRightInd w:val="0"/>
    </w:pPr>
    <w:rPr>
      <w:rFonts w:ascii="Arial" w:hAnsi="Arial" w:cs="Arial"/>
      <w:color w:val="000000"/>
      <w:sz w:val="24"/>
      <w:szCs w:val="24"/>
    </w:rPr>
  </w:style>
  <w:style w:type="paragraph" w:customStyle="1" w:styleId="r2">
    <w:name w:val="r2"/>
    <w:basedOn w:val="Normal"/>
    <w:rsid w:val="00EC4963"/>
    <w:pPr>
      <w:spacing w:before="100" w:beforeAutospacing="1" w:after="100" w:afterAutospacing="1"/>
    </w:pPr>
    <w:rPr>
      <w:rFonts w:ascii="Times New Roman" w:eastAsia="Times New Roman" w:hAnsi="Times New Roman" w:cs="Times New Roman"/>
      <w:sz w:val="24"/>
      <w:szCs w:val="24"/>
      <w:lang w:eastAsia="en-AU"/>
    </w:rPr>
  </w:style>
  <w:style w:type="paragraph" w:styleId="NormalWeb">
    <w:name w:val="Normal (Web)"/>
    <w:basedOn w:val="Normal"/>
    <w:uiPriority w:val="99"/>
    <w:unhideWhenUsed/>
    <w:rsid w:val="00EC4963"/>
    <w:pPr>
      <w:spacing w:before="100" w:beforeAutospacing="1" w:after="100" w:afterAutospacing="1"/>
    </w:pPr>
    <w:rPr>
      <w:rFonts w:ascii="Times New Roman" w:eastAsia="Times New Roman" w:hAnsi="Times New Roman" w:cs="Times New Roman"/>
      <w:sz w:val="24"/>
      <w:szCs w:val="24"/>
      <w:lang w:eastAsia="en-AU"/>
    </w:rPr>
  </w:style>
  <w:style w:type="character" w:customStyle="1" w:styleId="Heading1Char">
    <w:name w:val="Heading 1 Char"/>
    <w:basedOn w:val="DefaultParagraphFont"/>
    <w:link w:val="Heading1"/>
    <w:uiPriority w:val="9"/>
    <w:rsid w:val="00EC4963"/>
    <w:rPr>
      <w:rFonts w:asciiTheme="majorHAnsi" w:eastAsiaTheme="majorEastAsia" w:hAnsiTheme="majorHAnsi" w:cstheme="majorBidi"/>
      <w:b/>
      <w:bCs/>
      <w:color w:val="365F91" w:themeColor="accent1" w:themeShade="BF"/>
      <w:sz w:val="28"/>
      <w:szCs w:val="28"/>
    </w:rPr>
  </w:style>
  <w:style w:type="character" w:styleId="FollowedHyperlink">
    <w:name w:val="FollowedHyperlink"/>
    <w:basedOn w:val="DefaultParagraphFont"/>
    <w:uiPriority w:val="99"/>
    <w:semiHidden/>
    <w:unhideWhenUsed/>
    <w:rsid w:val="000E4504"/>
    <w:rPr>
      <w:color w:val="800080" w:themeColor="followedHyperlink"/>
      <w:u w:val="single"/>
    </w:rPr>
  </w:style>
  <w:style w:type="paragraph" w:customStyle="1" w:styleId="E3Heading3">
    <w:name w:val="E3 Heading 3"/>
    <w:basedOn w:val="Heading3"/>
    <w:next w:val="Normal"/>
    <w:qFormat/>
    <w:rsid w:val="000E4504"/>
    <w:pPr>
      <w:spacing w:before="113" w:after="113" w:line="278" w:lineRule="auto"/>
    </w:pPr>
    <w:rPr>
      <w:rFonts w:ascii="Georgia" w:eastAsia="Times New Roman" w:hAnsi="Georgia" w:cs="Times New Roman"/>
      <w:color w:val="E31F26"/>
      <w:szCs w:val="24"/>
    </w:rPr>
  </w:style>
  <w:style w:type="table" w:styleId="TableGrid">
    <w:name w:val="Table Grid"/>
    <w:basedOn w:val="TableNormal"/>
    <w:rsid w:val="000E4504"/>
    <w:pPr>
      <w:spacing w:before="40" w:after="40"/>
    </w:pPr>
    <w:rPr>
      <w:rFonts w:ascii="Helvetica Neue Light" w:eastAsia="Times New Roman" w:hAnsi="Helvetica Neue Light" w:cs="Times New Roman"/>
      <w:sz w:val="17"/>
      <w:szCs w:val="24"/>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0E4504"/>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7B74A0"/>
    <w:pPr>
      <w:tabs>
        <w:tab w:val="center" w:pos="4513"/>
        <w:tab w:val="right" w:pos="9026"/>
      </w:tabs>
    </w:pPr>
  </w:style>
  <w:style w:type="character" w:customStyle="1" w:styleId="HeaderChar">
    <w:name w:val="Header Char"/>
    <w:basedOn w:val="DefaultParagraphFont"/>
    <w:link w:val="Header"/>
    <w:uiPriority w:val="99"/>
    <w:rsid w:val="007B74A0"/>
  </w:style>
  <w:style w:type="paragraph" w:styleId="Footer">
    <w:name w:val="footer"/>
    <w:basedOn w:val="Normal"/>
    <w:link w:val="FooterChar"/>
    <w:uiPriority w:val="99"/>
    <w:unhideWhenUsed/>
    <w:rsid w:val="007B74A0"/>
    <w:pPr>
      <w:tabs>
        <w:tab w:val="center" w:pos="4513"/>
        <w:tab w:val="right" w:pos="9026"/>
      </w:tabs>
    </w:pPr>
  </w:style>
  <w:style w:type="character" w:customStyle="1" w:styleId="FooterChar">
    <w:name w:val="Footer Char"/>
    <w:basedOn w:val="DefaultParagraphFont"/>
    <w:link w:val="Footer"/>
    <w:uiPriority w:val="99"/>
    <w:rsid w:val="007B74A0"/>
  </w:style>
  <w:style w:type="paragraph" w:styleId="FootnoteText">
    <w:name w:val="footnote text"/>
    <w:basedOn w:val="Normal"/>
    <w:link w:val="FootnoteTextChar"/>
    <w:uiPriority w:val="99"/>
    <w:semiHidden/>
    <w:unhideWhenUsed/>
    <w:rsid w:val="005142A1"/>
    <w:rPr>
      <w:sz w:val="20"/>
      <w:szCs w:val="20"/>
    </w:rPr>
  </w:style>
  <w:style w:type="character" w:customStyle="1" w:styleId="FootnoteTextChar">
    <w:name w:val="Footnote Text Char"/>
    <w:basedOn w:val="DefaultParagraphFont"/>
    <w:link w:val="FootnoteText"/>
    <w:uiPriority w:val="99"/>
    <w:semiHidden/>
    <w:rsid w:val="005142A1"/>
    <w:rPr>
      <w:sz w:val="20"/>
      <w:szCs w:val="20"/>
    </w:rPr>
  </w:style>
  <w:style w:type="character" w:styleId="FootnoteReference">
    <w:name w:val="footnote reference"/>
    <w:basedOn w:val="DefaultParagraphFont"/>
    <w:uiPriority w:val="99"/>
    <w:semiHidden/>
    <w:unhideWhenUsed/>
    <w:rsid w:val="005142A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5951767">
      <w:bodyDiv w:val="1"/>
      <w:marLeft w:val="0"/>
      <w:marRight w:val="0"/>
      <w:marTop w:val="0"/>
      <w:marBottom w:val="0"/>
      <w:divBdr>
        <w:top w:val="none" w:sz="0" w:space="0" w:color="auto"/>
        <w:left w:val="none" w:sz="0" w:space="0" w:color="auto"/>
        <w:bottom w:val="none" w:sz="0" w:space="0" w:color="auto"/>
        <w:right w:val="none" w:sz="0" w:space="0" w:color="auto"/>
      </w:divBdr>
    </w:div>
    <w:div w:id="649748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www.energyrating.gov.au/programs/e3-program/compliance/"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saiglobal.com/"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www.energyrating.gov.au/resources/program-publications/?viewPublicationID=2139" TargetMode="Externa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www.energyrating.gov.au/programs/e3-program/energy-rating-labelling/submit/" TargetMode="External"/><Relationship Id="rId20" Type="http://schemas.openxmlformats.org/officeDocument/2006/relationships/hyperlink" Target="http://www.energyrating.gov.au/resources/program-publications/?viewPublicationID=2139"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www.energyrating.gov.au/legislation-for-e3-under-gems" TargetMode="Externa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www.saiglobal.com/" TargetMode="External"/><Relationship Id="rId10" Type="http://schemas.openxmlformats.org/officeDocument/2006/relationships/header" Target="header1.xml"/><Relationship Id="rId19" Type="http://schemas.openxmlformats.org/officeDocument/2006/relationships/hyperlink" Target="http://www.energyrating.gov.au/programs/e3-program/energy-rating-labelling/submit/"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yperlink" Target="http://www.standards.co.nz/default.htm"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8F60CA-25B7-4216-9FC5-8B8DC14752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1135</Words>
  <Characters>6474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INDUSTRY</Company>
  <LinksUpToDate>false</LinksUpToDate>
  <CharactersWithSpaces>7594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Mistry, Yogendra</dc:creator>
  <cp:lastModifiedBy>Norris, Chris</cp:lastModifiedBy>
  <cp:revision>3</cp:revision>
  <cp:lastPrinted>2014-04-14T03:29:00Z</cp:lastPrinted>
  <dcterms:created xsi:type="dcterms:W3CDTF">2015-07-30T04:27:00Z</dcterms:created>
  <dcterms:modified xsi:type="dcterms:W3CDTF">2015-07-30T04:34:00Z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ies>
</file>