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8BCD5" w14:textId="77777777" w:rsidR="00FA58C1" w:rsidRPr="00343437" w:rsidRDefault="00FA58C1" w:rsidP="00D12FEB">
      <w:pPr>
        <w:pStyle w:val="E3Title"/>
      </w:pPr>
      <w:r w:rsidRPr="00343437">
        <w:rPr>
          <w:lang w:eastAsia="en-AU"/>
        </w:rPr>
        <mc:AlternateContent>
          <mc:Choice Requires="wps">
            <w:drawing>
              <wp:inline distT="0" distB="0" distL="0" distR="0" wp14:anchorId="7017F04F" wp14:editId="616AFB5C">
                <wp:extent cx="6158865" cy="1717040"/>
                <wp:effectExtent l="0" t="0" r="0" b="10160"/>
                <wp:docPr id="1" name="Text Box 1"/>
                <wp:cNvGraphicFramePr/>
                <a:graphic xmlns:a="http://schemas.openxmlformats.org/drawingml/2006/main">
                  <a:graphicData uri="http://schemas.microsoft.com/office/word/2010/wordprocessingShape">
                    <wps:wsp>
                      <wps:cNvSpPr txBox="1"/>
                      <wps:spPr>
                        <a:xfrm>
                          <a:off x="0" y="0"/>
                          <a:ext cx="6158865" cy="171704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50D7767" w14:textId="166CC214" w:rsidR="00FB2EC7" w:rsidRDefault="00FB2EC7" w:rsidP="00FA58C1">
                            <w:pPr>
                              <w:pStyle w:val="E3Title"/>
                            </w:pPr>
                            <w:r>
                              <w:t xml:space="preserve">Lighting: Updated policy positions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017F04F" id="_x0000_t202" coordsize="21600,21600" o:spt="202" path="m,l,21600r21600,l21600,xe">
                <v:stroke joinstyle="miter"/>
                <v:path gradientshapeok="t" o:connecttype="rect"/>
              </v:shapetype>
              <v:shape id="Text Box 1" o:spid="_x0000_s1026" type="#_x0000_t202" style="width:484.95pt;height:13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" filled="f" stroked="f">
                <v:textbox>
                  <w:txbxContent>
                    <w:p w14:paraId="450D7767" w14:textId="166CC214" w:rsidR="00FB2EC7" w:rsidRDefault="00FB2EC7" w:rsidP="00FA58C1">
                      <w:pPr>
                        <w:pStyle w:val="E3Title"/>
                      </w:pPr>
                      <w:r>
                        <w:t xml:space="preserve">Lighting: Updated policy positions </w:t>
                      </w:r>
                    </w:p>
                  </w:txbxContent>
                </v:textbox>
                <w10:anchorlock/>
              </v:shape>
            </w:pict>
          </mc:Fallback>
        </mc:AlternateContent>
      </w:r>
    </w:p>
    <w:p w14:paraId="4691285F" w14:textId="77777777" w:rsidR="00FA58C1" w:rsidRPr="00343437" w:rsidRDefault="00FA58C1" w:rsidP="00ED5DCA">
      <w:pPr>
        <w:pStyle w:val="E3Subtitle"/>
      </w:pPr>
      <w:bookmarkStart w:id="0" w:name="_Toc297565335"/>
      <w:bookmarkStart w:id="1" w:name="_Toc297565841"/>
    </w:p>
    <w:p w14:paraId="49C69B0E" w14:textId="77777777" w:rsidR="00FA58C1" w:rsidRPr="00343437" w:rsidRDefault="00FA58C1" w:rsidP="00ED5DCA">
      <w:pPr>
        <w:pStyle w:val="E3Subtitle"/>
      </w:pPr>
    </w:p>
    <w:p w14:paraId="63373A0E" w14:textId="77777777" w:rsidR="00FA58C1" w:rsidRPr="00343437" w:rsidRDefault="00FA58C1" w:rsidP="00ED5DCA">
      <w:pPr>
        <w:pStyle w:val="E3Subtitle"/>
      </w:pPr>
    </w:p>
    <w:p w14:paraId="58BB2059" w14:textId="77777777" w:rsidR="00FA58C1" w:rsidRPr="00343437" w:rsidRDefault="00FA58C1" w:rsidP="00ED5DCA">
      <w:pPr>
        <w:pStyle w:val="E3Subtitle"/>
      </w:pPr>
    </w:p>
    <w:p w14:paraId="1DD4DA70" w14:textId="77777777" w:rsidR="00FA58C1" w:rsidRPr="00343437" w:rsidRDefault="00FA58C1" w:rsidP="00ED5DCA">
      <w:pPr>
        <w:pStyle w:val="E3Subtitle"/>
      </w:pPr>
    </w:p>
    <w:p w14:paraId="09CCC7F1" w14:textId="77777777" w:rsidR="00FA58C1" w:rsidRPr="00343437" w:rsidRDefault="00FA58C1" w:rsidP="00ED5DCA">
      <w:pPr>
        <w:pStyle w:val="E3Subtitle"/>
      </w:pPr>
    </w:p>
    <w:p w14:paraId="101F2672" w14:textId="77777777" w:rsidR="00FA58C1" w:rsidRPr="00343437" w:rsidRDefault="00FA58C1" w:rsidP="00ED5DCA">
      <w:pPr>
        <w:pStyle w:val="E3Subtitle"/>
      </w:pPr>
    </w:p>
    <w:bookmarkEnd w:id="0"/>
    <w:bookmarkEnd w:id="1"/>
    <w:p w14:paraId="1612983E" w14:textId="77777777" w:rsidR="00D14FB0" w:rsidRPr="00343437" w:rsidRDefault="00FA58C1" w:rsidP="003C469D">
      <w:pPr>
        <w:pStyle w:val="E3InternalCoverPage"/>
      </w:pPr>
      <w:r w:rsidRPr="00343437">
        <w:rPr>
          <w:lang w:eastAsia="en-AU"/>
        </w:rPr>
        <mc:AlternateContent>
          <mc:Choice Requires="wps">
            <w:drawing>
              <wp:inline distT="0" distB="0" distL="0" distR="0" wp14:anchorId="6039F194" wp14:editId="29F5AFF5">
                <wp:extent cx="5580380" cy="932943"/>
                <wp:effectExtent l="0" t="0" r="0" b="6985"/>
                <wp:docPr id="8" name="Text Box 8"/>
                <wp:cNvGraphicFramePr/>
                <a:graphic xmlns:a="http://schemas.openxmlformats.org/drawingml/2006/main">
                  <a:graphicData uri="http://schemas.microsoft.com/office/word/2010/wordprocessingShape">
                    <wps:wsp>
                      <wps:cNvSpPr txBox="1"/>
                      <wps:spPr>
                        <a:xfrm>
                          <a:off x="0" y="0"/>
                          <a:ext cx="5580380" cy="932943"/>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A2D57CE" w14:textId="77777777" w:rsidR="00FB2EC7" w:rsidRDefault="00FB2EC7" w:rsidP="00FA58C1">
                            <w:pPr>
                              <w:pStyle w:val="E3Subtitle"/>
                            </w:pPr>
                            <w:r>
                              <w:t>Supplementary consultation document</w:t>
                            </w:r>
                          </w:p>
                          <w:p w14:paraId="588E339B" w14:textId="4D6E2BCE" w:rsidR="00FB2EC7" w:rsidRDefault="00FB2EC7" w:rsidP="00FA58C1">
                            <w:pPr>
                              <w:pStyle w:val="E3Subtitle"/>
                            </w:pPr>
                            <w:r>
                              <w:t>September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039F194" id="Text Box 8" o:spid="_x0000_s1027" type="#_x0000_t202" style="width:439.4pt;height:7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" filled="f" stroked="f">
                <v:textbox>
                  <w:txbxContent>
                    <w:p w14:paraId="1A2D57CE" w14:textId="77777777" w:rsidR="00FB2EC7" w:rsidRDefault="00FB2EC7" w:rsidP="00FA58C1">
                      <w:pPr>
                        <w:pStyle w:val="E3Subtitle"/>
                      </w:pPr>
                      <w:r>
                        <w:t>Supplementary consultation document</w:t>
                      </w:r>
                    </w:p>
                    <w:p w14:paraId="588E339B" w14:textId="4D6E2BCE" w:rsidR="00FB2EC7" w:rsidRDefault="00FB2EC7" w:rsidP="00FA58C1">
                      <w:pPr>
                        <w:pStyle w:val="E3Subtitle"/>
                      </w:pPr>
                      <w:r>
                        <w:t>September 2017</w:t>
                      </w:r>
                    </w:p>
                  </w:txbxContent>
                </v:textbox>
                <w10:anchorlock/>
              </v:shape>
            </w:pict>
          </mc:Fallback>
        </mc:AlternateContent>
      </w:r>
    </w:p>
    <w:p w14:paraId="6267382C" w14:textId="77777777" w:rsidR="00D14FB0" w:rsidRPr="00343437" w:rsidRDefault="00D14FB0" w:rsidP="003C469D">
      <w:pPr>
        <w:pStyle w:val="E3InternalCoverPage"/>
        <w:rPr>
          <w:rFonts w:ascii="Helvetica" w:hAnsi="Helvetica"/>
          <w:b/>
          <w:sz w:val="24"/>
        </w:rPr>
      </w:pPr>
      <w:r w:rsidRPr="00343437">
        <w:br w:type="page"/>
      </w:r>
    </w:p>
    <w:p w14:paraId="2CE2CBEC" w14:textId="77777777" w:rsidR="00823F42" w:rsidRPr="00343437" w:rsidRDefault="00823F42" w:rsidP="003C469D">
      <w:pPr>
        <w:pStyle w:val="E3InternalCoverPage"/>
        <w:sectPr w:rsidR="00823F42" w:rsidRPr="00343437" w:rsidSect="00FA58C1">
          <w:footerReference w:type="default" r:id="rId8"/>
          <w:headerReference w:type="first" r:id="rId9"/>
          <w:footerReference w:type="first" r:id="rId10"/>
          <w:type w:val="continuous"/>
          <w:pgSz w:w="11907" w:h="16840" w:code="9"/>
          <w:pgMar w:top="6237" w:right="1134" w:bottom="1418" w:left="1985" w:header="709" w:footer="492" w:gutter="0"/>
          <w:cols w:space="720"/>
          <w:titlePg/>
          <w:docGrid w:linePitch="360"/>
        </w:sectPr>
      </w:pPr>
    </w:p>
    <w:p w14:paraId="13B5F1B5" w14:textId="77777777" w:rsidR="009F17F9" w:rsidRPr="00343437" w:rsidRDefault="009F17F9" w:rsidP="003C469D">
      <w:pPr>
        <w:pStyle w:val="E3InternalCoverPage"/>
      </w:pPr>
      <w:r w:rsidRPr="00343437">
        <w:lastRenderedPageBreak/>
        <w:t xml:space="preserve">This work is licensed under the Creative Commons Attribution 3.0 Australia Licence. To view a copy of </w:t>
      </w:r>
      <w:r w:rsidR="00A05D5E" w:rsidRPr="00343437">
        <w:br/>
      </w:r>
      <w:r w:rsidRPr="00343437">
        <w:t xml:space="preserve">this license, visit </w:t>
      </w:r>
      <w:hyperlink r:id="rId11" w:history="1">
        <w:r w:rsidR="006D2C3A" w:rsidRPr="00343437">
          <w:rPr>
            <w:rStyle w:val="Hyperlink"/>
          </w:rPr>
          <w:t>the creative commons website.</w:t>
        </w:r>
      </w:hyperlink>
    </w:p>
    <w:p w14:paraId="46065F7B" w14:textId="77777777" w:rsidR="009F17F9" w:rsidRPr="00343437" w:rsidRDefault="009F17F9" w:rsidP="003C469D">
      <w:pPr>
        <w:pStyle w:val="E3InternalCoverPage"/>
      </w:pPr>
    </w:p>
    <w:p w14:paraId="7D89CA65" w14:textId="77777777" w:rsidR="009F17F9" w:rsidRPr="00343437" w:rsidRDefault="009F17F9" w:rsidP="003C469D">
      <w:pPr>
        <w:pStyle w:val="E3InternalCoverPage"/>
      </w:pPr>
      <w:r w:rsidRPr="00343437">
        <w:t xml:space="preserve">The Department of </w:t>
      </w:r>
      <w:r w:rsidR="00600A84" w:rsidRPr="00343437">
        <w:t>the Environment and Energy</w:t>
      </w:r>
      <w:r w:rsidRPr="00343437">
        <w:t xml:space="preserve"> on behalf of the Equipment Energy Efficiency </w:t>
      </w:r>
      <w:r w:rsidR="003C469D" w:rsidRPr="00343437">
        <w:br/>
      </w:r>
      <w:r w:rsidRPr="00343437">
        <w:t xml:space="preserve">Program asserts the right to be recognised as author </w:t>
      </w:r>
      <w:r w:rsidR="003C469D" w:rsidRPr="00343437">
        <w:br/>
      </w:r>
      <w:r w:rsidRPr="00343437">
        <w:t xml:space="preserve">of the original material in the following manner: </w:t>
      </w:r>
    </w:p>
    <w:p w14:paraId="2A26874B" w14:textId="77777777" w:rsidR="009F17F9" w:rsidRPr="00343437" w:rsidRDefault="009F17F9" w:rsidP="003C469D">
      <w:pPr>
        <w:pStyle w:val="E3InternalCoverPage"/>
      </w:pPr>
      <w:r w:rsidRPr="00343437">
        <w:rPr>
          <w:lang w:eastAsia="en-AU"/>
        </w:rPr>
        <w:drawing>
          <wp:inline distT="0" distB="0" distL="0" distR="0" wp14:anchorId="516C00C7" wp14:editId="3766A3AA">
            <wp:extent cx="1746885" cy="328295"/>
            <wp:effectExtent l="0" t="0" r="5715" b="1905"/>
            <wp:docPr id="5" name="Picture 4" title="Creative Commons Licensing - By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6885" cy="328295"/>
                    </a:xfrm>
                    <a:prstGeom prst="rect">
                      <a:avLst/>
                    </a:prstGeom>
                    <a:noFill/>
                    <a:ln>
                      <a:noFill/>
                    </a:ln>
                  </pic:spPr>
                </pic:pic>
              </a:graphicData>
            </a:graphic>
          </wp:inline>
        </w:drawing>
      </w:r>
    </w:p>
    <w:p w14:paraId="232112CD" w14:textId="77777777" w:rsidR="009F17F9" w:rsidRPr="00343437" w:rsidRDefault="009F17F9" w:rsidP="003C469D">
      <w:pPr>
        <w:pStyle w:val="E3InternalCoverPage"/>
      </w:pPr>
    </w:p>
    <w:p w14:paraId="46DB120C" w14:textId="77777777" w:rsidR="00D12FEB" w:rsidRPr="00343437" w:rsidRDefault="009F17F9" w:rsidP="003C469D">
      <w:pPr>
        <w:pStyle w:val="E3InternalCoverPage"/>
      </w:pPr>
      <w:r w:rsidRPr="00343437">
        <w:t xml:space="preserve">© Commonwealth of Australia (Department of </w:t>
      </w:r>
      <w:r w:rsidRPr="00343437">
        <w:br/>
      </w:r>
      <w:r w:rsidR="00994FB6" w:rsidRPr="00343437">
        <w:t>the Environment and Energy</w:t>
      </w:r>
      <w:r w:rsidRPr="00343437">
        <w:t xml:space="preserve">) </w:t>
      </w:r>
      <w:r w:rsidRPr="00343437">
        <w:fldChar w:fldCharType="begin"/>
      </w:r>
      <w:r w:rsidRPr="00343437">
        <w:instrText xml:space="preserve"> DATE \@ "yyyy" \* MERGEFORMAT </w:instrText>
      </w:r>
      <w:r w:rsidRPr="00343437">
        <w:fldChar w:fldCharType="separate"/>
      </w:r>
      <w:r w:rsidR="005933B0">
        <w:t>2017</w:t>
      </w:r>
      <w:r w:rsidRPr="00343437">
        <w:fldChar w:fldCharType="end"/>
      </w:r>
      <w:r w:rsidRPr="00343437">
        <w:t>.</w:t>
      </w:r>
    </w:p>
    <w:p w14:paraId="5D502C73" w14:textId="77777777" w:rsidR="009F17F9" w:rsidRPr="00343437" w:rsidRDefault="009F17F9" w:rsidP="003C469D">
      <w:pPr>
        <w:pStyle w:val="E3InternalCoverPage"/>
        <w:spacing w:before="2640"/>
        <w:ind w:right="4111"/>
      </w:pPr>
      <w:r w:rsidRPr="00343437">
        <w:t xml:space="preserve">The material in this publication is provided for general information only, and on the understanding that the Australian Government is </w:t>
      </w:r>
      <w:r w:rsidR="006C4022">
        <w:t xml:space="preserve">not </w:t>
      </w:r>
      <w:r w:rsidRPr="00343437">
        <w:t>providing professional advice. Before any action or decision is taken on the basis of this material the reader should obtain appropriate independent professional advice.</w:t>
      </w:r>
    </w:p>
    <w:p w14:paraId="67C62CAA" w14:textId="77777777" w:rsidR="009F17F9" w:rsidRPr="00343437" w:rsidRDefault="009F17F9" w:rsidP="003C469D">
      <w:pPr>
        <w:pStyle w:val="E3InternalCoverPage"/>
        <w:ind w:right="3969"/>
      </w:pPr>
    </w:p>
    <w:p w14:paraId="38AC5D62" w14:textId="77777777" w:rsidR="009F17F9" w:rsidRPr="00343437" w:rsidRDefault="009F17F9" w:rsidP="003C469D">
      <w:pPr>
        <w:pStyle w:val="E3InternalCoverPage"/>
        <w:ind w:right="3969"/>
      </w:pPr>
      <w:r w:rsidRPr="00343437">
        <w:t>This document is available at</w:t>
      </w:r>
      <w:hyperlink r:id="rId13" w:history="1">
        <w:r w:rsidR="006D2C3A" w:rsidRPr="00343437">
          <w:rPr>
            <w:rStyle w:val="Hyperlink"/>
          </w:rPr>
          <w:t xml:space="preserve"> the Energy Rating website.</w:t>
        </w:r>
      </w:hyperlink>
    </w:p>
    <w:p w14:paraId="47875A75" w14:textId="77777777" w:rsidR="009F17F9" w:rsidRPr="00343437" w:rsidRDefault="009F17F9" w:rsidP="003C469D">
      <w:pPr>
        <w:pStyle w:val="E3InternalCoverPage"/>
        <w:ind w:right="3969"/>
      </w:pPr>
    </w:p>
    <w:p w14:paraId="2EA61CE3" w14:textId="77777777" w:rsidR="00A37E0E" w:rsidRPr="00343437" w:rsidRDefault="009F17F9" w:rsidP="003C469D">
      <w:pPr>
        <w:pStyle w:val="E3InternalCoverPage"/>
        <w:sectPr w:rsidR="00A37E0E" w:rsidRPr="00343437" w:rsidSect="00636F61">
          <w:headerReference w:type="first" r:id="rId14"/>
          <w:footerReference w:type="first" r:id="rId15"/>
          <w:pgSz w:w="11907" w:h="16840" w:code="9"/>
          <w:pgMar w:top="1134" w:right="1134" w:bottom="1418" w:left="1134" w:header="709" w:footer="709" w:gutter="0"/>
          <w:pgNumType w:fmt="lowerRoman"/>
          <w:cols w:space="720"/>
          <w:titlePg/>
          <w:docGrid w:linePitch="360"/>
        </w:sectPr>
      </w:pPr>
      <w:r w:rsidRPr="00343437">
        <w:t>While reasonable efforts have been made to ensure that the contents of this publication are factually correct, E3 does not accept responsibility for the accuracy or completeness of the content, and shall not be liable for any loss or damage that may be occasioned directly or indirectly through the use of, or reliance on, the contents of this publication.</w:t>
      </w:r>
      <w:r w:rsidR="00D14FB0" w:rsidRPr="00343437">
        <w:t xml:space="preserve"> </w:t>
      </w:r>
    </w:p>
    <w:p w14:paraId="35AEF6E6" w14:textId="0AED9304" w:rsidR="00D56F30" w:rsidRPr="00343437" w:rsidRDefault="003C469D" w:rsidP="003C469D">
      <w:pPr>
        <w:pStyle w:val="E3ChapterTitle"/>
      </w:pPr>
      <w:bookmarkStart w:id="2" w:name="_Toc466448214"/>
      <w:bookmarkStart w:id="3" w:name="_Toc493159036"/>
      <w:r w:rsidRPr="00343437">
        <w:lastRenderedPageBreak/>
        <w:t>Contents</w:t>
      </w:r>
      <w:bookmarkEnd w:id="2"/>
      <w:bookmarkEnd w:id="3"/>
    </w:p>
    <w:p w14:paraId="58F54AE6" w14:textId="77777777" w:rsidR="00276292" w:rsidRDefault="005A16D8">
      <w:pPr>
        <w:pStyle w:val="TOC1"/>
        <w:rPr>
          <w:rFonts w:asciiTheme="minorHAnsi" w:eastAsiaTheme="minorEastAsia" w:hAnsiTheme="minorHAnsi" w:cstheme="minorBidi"/>
          <w:b w:val="0"/>
          <w:caps w:val="0"/>
          <w:noProof/>
          <w:color w:val="auto"/>
          <w:sz w:val="22"/>
          <w:szCs w:val="22"/>
          <w:lang w:val="en-AU"/>
        </w:rPr>
      </w:pPr>
      <w:r w:rsidRPr="000422D4">
        <w:fldChar w:fldCharType="begin"/>
      </w:r>
      <w:r w:rsidRPr="000422D4">
        <w:instrText xml:space="preserve"> TOC \f \t "Heading 1,2,Heading 2,3,Heading 3,4,E3 Chapter Title,1,E3 Heading 1,2,E3 Head</w:instrText>
      </w:r>
      <w:r w:rsidR="0078309F" w:rsidRPr="000422D4">
        <w:instrText>ing 2,3,</w:instrText>
      </w:r>
      <w:r w:rsidRPr="000422D4">
        <w:instrText xml:space="preserve">" </w:instrText>
      </w:r>
      <w:r w:rsidRPr="000422D4">
        <w:fldChar w:fldCharType="separate"/>
      </w:r>
      <w:r w:rsidR="00276292">
        <w:rPr>
          <w:noProof/>
        </w:rPr>
        <w:t>Contents</w:t>
      </w:r>
      <w:r w:rsidR="00276292">
        <w:rPr>
          <w:noProof/>
        </w:rPr>
        <w:tab/>
      </w:r>
      <w:r w:rsidR="00276292">
        <w:rPr>
          <w:noProof/>
        </w:rPr>
        <w:fldChar w:fldCharType="begin"/>
      </w:r>
      <w:r w:rsidR="00276292">
        <w:rPr>
          <w:noProof/>
        </w:rPr>
        <w:instrText xml:space="preserve"> PAGEREF _Toc493159036 \h </w:instrText>
      </w:r>
      <w:r w:rsidR="00276292">
        <w:rPr>
          <w:noProof/>
        </w:rPr>
      </w:r>
      <w:r w:rsidR="00276292">
        <w:rPr>
          <w:noProof/>
        </w:rPr>
        <w:fldChar w:fldCharType="separate"/>
      </w:r>
      <w:r w:rsidR="005933B0">
        <w:rPr>
          <w:noProof/>
        </w:rPr>
        <w:t>iii</w:t>
      </w:r>
      <w:r w:rsidR="00276292">
        <w:rPr>
          <w:noProof/>
        </w:rPr>
        <w:fldChar w:fldCharType="end"/>
      </w:r>
    </w:p>
    <w:p w14:paraId="55472E73" w14:textId="77777777" w:rsidR="00276292" w:rsidRDefault="00276292">
      <w:pPr>
        <w:pStyle w:val="TOC1"/>
        <w:rPr>
          <w:rFonts w:asciiTheme="minorHAnsi" w:eastAsiaTheme="minorEastAsia" w:hAnsiTheme="minorHAnsi" w:cstheme="minorBidi"/>
          <w:b w:val="0"/>
          <w:caps w:val="0"/>
          <w:noProof/>
          <w:color w:val="auto"/>
          <w:sz w:val="22"/>
          <w:szCs w:val="22"/>
          <w:lang w:val="en-AU"/>
        </w:rPr>
      </w:pPr>
      <w:r>
        <w:rPr>
          <w:noProof/>
        </w:rPr>
        <w:t>Updated policy proposals</w:t>
      </w:r>
      <w:r>
        <w:rPr>
          <w:noProof/>
        </w:rPr>
        <w:tab/>
      </w:r>
      <w:r>
        <w:rPr>
          <w:noProof/>
        </w:rPr>
        <w:fldChar w:fldCharType="begin"/>
      </w:r>
      <w:r>
        <w:rPr>
          <w:noProof/>
        </w:rPr>
        <w:instrText xml:space="preserve"> PAGEREF _Toc493159037 \h </w:instrText>
      </w:r>
      <w:r>
        <w:rPr>
          <w:noProof/>
        </w:rPr>
      </w:r>
      <w:r>
        <w:rPr>
          <w:noProof/>
        </w:rPr>
        <w:fldChar w:fldCharType="separate"/>
      </w:r>
      <w:r w:rsidR="005933B0">
        <w:rPr>
          <w:noProof/>
        </w:rPr>
        <w:t>5</w:t>
      </w:r>
      <w:r>
        <w:rPr>
          <w:noProof/>
        </w:rPr>
        <w:fldChar w:fldCharType="end"/>
      </w:r>
    </w:p>
    <w:p w14:paraId="26CDC3E7" w14:textId="77777777" w:rsidR="00276292" w:rsidRDefault="00276292">
      <w:pPr>
        <w:pStyle w:val="TOC2"/>
        <w:tabs>
          <w:tab w:val="right" w:leader="dot" w:pos="9629"/>
        </w:tabs>
        <w:rPr>
          <w:rFonts w:asciiTheme="minorHAnsi" w:eastAsiaTheme="minorEastAsia" w:hAnsiTheme="minorHAnsi" w:cstheme="minorBidi"/>
          <w:noProof/>
          <w:sz w:val="22"/>
          <w:lang w:val="en-AU"/>
        </w:rPr>
      </w:pPr>
      <w:r>
        <w:rPr>
          <w:noProof/>
        </w:rPr>
        <w:t>Introduction</w:t>
      </w:r>
      <w:r>
        <w:rPr>
          <w:noProof/>
        </w:rPr>
        <w:tab/>
      </w:r>
      <w:r>
        <w:rPr>
          <w:noProof/>
        </w:rPr>
        <w:fldChar w:fldCharType="begin"/>
      </w:r>
      <w:r>
        <w:rPr>
          <w:noProof/>
        </w:rPr>
        <w:instrText xml:space="preserve"> PAGEREF _Toc493159038 \h </w:instrText>
      </w:r>
      <w:r>
        <w:rPr>
          <w:noProof/>
        </w:rPr>
      </w:r>
      <w:r>
        <w:rPr>
          <w:noProof/>
        </w:rPr>
        <w:fldChar w:fldCharType="separate"/>
      </w:r>
      <w:r w:rsidR="005933B0">
        <w:rPr>
          <w:noProof/>
        </w:rPr>
        <w:t>5</w:t>
      </w:r>
      <w:r>
        <w:rPr>
          <w:noProof/>
        </w:rPr>
        <w:fldChar w:fldCharType="end"/>
      </w:r>
    </w:p>
    <w:p w14:paraId="3EE12B64" w14:textId="77777777" w:rsidR="00276292" w:rsidRDefault="00276292">
      <w:pPr>
        <w:pStyle w:val="TOC2"/>
        <w:tabs>
          <w:tab w:val="right" w:leader="dot" w:pos="9629"/>
        </w:tabs>
        <w:rPr>
          <w:rFonts w:asciiTheme="minorHAnsi" w:eastAsiaTheme="minorEastAsia" w:hAnsiTheme="minorHAnsi" w:cstheme="minorBidi"/>
          <w:noProof/>
          <w:sz w:val="22"/>
          <w:lang w:val="en-AU"/>
        </w:rPr>
      </w:pPr>
      <w:r>
        <w:rPr>
          <w:noProof/>
        </w:rPr>
        <w:t>Consultation RIS – updated proposals</w:t>
      </w:r>
      <w:r>
        <w:rPr>
          <w:noProof/>
        </w:rPr>
        <w:tab/>
      </w:r>
      <w:r>
        <w:rPr>
          <w:noProof/>
        </w:rPr>
        <w:fldChar w:fldCharType="begin"/>
      </w:r>
      <w:r>
        <w:rPr>
          <w:noProof/>
        </w:rPr>
        <w:instrText xml:space="preserve"> PAGEREF _Toc493159039 \h </w:instrText>
      </w:r>
      <w:r>
        <w:rPr>
          <w:noProof/>
        </w:rPr>
      </w:r>
      <w:r>
        <w:rPr>
          <w:noProof/>
        </w:rPr>
        <w:fldChar w:fldCharType="separate"/>
      </w:r>
      <w:r w:rsidR="005933B0">
        <w:rPr>
          <w:noProof/>
        </w:rPr>
        <w:t>7</w:t>
      </w:r>
      <w:r>
        <w:rPr>
          <w:noProof/>
        </w:rPr>
        <w:fldChar w:fldCharType="end"/>
      </w:r>
    </w:p>
    <w:p w14:paraId="5F4A7730" w14:textId="77777777" w:rsidR="00276292" w:rsidRDefault="00276292">
      <w:pPr>
        <w:pStyle w:val="TOC3"/>
        <w:tabs>
          <w:tab w:val="right" w:leader="dot" w:pos="9629"/>
        </w:tabs>
        <w:rPr>
          <w:rFonts w:asciiTheme="minorHAnsi" w:eastAsiaTheme="minorEastAsia" w:hAnsiTheme="minorHAnsi" w:cstheme="minorBidi"/>
          <w:noProof/>
          <w:sz w:val="22"/>
          <w:lang w:val="en-AU"/>
        </w:rPr>
      </w:pPr>
      <w:r w:rsidRPr="00A63E56">
        <w:rPr>
          <w:noProof/>
          <w:lang w:val="en-AU"/>
        </w:rPr>
        <w:t xml:space="preserve">1. </w:t>
      </w:r>
      <w:r>
        <w:rPr>
          <w:noProof/>
        </w:rPr>
        <w:t>Introduce MEPS for LED lamps and integrated luminaires</w:t>
      </w:r>
      <w:r>
        <w:rPr>
          <w:noProof/>
        </w:rPr>
        <w:tab/>
      </w:r>
      <w:r>
        <w:rPr>
          <w:noProof/>
        </w:rPr>
        <w:fldChar w:fldCharType="begin"/>
      </w:r>
      <w:r>
        <w:rPr>
          <w:noProof/>
        </w:rPr>
        <w:instrText xml:space="preserve"> PAGEREF _Toc493159040 \h </w:instrText>
      </w:r>
      <w:r>
        <w:rPr>
          <w:noProof/>
        </w:rPr>
      </w:r>
      <w:r>
        <w:rPr>
          <w:noProof/>
        </w:rPr>
        <w:fldChar w:fldCharType="separate"/>
      </w:r>
      <w:r w:rsidR="005933B0">
        <w:rPr>
          <w:noProof/>
        </w:rPr>
        <w:t>9</w:t>
      </w:r>
      <w:r>
        <w:rPr>
          <w:noProof/>
        </w:rPr>
        <w:fldChar w:fldCharType="end"/>
      </w:r>
    </w:p>
    <w:p w14:paraId="46CB60CD" w14:textId="77777777" w:rsidR="00276292" w:rsidRDefault="00276292">
      <w:pPr>
        <w:pStyle w:val="TOC3"/>
        <w:tabs>
          <w:tab w:val="right" w:leader="dot" w:pos="9629"/>
        </w:tabs>
        <w:rPr>
          <w:rFonts w:asciiTheme="minorHAnsi" w:eastAsiaTheme="minorEastAsia" w:hAnsiTheme="minorHAnsi" w:cstheme="minorBidi"/>
          <w:noProof/>
          <w:sz w:val="22"/>
          <w:lang w:val="en-AU"/>
        </w:rPr>
      </w:pPr>
      <w:r w:rsidRPr="00A63E56">
        <w:rPr>
          <w:noProof/>
          <w:lang w:val="en-AU"/>
        </w:rPr>
        <w:t>2. Introduce MEPS for non-integrated commercial luminaires</w:t>
      </w:r>
      <w:r>
        <w:rPr>
          <w:noProof/>
        </w:rPr>
        <w:tab/>
      </w:r>
      <w:r>
        <w:rPr>
          <w:noProof/>
        </w:rPr>
        <w:fldChar w:fldCharType="begin"/>
      </w:r>
      <w:r>
        <w:rPr>
          <w:noProof/>
        </w:rPr>
        <w:instrText xml:space="preserve"> PAGEREF _Toc493159041 \h </w:instrText>
      </w:r>
      <w:r>
        <w:rPr>
          <w:noProof/>
        </w:rPr>
      </w:r>
      <w:r>
        <w:rPr>
          <w:noProof/>
        </w:rPr>
        <w:fldChar w:fldCharType="separate"/>
      </w:r>
      <w:r w:rsidR="005933B0">
        <w:rPr>
          <w:noProof/>
        </w:rPr>
        <w:t>12</w:t>
      </w:r>
      <w:r>
        <w:rPr>
          <w:noProof/>
        </w:rPr>
        <w:fldChar w:fldCharType="end"/>
      </w:r>
    </w:p>
    <w:p w14:paraId="034D75B0" w14:textId="77777777" w:rsidR="00276292" w:rsidRDefault="00276292">
      <w:pPr>
        <w:pStyle w:val="TOC3"/>
        <w:tabs>
          <w:tab w:val="right" w:leader="dot" w:pos="9629"/>
        </w:tabs>
        <w:rPr>
          <w:rFonts w:asciiTheme="minorHAnsi" w:eastAsiaTheme="minorEastAsia" w:hAnsiTheme="minorHAnsi" w:cstheme="minorBidi"/>
          <w:noProof/>
          <w:sz w:val="22"/>
          <w:lang w:val="en-AU"/>
        </w:rPr>
      </w:pPr>
      <w:r w:rsidRPr="00A63E56">
        <w:rPr>
          <w:noProof/>
          <w:lang w:val="en-AU"/>
        </w:rPr>
        <w:t>3. Increase incandescent and halogen MEPS (Australia only) to remove the most inefficient lamps</w:t>
      </w:r>
      <w:r>
        <w:rPr>
          <w:noProof/>
        </w:rPr>
        <w:tab/>
      </w:r>
      <w:r>
        <w:rPr>
          <w:noProof/>
        </w:rPr>
        <w:fldChar w:fldCharType="begin"/>
      </w:r>
      <w:r>
        <w:rPr>
          <w:noProof/>
        </w:rPr>
        <w:instrText xml:space="preserve"> PAGEREF _Toc493159042 \h </w:instrText>
      </w:r>
      <w:r>
        <w:rPr>
          <w:noProof/>
        </w:rPr>
      </w:r>
      <w:r>
        <w:rPr>
          <w:noProof/>
        </w:rPr>
        <w:fldChar w:fldCharType="separate"/>
      </w:r>
      <w:r w:rsidR="005933B0">
        <w:rPr>
          <w:noProof/>
        </w:rPr>
        <w:t>13</w:t>
      </w:r>
      <w:r>
        <w:rPr>
          <w:noProof/>
        </w:rPr>
        <w:fldChar w:fldCharType="end"/>
      </w:r>
    </w:p>
    <w:p w14:paraId="4DA892EA" w14:textId="77777777" w:rsidR="00276292" w:rsidRDefault="00276292">
      <w:pPr>
        <w:pStyle w:val="TOC3"/>
        <w:tabs>
          <w:tab w:val="right" w:leader="dot" w:pos="9629"/>
        </w:tabs>
        <w:rPr>
          <w:rFonts w:asciiTheme="minorHAnsi" w:eastAsiaTheme="minorEastAsia" w:hAnsiTheme="minorHAnsi" w:cstheme="minorBidi"/>
          <w:noProof/>
          <w:sz w:val="22"/>
          <w:lang w:val="en-AU"/>
        </w:rPr>
      </w:pPr>
      <w:r w:rsidRPr="00A63E56">
        <w:rPr>
          <w:noProof/>
          <w:lang w:val="en-AU"/>
        </w:rPr>
        <w:t>4. Mandatory labelling</w:t>
      </w:r>
      <w:r>
        <w:rPr>
          <w:noProof/>
        </w:rPr>
        <w:tab/>
      </w:r>
      <w:r>
        <w:rPr>
          <w:noProof/>
        </w:rPr>
        <w:fldChar w:fldCharType="begin"/>
      </w:r>
      <w:r>
        <w:rPr>
          <w:noProof/>
        </w:rPr>
        <w:instrText xml:space="preserve"> PAGEREF _Toc493159043 \h </w:instrText>
      </w:r>
      <w:r>
        <w:rPr>
          <w:noProof/>
        </w:rPr>
      </w:r>
      <w:r>
        <w:rPr>
          <w:noProof/>
        </w:rPr>
        <w:fldChar w:fldCharType="separate"/>
      </w:r>
      <w:r w:rsidR="005933B0">
        <w:rPr>
          <w:noProof/>
        </w:rPr>
        <w:t>14</w:t>
      </w:r>
      <w:r>
        <w:rPr>
          <w:noProof/>
        </w:rPr>
        <w:fldChar w:fldCharType="end"/>
      </w:r>
    </w:p>
    <w:p w14:paraId="5718FAC4" w14:textId="77777777" w:rsidR="00276292" w:rsidRDefault="00276292">
      <w:pPr>
        <w:pStyle w:val="TOC3"/>
        <w:tabs>
          <w:tab w:val="right" w:leader="dot" w:pos="9629"/>
        </w:tabs>
        <w:rPr>
          <w:rFonts w:asciiTheme="minorHAnsi" w:eastAsiaTheme="minorEastAsia" w:hAnsiTheme="minorHAnsi" w:cstheme="minorBidi"/>
          <w:noProof/>
          <w:sz w:val="22"/>
          <w:lang w:val="en-AU"/>
        </w:rPr>
      </w:pPr>
      <w:r w:rsidRPr="00A63E56">
        <w:rPr>
          <w:noProof/>
          <w:lang w:val="en-AU"/>
        </w:rPr>
        <w:t>Other comments</w:t>
      </w:r>
      <w:r>
        <w:rPr>
          <w:noProof/>
        </w:rPr>
        <w:tab/>
      </w:r>
      <w:r>
        <w:rPr>
          <w:noProof/>
        </w:rPr>
        <w:fldChar w:fldCharType="begin"/>
      </w:r>
      <w:r>
        <w:rPr>
          <w:noProof/>
        </w:rPr>
        <w:instrText xml:space="preserve"> PAGEREF _Toc493159044 \h </w:instrText>
      </w:r>
      <w:r>
        <w:rPr>
          <w:noProof/>
        </w:rPr>
      </w:r>
      <w:r>
        <w:rPr>
          <w:noProof/>
        </w:rPr>
        <w:fldChar w:fldCharType="separate"/>
      </w:r>
      <w:r w:rsidR="005933B0">
        <w:rPr>
          <w:noProof/>
        </w:rPr>
        <w:t>14</w:t>
      </w:r>
      <w:r>
        <w:rPr>
          <w:noProof/>
        </w:rPr>
        <w:fldChar w:fldCharType="end"/>
      </w:r>
    </w:p>
    <w:p w14:paraId="7459274A" w14:textId="77777777" w:rsidR="00276292" w:rsidRDefault="00276292">
      <w:pPr>
        <w:pStyle w:val="TOC2"/>
        <w:tabs>
          <w:tab w:val="right" w:leader="dot" w:pos="9629"/>
        </w:tabs>
        <w:rPr>
          <w:rFonts w:asciiTheme="minorHAnsi" w:eastAsiaTheme="minorEastAsia" w:hAnsiTheme="minorHAnsi" w:cstheme="minorBidi"/>
          <w:noProof/>
          <w:sz w:val="22"/>
          <w:lang w:val="en-AU"/>
        </w:rPr>
      </w:pPr>
      <w:r>
        <w:rPr>
          <w:noProof/>
        </w:rPr>
        <w:t>International Context</w:t>
      </w:r>
      <w:r>
        <w:rPr>
          <w:noProof/>
        </w:rPr>
        <w:tab/>
      </w:r>
      <w:r>
        <w:rPr>
          <w:noProof/>
        </w:rPr>
        <w:fldChar w:fldCharType="begin"/>
      </w:r>
      <w:r>
        <w:rPr>
          <w:noProof/>
        </w:rPr>
        <w:instrText xml:space="preserve"> PAGEREF _Toc493159045 \h </w:instrText>
      </w:r>
      <w:r>
        <w:rPr>
          <w:noProof/>
        </w:rPr>
      </w:r>
      <w:r>
        <w:rPr>
          <w:noProof/>
        </w:rPr>
        <w:fldChar w:fldCharType="separate"/>
      </w:r>
      <w:r w:rsidR="005933B0">
        <w:rPr>
          <w:noProof/>
        </w:rPr>
        <w:t>16</w:t>
      </w:r>
      <w:r>
        <w:rPr>
          <w:noProof/>
        </w:rPr>
        <w:fldChar w:fldCharType="end"/>
      </w:r>
    </w:p>
    <w:p w14:paraId="1B4525EA" w14:textId="77777777" w:rsidR="00276292" w:rsidRDefault="00276292">
      <w:pPr>
        <w:pStyle w:val="TOC1"/>
        <w:rPr>
          <w:rFonts w:asciiTheme="minorHAnsi" w:eastAsiaTheme="minorEastAsia" w:hAnsiTheme="minorHAnsi" w:cstheme="minorBidi"/>
          <w:b w:val="0"/>
          <w:caps w:val="0"/>
          <w:noProof/>
          <w:color w:val="auto"/>
          <w:sz w:val="22"/>
          <w:szCs w:val="22"/>
          <w:lang w:val="en-AU"/>
        </w:rPr>
      </w:pPr>
      <w:r>
        <w:rPr>
          <w:noProof/>
        </w:rPr>
        <w:t>Attachment A: Proposed LED MEPS Lamps</w:t>
      </w:r>
      <w:r>
        <w:rPr>
          <w:noProof/>
        </w:rPr>
        <w:tab/>
      </w:r>
      <w:r>
        <w:rPr>
          <w:noProof/>
        </w:rPr>
        <w:fldChar w:fldCharType="begin"/>
      </w:r>
      <w:r>
        <w:rPr>
          <w:noProof/>
        </w:rPr>
        <w:instrText xml:space="preserve"> PAGEREF _Toc493159046 \h </w:instrText>
      </w:r>
      <w:r>
        <w:rPr>
          <w:noProof/>
        </w:rPr>
      </w:r>
      <w:r>
        <w:rPr>
          <w:noProof/>
        </w:rPr>
        <w:fldChar w:fldCharType="separate"/>
      </w:r>
      <w:r w:rsidR="005933B0">
        <w:rPr>
          <w:noProof/>
        </w:rPr>
        <w:t>18</w:t>
      </w:r>
      <w:r>
        <w:rPr>
          <w:noProof/>
        </w:rPr>
        <w:fldChar w:fldCharType="end"/>
      </w:r>
    </w:p>
    <w:p w14:paraId="46CC485E" w14:textId="77777777" w:rsidR="00276292" w:rsidRDefault="00276292">
      <w:pPr>
        <w:pStyle w:val="TOC2"/>
        <w:tabs>
          <w:tab w:val="right" w:leader="dot" w:pos="9629"/>
        </w:tabs>
        <w:rPr>
          <w:rFonts w:asciiTheme="minorHAnsi" w:eastAsiaTheme="minorEastAsia" w:hAnsiTheme="minorHAnsi" w:cstheme="minorBidi"/>
          <w:noProof/>
          <w:sz w:val="22"/>
          <w:lang w:val="en-AU"/>
        </w:rPr>
      </w:pPr>
      <w:r>
        <w:rPr>
          <w:noProof/>
        </w:rPr>
        <w:t>Introduction</w:t>
      </w:r>
      <w:r>
        <w:rPr>
          <w:noProof/>
        </w:rPr>
        <w:tab/>
      </w:r>
      <w:r>
        <w:rPr>
          <w:noProof/>
        </w:rPr>
        <w:fldChar w:fldCharType="begin"/>
      </w:r>
      <w:r>
        <w:rPr>
          <w:noProof/>
        </w:rPr>
        <w:instrText xml:space="preserve"> PAGEREF _Toc493159047 \h </w:instrText>
      </w:r>
      <w:r>
        <w:rPr>
          <w:noProof/>
        </w:rPr>
      </w:r>
      <w:r>
        <w:rPr>
          <w:noProof/>
        </w:rPr>
        <w:fldChar w:fldCharType="separate"/>
      </w:r>
      <w:r w:rsidR="005933B0">
        <w:rPr>
          <w:noProof/>
        </w:rPr>
        <w:t>18</w:t>
      </w:r>
      <w:r>
        <w:rPr>
          <w:noProof/>
        </w:rPr>
        <w:fldChar w:fldCharType="end"/>
      </w:r>
    </w:p>
    <w:p w14:paraId="26010721" w14:textId="77777777" w:rsidR="00276292" w:rsidRDefault="00276292">
      <w:pPr>
        <w:pStyle w:val="TOC2"/>
        <w:tabs>
          <w:tab w:val="right" w:leader="dot" w:pos="9629"/>
        </w:tabs>
        <w:rPr>
          <w:rFonts w:asciiTheme="minorHAnsi" w:eastAsiaTheme="minorEastAsia" w:hAnsiTheme="minorHAnsi" w:cstheme="minorBidi"/>
          <w:noProof/>
          <w:sz w:val="22"/>
          <w:lang w:val="en-AU"/>
        </w:rPr>
      </w:pPr>
      <w:r>
        <w:rPr>
          <w:noProof/>
        </w:rPr>
        <w:t>Scope (extract from draft MEPS for LED lighting)</w:t>
      </w:r>
      <w:r>
        <w:rPr>
          <w:noProof/>
        </w:rPr>
        <w:tab/>
      </w:r>
      <w:r>
        <w:rPr>
          <w:noProof/>
        </w:rPr>
        <w:fldChar w:fldCharType="begin"/>
      </w:r>
      <w:r>
        <w:rPr>
          <w:noProof/>
        </w:rPr>
        <w:instrText xml:space="preserve"> PAGEREF _Toc493159048 \h </w:instrText>
      </w:r>
      <w:r>
        <w:rPr>
          <w:noProof/>
        </w:rPr>
      </w:r>
      <w:r>
        <w:rPr>
          <w:noProof/>
        </w:rPr>
        <w:fldChar w:fldCharType="separate"/>
      </w:r>
      <w:r w:rsidR="005933B0">
        <w:rPr>
          <w:noProof/>
        </w:rPr>
        <w:t>18</w:t>
      </w:r>
      <w:r>
        <w:rPr>
          <w:noProof/>
        </w:rPr>
        <w:fldChar w:fldCharType="end"/>
      </w:r>
    </w:p>
    <w:p w14:paraId="107B53AF" w14:textId="77777777" w:rsidR="00276292" w:rsidRDefault="00276292">
      <w:pPr>
        <w:pStyle w:val="TOC2"/>
        <w:tabs>
          <w:tab w:val="right" w:leader="dot" w:pos="9629"/>
        </w:tabs>
        <w:rPr>
          <w:rFonts w:asciiTheme="minorHAnsi" w:eastAsiaTheme="minorEastAsia" w:hAnsiTheme="minorHAnsi" w:cstheme="minorBidi"/>
          <w:noProof/>
          <w:sz w:val="22"/>
          <w:lang w:val="en-AU"/>
        </w:rPr>
      </w:pPr>
      <w:r>
        <w:rPr>
          <w:noProof/>
        </w:rPr>
        <w:t>Timing</w:t>
      </w:r>
      <w:r>
        <w:rPr>
          <w:noProof/>
        </w:rPr>
        <w:tab/>
      </w:r>
      <w:r>
        <w:rPr>
          <w:noProof/>
        </w:rPr>
        <w:fldChar w:fldCharType="begin"/>
      </w:r>
      <w:r>
        <w:rPr>
          <w:noProof/>
        </w:rPr>
        <w:instrText xml:space="preserve"> PAGEREF _Toc493159049 \h </w:instrText>
      </w:r>
      <w:r>
        <w:rPr>
          <w:noProof/>
        </w:rPr>
      </w:r>
      <w:r>
        <w:rPr>
          <w:noProof/>
        </w:rPr>
        <w:fldChar w:fldCharType="separate"/>
      </w:r>
      <w:r w:rsidR="005933B0">
        <w:rPr>
          <w:noProof/>
        </w:rPr>
        <w:t>19</w:t>
      </w:r>
      <w:r>
        <w:rPr>
          <w:noProof/>
        </w:rPr>
        <w:fldChar w:fldCharType="end"/>
      </w:r>
    </w:p>
    <w:p w14:paraId="66461A1E" w14:textId="77777777" w:rsidR="00276292" w:rsidRDefault="00276292">
      <w:pPr>
        <w:pStyle w:val="TOC2"/>
        <w:tabs>
          <w:tab w:val="right" w:leader="dot" w:pos="9629"/>
        </w:tabs>
        <w:rPr>
          <w:rFonts w:asciiTheme="minorHAnsi" w:eastAsiaTheme="minorEastAsia" w:hAnsiTheme="minorHAnsi" w:cstheme="minorBidi"/>
          <w:noProof/>
          <w:sz w:val="22"/>
          <w:lang w:val="en-AU"/>
        </w:rPr>
      </w:pPr>
      <w:r>
        <w:rPr>
          <w:noProof/>
        </w:rPr>
        <w:t>Simplified registration for small volumes</w:t>
      </w:r>
      <w:r>
        <w:rPr>
          <w:noProof/>
        </w:rPr>
        <w:tab/>
      </w:r>
      <w:r>
        <w:rPr>
          <w:noProof/>
        </w:rPr>
        <w:fldChar w:fldCharType="begin"/>
      </w:r>
      <w:r>
        <w:rPr>
          <w:noProof/>
        </w:rPr>
        <w:instrText xml:space="preserve"> PAGEREF _Toc493159050 \h </w:instrText>
      </w:r>
      <w:r>
        <w:rPr>
          <w:noProof/>
        </w:rPr>
      </w:r>
      <w:r>
        <w:rPr>
          <w:noProof/>
        </w:rPr>
        <w:fldChar w:fldCharType="separate"/>
      </w:r>
      <w:r w:rsidR="005933B0">
        <w:rPr>
          <w:noProof/>
        </w:rPr>
        <w:t>19</w:t>
      </w:r>
      <w:r>
        <w:rPr>
          <w:noProof/>
        </w:rPr>
        <w:fldChar w:fldCharType="end"/>
      </w:r>
    </w:p>
    <w:p w14:paraId="2A64DDEC" w14:textId="77777777" w:rsidR="00276292" w:rsidRDefault="00276292">
      <w:pPr>
        <w:pStyle w:val="TOC2"/>
        <w:tabs>
          <w:tab w:val="right" w:leader="dot" w:pos="9629"/>
        </w:tabs>
        <w:rPr>
          <w:rFonts w:asciiTheme="minorHAnsi" w:eastAsiaTheme="minorEastAsia" w:hAnsiTheme="minorHAnsi" w:cstheme="minorBidi"/>
          <w:noProof/>
          <w:sz w:val="22"/>
          <w:lang w:val="en-AU"/>
        </w:rPr>
      </w:pPr>
      <w:r>
        <w:rPr>
          <w:noProof/>
        </w:rPr>
        <w:t>Key parameters and tests</w:t>
      </w:r>
      <w:r>
        <w:rPr>
          <w:noProof/>
        </w:rPr>
        <w:tab/>
      </w:r>
      <w:r>
        <w:rPr>
          <w:noProof/>
        </w:rPr>
        <w:fldChar w:fldCharType="begin"/>
      </w:r>
      <w:r>
        <w:rPr>
          <w:noProof/>
        </w:rPr>
        <w:instrText xml:space="preserve"> PAGEREF _Toc493159051 \h </w:instrText>
      </w:r>
      <w:r>
        <w:rPr>
          <w:noProof/>
        </w:rPr>
      </w:r>
      <w:r>
        <w:rPr>
          <w:noProof/>
        </w:rPr>
        <w:fldChar w:fldCharType="separate"/>
      </w:r>
      <w:r w:rsidR="005933B0">
        <w:rPr>
          <w:noProof/>
        </w:rPr>
        <w:t>19</w:t>
      </w:r>
      <w:r>
        <w:rPr>
          <w:noProof/>
        </w:rPr>
        <w:fldChar w:fldCharType="end"/>
      </w:r>
    </w:p>
    <w:p w14:paraId="7AA26539" w14:textId="77777777" w:rsidR="00276292" w:rsidRDefault="00276292">
      <w:pPr>
        <w:pStyle w:val="TOC2"/>
        <w:tabs>
          <w:tab w:val="right" w:leader="dot" w:pos="9629"/>
        </w:tabs>
        <w:rPr>
          <w:rFonts w:asciiTheme="minorHAnsi" w:eastAsiaTheme="minorEastAsia" w:hAnsiTheme="minorHAnsi" w:cstheme="minorBidi"/>
          <w:noProof/>
          <w:sz w:val="22"/>
          <w:lang w:val="en-AU"/>
        </w:rPr>
      </w:pPr>
      <w:r>
        <w:rPr>
          <w:noProof/>
        </w:rPr>
        <w:t>Registration Process</w:t>
      </w:r>
      <w:r>
        <w:rPr>
          <w:noProof/>
        </w:rPr>
        <w:tab/>
      </w:r>
      <w:r>
        <w:rPr>
          <w:noProof/>
        </w:rPr>
        <w:fldChar w:fldCharType="begin"/>
      </w:r>
      <w:r>
        <w:rPr>
          <w:noProof/>
        </w:rPr>
        <w:instrText xml:space="preserve"> PAGEREF _Toc493159052 \h </w:instrText>
      </w:r>
      <w:r>
        <w:rPr>
          <w:noProof/>
        </w:rPr>
      </w:r>
      <w:r>
        <w:rPr>
          <w:noProof/>
        </w:rPr>
        <w:fldChar w:fldCharType="separate"/>
      </w:r>
      <w:r w:rsidR="005933B0">
        <w:rPr>
          <w:noProof/>
        </w:rPr>
        <w:t>21</w:t>
      </w:r>
      <w:r>
        <w:rPr>
          <w:noProof/>
        </w:rPr>
        <w:fldChar w:fldCharType="end"/>
      </w:r>
    </w:p>
    <w:p w14:paraId="43122847" w14:textId="77777777" w:rsidR="00276292" w:rsidRDefault="00276292">
      <w:pPr>
        <w:pStyle w:val="TOC1"/>
        <w:rPr>
          <w:rFonts w:asciiTheme="minorHAnsi" w:eastAsiaTheme="minorEastAsia" w:hAnsiTheme="minorHAnsi" w:cstheme="minorBidi"/>
          <w:b w:val="0"/>
          <w:caps w:val="0"/>
          <w:noProof/>
          <w:color w:val="auto"/>
          <w:sz w:val="22"/>
          <w:szCs w:val="22"/>
          <w:lang w:val="en-AU"/>
        </w:rPr>
      </w:pPr>
      <w:r>
        <w:rPr>
          <w:noProof/>
        </w:rPr>
        <w:t>Attachment B: ASEAN LED lamp test results</w:t>
      </w:r>
      <w:r>
        <w:rPr>
          <w:noProof/>
        </w:rPr>
        <w:tab/>
      </w:r>
      <w:r>
        <w:rPr>
          <w:noProof/>
        </w:rPr>
        <w:fldChar w:fldCharType="begin"/>
      </w:r>
      <w:r>
        <w:rPr>
          <w:noProof/>
        </w:rPr>
        <w:instrText xml:space="preserve"> PAGEREF _Toc493159053 \h </w:instrText>
      </w:r>
      <w:r>
        <w:rPr>
          <w:noProof/>
        </w:rPr>
      </w:r>
      <w:r>
        <w:rPr>
          <w:noProof/>
        </w:rPr>
        <w:fldChar w:fldCharType="separate"/>
      </w:r>
      <w:r w:rsidR="005933B0">
        <w:rPr>
          <w:noProof/>
        </w:rPr>
        <w:t>23</w:t>
      </w:r>
      <w:r>
        <w:rPr>
          <w:noProof/>
        </w:rPr>
        <w:fldChar w:fldCharType="end"/>
      </w:r>
    </w:p>
    <w:p w14:paraId="2AA00D47" w14:textId="77777777" w:rsidR="00276292" w:rsidRDefault="00276292">
      <w:pPr>
        <w:pStyle w:val="TOC1"/>
        <w:rPr>
          <w:rFonts w:asciiTheme="minorHAnsi" w:eastAsiaTheme="minorEastAsia" w:hAnsiTheme="minorHAnsi" w:cstheme="minorBidi"/>
          <w:b w:val="0"/>
          <w:caps w:val="0"/>
          <w:noProof/>
          <w:color w:val="auto"/>
          <w:sz w:val="22"/>
          <w:szCs w:val="22"/>
          <w:lang w:val="en-AU"/>
        </w:rPr>
      </w:pPr>
      <w:r>
        <w:rPr>
          <w:noProof/>
        </w:rPr>
        <w:t>Attachment C: LED MEPS Efficacy</w:t>
      </w:r>
      <w:r>
        <w:rPr>
          <w:noProof/>
        </w:rPr>
        <w:tab/>
      </w:r>
      <w:r>
        <w:rPr>
          <w:noProof/>
        </w:rPr>
        <w:fldChar w:fldCharType="begin"/>
      </w:r>
      <w:r>
        <w:rPr>
          <w:noProof/>
        </w:rPr>
        <w:instrText xml:space="preserve"> PAGEREF _Toc493159054 \h </w:instrText>
      </w:r>
      <w:r>
        <w:rPr>
          <w:noProof/>
        </w:rPr>
      </w:r>
      <w:r>
        <w:rPr>
          <w:noProof/>
        </w:rPr>
        <w:fldChar w:fldCharType="separate"/>
      </w:r>
      <w:r w:rsidR="005933B0">
        <w:rPr>
          <w:noProof/>
        </w:rPr>
        <w:t>26</w:t>
      </w:r>
      <w:r>
        <w:rPr>
          <w:noProof/>
        </w:rPr>
        <w:fldChar w:fldCharType="end"/>
      </w:r>
    </w:p>
    <w:p w14:paraId="592A1C55" w14:textId="77777777" w:rsidR="00276292" w:rsidRDefault="00276292">
      <w:pPr>
        <w:pStyle w:val="TOC1"/>
        <w:rPr>
          <w:rFonts w:asciiTheme="minorHAnsi" w:eastAsiaTheme="minorEastAsia" w:hAnsiTheme="minorHAnsi" w:cstheme="minorBidi"/>
          <w:b w:val="0"/>
          <w:caps w:val="0"/>
          <w:noProof/>
          <w:color w:val="auto"/>
          <w:sz w:val="22"/>
          <w:szCs w:val="22"/>
          <w:lang w:val="en-AU"/>
        </w:rPr>
      </w:pPr>
      <w:r>
        <w:rPr>
          <w:noProof/>
        </w:rPr>
        <w:t>Attachment D: Compliance Approach</w:t>
      </w:r>
      <w:r>
        <w:rPr>
          <w:noProof/>
        </w:rPr>
        <w:tab/>
      </w:r>
      <w:r>
        <w:rPr>
          <w:noProof/>
        </w:rPr>
        <w:fldChar w:fldCharType="begin"/>
      </w:r>
      <w:r>
        <w:rPr>
          <w:noProof/>
        </w:rPr>
        <w:instrText xml:space="preserve"> PAGEREF _Toc493159055 \h </w:instrText>
      </w:r>
      <w:r>
        <w:rPr>
          <w:noProof/>
        </w:rPr>
      </w:r>
      <w:r>
        <w:rPr>
          <w:noProof/>
        </w:rPr>
        <w:fldChar w:fldCharType="separate"/>
      </w:r>
      <w:r w:rsidR="005933B0">
        <w:rPr>
          <w:noProof/>
        </w:rPr>
        <w:t>29</w:t>
      </w:r>
      <w:r>
        <w:rPr>
          <w:noProof/>
        </w:rPr>
        <w:fldChar w:fldCharType="end"/>
      </w:r>
    </w:p>
    <w:p w14:paraId="3F8DC3EB" w14:textId="77777777" w:rsidR="00276292" w:rsidRDefault="00276292">
      <w:pPr>
        <w:pStyle w:val="TOC1"/>
        <w:rPr>
          <w:rFonts w:asciiTheme="minorHAnsi" w:eastAsiaTheme="minorEastAsia" w:hAnsiTheme="minorHAnsi" w:cstheme="minorBidi"/>
          <w:b w:val="0"/>
          <w:caps w:val="0"/>
          <w:noProof/>
          <w:color w:val="auto"/>
          <w:sz w:val="22"/>
          <w:szCs w:val="22"/>
          <w:lang w:val="en-AU"/>
        </w:rPr>
      </w:pPr>
      <w:r>
        <w:rPr>
          <w:noProof/>
        </w:rPr>
        <w:t>Attachment E: Cost benefit analysis</w:t>
      </w:r>
      <w:r>
        <w:rPr>
          <w:noProof/>
        </w:rPr>
        <w:tab/>
      </w:r>
      <w:r>
        <w:rPr>
          <w:noProof/>
        </w:rPr>
        <w:fldChar w:fldCharType="begin"/>
      </w:r>
      <w:r>
        <w:rPr>
          <w:noProof/>
        </w:rPr>
        <w:instrText xml:space="preserve"> PAGEREF _Toc493159056 \h </w:instrText>
      </w:r>
      <w:r>
        <w:rPr>
          <w:noProof/>
        </w:rPr>
      </w:r>
      <w:r>
        <w:rPr>
          <w:noProof/>
        </w:rPr>
        <w:fldChar w:fldCharType="separate"/>
      </w:r>
      <w:r w:rsidR="005933B0">
        <w:rPr>
          <w:noProof/>
        </w:rPr>
        <w:t>35</w:t>
      </w:r>
      <w:r>
        <w:rPr>
          <w:noProof/>
        </w:rPr>
        <w:fldChar w:fldCharType="end"/>
      </w:r>
    </w:p>
    <w:p w14:paraId="3CA1DC72" w14:textId="77777777" w:rsidR="00276292" w:rsidRDefault="00276292">
      <w:pPr>
        <w:pStyle w:val="TOC1"/>
        <w:rPr>
          <w:rFonts w:asciiTheme="minorHAnsi" w:eastAsiaTheme="minorEastAsia" w:hAnsiTheme="minorHAnsi" w:cstheme="minorBidi"/>
          <w:b w:val="0"/>
          <w:caps w:val="0"/>
          <w:noProof/>
          <w:color w:val="auto"/>
          <w:sz w:val="22"/>
          <w:szCs w:val="22"/>
          <w:lang w:val="en-AU"/>
        </w:rPr>
      </w:pPr>
      <w:r>
        <w:rPr>
          <w:noProof/>
        </w:rPr>
        <w:t>Attachment F: Regulatory costs and GEMS fees</w:t>
      </w:r>
      <w:r>
        <w:rPr>
          <w:noProof/>
        </w:rPr>
        <w:tab/>
      </w:r>
      <w:r>
        <w:rPr>
          <w:noProof/>
        </w:rPr>
        <w:fldChar w:fldCharType="begin"/>
      </w:r>
      <w:r>
        <w:rPr>
          <w:noProof/>
        </w:rPr>
        <w:instrText xml:space="preserve"> PAGEREF _Toc493159057 \h </w:instrText>
      </w:r>
      <w:r>
        <w:rPr>
          <w:noProof/>
        </w:rPr>
      </w:r>
      <w:r>
        <w:rPr>
          <w:noProof/>
        </w:rPr>
        <w:fldChar w:fldCharType="separate"/>
      </w:r>
      <w:r w:rsidR="005933B0">
        <w:rPr>
          <w:noProof/>
        </w:rPr>
        <w:t>41</w:t>
      </w:r>
      <w:r>
        <w:rPr>
          <w:noProof/>
        </w:rPr>
        <w:fldChar w:fldCharType="end"/>
      </w:r>
    </w:p>
    <w:p w14:paraId="2892E598" w14:textId="77777777" w:rsidR="00276292" w:rsidRDefault="00276292">
      <w:pPr>
        <w:pStyle w:val="TOC1"/>
        <w:rPr>
          <w:rFonts w:asciiTheme="minorHAnsi" w:eastAsiaTheme="minorEastAsia" w:hAnsiTheme="minorHAnsi" w:cstheme="minorBidi"/>
          <w:b w:val="0"/>
          <w:caps w:val="0"/>
          <w:noProof/>
          <w:color w:val="auto"/>
          <w:sz w:val="22"/>
          <w:szCs w:val="22"/>
          <w:lang w:val="en-AU"/>
        </w:rPr>
      </w:pPr>
      <w:r>
        <w:rPr>
          <w:noProof/>
        </w:rPr>
        <w:t>Attachment G: Offer to Supply</w:t>
      </w:r>
      <w:r>
        <w:rPr>
          <w:noProof/>
        </w:rPr>
        <w:tab/>
      </w:r>
      <w:r>
        <w:rPr>
          <w:noProof/>
        </w:rPr>
        <w:fldChar w:fldCharType="begin"/>
      </w:r>
      <w:r>
        <w:rPr>
          <w:noProof/>
        </w:rPr>
        <w:instrText xml:space="preserve"> PAGEREF _Toc493159058 \h </w:instrText>
      </w:r>
      <w:r>
        <w:rPr>
          <w:noProof/>
        </w:rPr>
      </w:r>
      <w:r>
        <w:rPr>
          <w:noProof/>
        </w:rPr>
        <w:fldChar w:fldCharType="separate"/>
      </w:r>
      <w:r w:rsidR="005933B0">
        <w:rPr>
          <w:noProof/>
        </w:rPr>
        <w:t>47</w:t>
      </w:r>
      <w:r>
        <w:rPr>
          <w:noProof/>
        </w:rPr>
        <w:fldChar w:fldCharType="end"/>
      </w:r>
    </w:p>
    <w:p w14:paraId="267ECC71" w14:textId="77777777" w:rsidR="00276292" w:rsidRDefault="00276292">
      <w:pPr>
        <w:pStyle w:val="TOC1"/>
        <w:rPr>
          <w:rFonts w:asciiTheme="minorHAnsi" w:eastAsiaTheme="minorEastAsia" w:hAnsiTheme="minorHAnsi" w:cstheme="minorBidi"/>
          <w:b w:val="0"/>
          <w:caps w:val="0"/>
          <w:noProof/>
          <w:color w:val="auto"/>
          <w:sz w:val="22"/>
          <w:szCs w:val="22"/>
          <w:lang w:val="en-AU"/>
        </w:rPr>
      </w:pPr>
      <w:r>
        <w:rPr>
          <w:noProof/>
        </w:rPr>
        <w:t>Attachment H: Phase out of incandescent and halogen lamps (Australia only)</w:t>
      </w:r>
      <w:r>
        <w:rPr>
          <w:noProof/>
        </w:rPr>
        <w:tab/>
      </w:r>
      <w:r>
        <w:rPr>
          <w:noProof/>
        </w:rPr>
        <w:fldChar w:fldCharType="begin"/>
      </w:r>
      <w:r>
        <w:rPr>
          <w:noProof/>
        </w:rPr>
        <w:instrText xml:space="preserve"> PAGEREF _Toc493159059 \h </w:instrText>
      </w:r>
      <w:r>
        <w:rPr>
          <w:noProof/>
        </w:rPr>
      </w:r>
      <w:r>
        <w:rPr>
          <w:noProof/>
        </w:rPr>
        <w:fldChar w:fldCharType="separate"/>
      </w:r>
      <w:r w:rsidR="005933B0">
        <w:rPr>
          <w:noProof/>
        </w:rPr>
        <w:t>49</w:t>
      </w:r>
      <w:r>
        <w:rPr>
          <w:noProof/>
        </w:rPr>
        <w:fldChar w:fldCharType="end"/>
      </w:r>
    </w:p>
    <w:p w14:paraId="6975C4D1" w14:textId="77777777" w:rsidR="00276292" w:rsidRDefault="00276292">
      <w:pPr>
        <w:pStyle w:val="TOC1"/>
        <w:rPr>
          <w:rFonts w:asciiTheme="minorHAnsi" w:eastAsiaTheme="minorEastAsia" w:hAnsiTheme="minorHAnsi" w:cstheme="minorBidi"/>
          <w:b w:val="0"/>
          <w:caps w:val="0"/>
          <w:noProof/>
          <w:color w:val="auto"/>
          <w:sz w:val="22"/>
          <w:szCs w:val="22"/>
          <w:lang w:val="en-AU"/>
        </w:rPr>
      </w:pPr>
      <w:r>
        <w:rPr>
          <w:noProof/>
        </w:rPr>
        <w:t>Attachment I: Lumen maintenance testing</w:t>
      </w:r>
      <w:r>
        <w:rPr>
          <w:noProof/>
        </w:rPr>
        <w:tab/>
      </w:r>
      <w:r>
        <w:rPr>
          <w:noProof/>
        </w:rPr>
        <w:fldChar w:fldCharType="begin"/>
      </w:r>
      <w:r>
        <w:rPr>
          <w:noProof/>
        </w:rPr>
        <w:instrText xml:space="preserve"> PAGEREF _Toc493159060 \h </w:instrText>
      </w:r>
      <w:r>
        <w:rPr>
          <w:noProof/>
        </w:rPr>
      </w:r>
      <w:r>
        <w:rPr>
          <w:noProof/>
        </w:rPr>
        <w:fldChar w:fldCharType="separate"/>
      </w:r>
      <w:r w:rsidR="005933B0">
        <w:rPr>
          <w:noProof/>
        </w:rPr>
        <w:t>56</w:t>
      </w:r>
      <w:r>
        <w:rPr>
          <w:noProof/>
        </w:rPr>
        <w:fldChar w:fldCharType="end"/>
      </w:r>
    </w:p>
    <w:p w14:paraId="660C87D9" w14:textId="77777777" w:rsidR="00276292" w:rsidRDefault="00276292">
      <w:pPr>
        <w:pStyle w:val="TOC3"/>
        <w:tabs>
          <w:tab w:val="right" w:leader="dot" w:pos="9629"/>
        </w:tabs>
        <w:rPr>
          <w:rFonts w:asciiTheme="minorHAnsi" w:eastAsiaTheme="minorEastAsia" w:hAnsiTheme="minorHAnsi" w:cstheme="minorBidi"/>
          <w:noProof/>
          <w:sz w:val="22"/>
          <w:lang w:val="en-AU"/>
        </w:rPr>
      </w:pPr>
      <w:r>
        <w:rPr>
          <w:noProof/>
        </w:rPr>
        <w:t>Background</w:t>
      </w:r>
      <w:r>
        <w:rPr>
          <w:noProof/>
        </w:rPr>
        <w:tab/>
      </w:r>
      <w:r>
        <w:rPr>
          <w:noProof/>
        </w:rPr>
        <w:fldChar w:fldCharType="begin"/>
      </w:r>
      <w:r>
        <w:rPr>
          <w:noProof/>
        </w:rPr>
        <w:instrText xml:space="preserve"> PAGEREF _Toc493159061 \h </w:instrText>
      </w:r>
      <w:r>
        <w:rPr>
          <w:noProof/>
        </w:rPr>
      </w:r>
      <w:r>
        <w:rPr>
          <w:noProof/>
        </w:rPr>
        <w:fldChar w:fldCharType="separate"/>
      </w:r>
      <w:r w:rsidR="005933B0">
        <w:rPr>
          <w:noProof/>
        </w:rPr>
        <w:t>56</w:t>
      </w:r>
      <w:r>
        <w:rPr>
          <w:noProof/>
        </w:rPr>
        <w:fldChar w:fldCharType="end"/>
      </w:r>
    </w:p>
    <w:p w14:paraId="09C48EB0" w14:textId="77777777" w:rsidR="00276292" w:rsidRDefault="00276292">
      <w:pPr>
        <w:pStyle w:val="TOC3"/>
        <w:tabs>
          <w:tab w:val="right" w:leader="dot" w:pos="9629"/>
        </w:tabs>
        <w:rPr>
          <w:rFonts w:asciiTheme="minorHAnsi" w:eastAsiaTheme="minorEastAsia" w:hAnsiTheme="minorHAnsi" w:cstheme="minorBidi"/>
          <w:noProof/>
          <w:sz w:val="22"/>
          <w:lang w:val="en-AU"/>
        </w:rPr>
      </w:pPr>
      <w:r>
        <w:rPr>
          <w:noProof/>
        </w:rPr>
        <w:t>Theoretical basis behind testing</w:t>
      </w:r>
      <w:r>
        <w:rPr>
          <w:noProof/>
        </w:rPr>
        <w:tab/>
      </w:r>
      <w:r>
        <w:rPr>
          <w:noProof/>
        </w:rPr>
        <w:fldChar w:fldCharType="begin"/>
      </w:r>
      <w:r>
        <w:rPr>
          <w:noProof/>
        </w:rPr>
        <w:instrText xml:space="preserve"> PAGEREF _Toc493159062 \h </w:instrText>
      </w:r>
      <w:r>
        <w:rPr>
          <w:noProof/>
        </w:rPr>
      </w:r>
      <w:r>
        <w:rPr>
          <w:noProof/>
        </w:rPr>
        <w:fldChar w:fldCharType="separate"/>
      </w:r>
      <w:r w:rsidR="005933B0">
        <w:rPr>
          <w:noProof/>
        </w:rPr>
        <w:t>58</w:t>
      </w:r>
      <w:r>
        <w:rPr>
          <w:noProof/>
        </w:rPr>
        <w:fldChar w:fldCharType="end"/>
      </w:r>
    </w:p>
    <w:p w14:paraId="54A2BD45" w14:textId="77777777" w:rsidR="00276292" w:rsidRDefault="00276292">
      <w:pPr>
        <w:pStyle w:val="TOC3"/>
        <w:tabs>
          <w:tab w:val="right" w:leader="dot" w:pos="9629"/>
        </w:tabs>
        <w:rPr>
          <w:rFonts w:asciiTheme="minorHAnsi" w:eastAsiaTheme="minorEastAsia" w:hAnsiTheme="minorHAnsi" w:cstheme="minorBidi"/>
          <w:noProof/>
          <w:sz w:val="22"/>
          <w:lang w:val="en-AU"/>
        </w:rPr>
      </w:pPr>
      <w:r>
        <w:rPr>
          <w:noProof/>
        </w:rPr>
        <w:t>Test Methods and Analysis</w:t>
      </w:r>
      <w:r>
        <w:rPr>
          <w:noProof/>
        </w:rPr>
        <w:tab/>
      </w:r>
      <w:r>
        <w:rPr>
          <w:noProof/>
        </w:rPr>
        <w:fldChar w:fldCharType="begin"/>
      </w:r>
      <w:r>
        <w:rPr>
          <w:noProof/>
        </w:rPr>
        <w:instrText xml:space="preserve"> PAGEREF _Toc493159063 \h </w:instrText>
      </w:r>
      <w:r>
        <w:rPr>
          <w:noProof/>
        </w:rPr>
      </w:r>
      <w:r>
        <w:rPr>
          <w:noProof/>
        </w:rPr>
        <w:fldChar w:fldCharType="separate"/>
      </w:r>
      <w:r w:rsidR="005933B0">
        <w:rPr>
          <w:noProof/>
        </w:rPr>
        <w:t>62</w:t>
      </w:r>
      <w:r>
        <w:rPr>
          <w:noProof/>
        </w:rPr>
        <w:fldChar w:fldCharType="end"/>
      </w:r>
    </w:p>
    <w:p w14:paraId="0243D6EA" w14:textId="77777777" w:rsidR="00276292" w:rsidRDefault="00276292">
      <w:pPr>
        <w:pStyle w:val="TOC3"/>
        <w:tabs>
          <w:tab w:val="right" w:leader="dot" w:pos="9629"/>
        </w:tabs>
        <w:rPr>
          <w:rFonts w:asciiTheme="minorHAnsi" w:eastAsiaTheme="minorEastAsia" w:hAnsiTheme="minorHAnsi" w:cstheme="minorBidi"/>
          <w:noProof/>
          <w:sz w:val="22"/>
          <w:lang w:val="en-AU"/>
        </w:rPr>
      </w:pPr>
      <w:r>
        <w:rPr>
          <w:noProof/>
        </w:rPr>
        <w:t>Conclusion</w:t>
      </w:r>
      <w:r>
        <w:rPr>
          <w:noProof/>
        </w:rPr>
        <w:tab/>
      </w:r>
      <w:r>
        <w:rPr>
          <w:noProof/>
        </w:rPr>
        <w:fldChar w:fldCharType="begin"/>
      </w:r>
      <w:r>
        <w:rPr>
          <w:noProof/>
        </w:rPr>
        <w:instrText xml:space="preserve"> PAGEREF _Toc493159064 \h </w:instrText>
      </w:r>
      <w:r>
        <w:rPr>
          <w:noProof/>
        </w:rPr>
      </w:r>
      <w:r>
        <w:rPr>
          <w:noProof/>
        </w:rPr>
        <w:fldChar w:fldCharType="separate"/>
      </w:r>
      <w:r w:rsidR="005933B0">
        <w:rPr>
          <w:noProof/>
        </w:rPr>
        <w:t>63</w:t>
      </w:r>
      <w:r>
        <w:rPr>
          <w:noProof/>
        </w:rPr>
        <w:fldChar w:fldCharType="end"/>
      </w:r>
    </w:p>
    <w:p w14:paraId="7F98701F" w14:textId="77777777" w:rsidR="00276292" w:rsidRDefault="00276292">
      <w:pPr>
        <w:pStyle w:val="TOC1"/>
        <w:rPr>
          <w:rFonts w:asciiTheme="minorHAnsi" w:eastAsiaTheme="minorEastAsia" w:hAnsiTheme="minorHAnsi" w:cstheme="minorBidi"/>
          <w:b w:val="0"/>
          <w:caps w:val="0"/>
          <w:noProof/>
          <w:color w:val="auto"/>
          <w:sz w:val="22"/>
          <w:szCs w:val="22"/>
          <w:lang w:val="en-AU"/>
        </w:rPr>
      </w:pPr>
      <w:r w:rsidRPr="00A63E56">
        <w:rPr>
          <w:rFonts w:eastAsia="Calibri"/>
          <w:noProof/>
          <w:color w:val="auto"/>
        </w:rPr>
        <w:t>Attachment J: Draft Minimum Energy Performance Standards (MEPS) for LED Lighting</w:t>
      </w:r>
      <w:r>
        <w:rPr>
          <w:noProof/>
        </w:rPr>
        <w:tab/>
      </w:r>
      <w:r>
        <w:rPr>
          <w:noProof/>
        </w:rPr>
        <w:fldChar w:fldCharType="begin"/>
      </w:r>
      <w:r>
        <w:rPr>
          <w:noProof/>
        </w:rPr>
        <w:instrText xml:space="preserve"> PAGEREF _Toc493159065 \h </w:instrText>
      </w:r>
      <w:r>
        <w:rPr>
          <w:noProof/>
        </w:rPr>
      </w:r>
      <w:r>
        <w:rPr>
          <w:noProof/>
        </w:rPr>
        <w:fldChar w:fldCharType="separate"/>
      </w:r>
      <w:r w:rsidR="005933B0">
        <w:rPr>
          <w:noProof/>
        </w:rPr>
        <w:t>65</w:t>
      </w:r>
      <w:r>
        <w:rPr>
          <w:noProof/>
        </w:rPr>
        <w:fldChar w:fldCharType="end"/>
      </w:r>
    </w:p>
    <w:p w14:paraId="1445B3D4" w14:textId="71E5FDFD" w:rsidR="00124A56" w:rsidRDefault="005A16D8" w:rsidP="002F6383">
      <w:pPr>
        <w:pStyle w:val="TOC1"/>
      </w:pPr>
      <w:r w:rsidRPr="000422D4">
        <w:fldChar w:fldCharType="end"/>
      </w:r>
    </w:p>
    <w:p w14:paraId="74ED4195" w14:textId="77777777" w:rsidR="000A7636" w:rsidRDefault="00397BEE" w:rsidP="002F6383">
      <w:pPr>
        <w:pStyle w:val="TOC1"/>
        <w:rPr>
          <w:noProof/>
        </w:rPr>
      </w:pPr>
      <w:r w:rsidRPr="000422D4">
        <w:t>List of TABLES</w:t>
      </w:r>
      <w:r w:rsidRPr="000422D4">
        <w:fldChar w:fldCharType="begin"/>
      </w:r>
      <w:r w:rsidRPr="000422D4">
        <w:instrText xml:space="preserve"> TOC \h \z \c "Table" </w:instrText>
      </w:r>
      <w:r w:rsidRPr="000422D4">
        <w:fldChar w:fldCharType="separate"/>
      </w:r>
    </w:p>
    <w:p w14:paraId="4CF9EDF6" w14:textId="77777777" w:rsidR="000A7636" w:rsidRDefault="005933B0">
      <w:pPr>
        <w:pStyle w:val="TableofFigures"/>
        <w:tabs>
          <w:tab w:val="right" w:leader="dot" w:pos="9629"/>
        </w:tabs>
        <w:rPr>
          <w:rFonts w:asciiTheme="minorHAnsi" w:eastAsiaTheme="minorEastAsia" w:hAnsiTheme="minorHAnsi" w:cstheme="minorBidi"/>
          <w:noProof/>
          <w:sz w:val="22"/>
          <w:szCs w:val="22"/>
          <w:lang w:val="en-AU"/>
        </w:rPr>
      </w:pPr>
      <w:hyperlink w:anchor="_Toc493158333" w:history="1">
        <w:r w:rsidR="000A7636" w:rsidRPr="00BE3261">
          <w:rPr>
            <w:rStyle w:val="Hyperlink"/>
            <w:noProof/>
          </w:rPr>
          <w:t>Table 1: Policy options</w:t>
        </w:r>
        <w:r w:rsidR="000A7636">
          <w:rPr>
            <w:noProof/>
            <w:webHidden/>
          </w:rPr>
          <w:tab/>
        </w:r>
        <w:r w:rsidR="000A7636">
          <w:rPr>
            <w:noProof/>
            <w:webHidden/>
          </w:rPr>
          <w:fldChar w:fldCharType="begin"/>
        </w:r>
        <w:r w:rsidR="000A7636">
          <w:rPr>
            <w:noProof/>
            <w:webHidden/>
          </w:rPr>
          <w:instrText xml:space="preserve"> PAGEREF _Toc493158333 \h </w:instrText>
        </w:r>
        <w:r w:rsidR="000A7636">
          <w:rPr>
            <w:noProof/>
            <w:webHidden/>
          </w:rPr>
        </w:r>
        <w:r w:rsidR="000A7636">
          <w:rPr>
            <w:noProof/>
            <w:webHidden/>
          </w:rPr>
          <w:fldChar w:fldCharType="separate"/>
        </w:r>
        <w:r>
          <w:rPr>
            <w:noProof/>
            <w:webHidden/>
          </w:rPr>
          <w:t>8</w:t>
        </w:r>
        <w:r w:rsidR="000A7636">
          <w:rPr>
            <w:noProof/>
            <w:webHidden/>
          </w:rPr>
          <w:fldChar w:fldCharType="end"/>
        </w:r>
      </w:hyperlink>
    </w:p>
    <w:p w14:paraId="2B2AC186" w14:textId="77777777" w:rsidR="000A7636" w:rsidRDefault="005933B0">
      <w:pPr>
        <w:pStyle w:val="TableofFigures"/>
        <w:tabs>
          <w:tab w:val="right" w:leader="dot" w:pos="9629"/>
        </w:tabs>
        <w:rPr>
          <w:rFonts w:asciiTheme="minorHAnsi" w:eastAsiaTheme="minorEastAsia" w:hAnsiTheme="minorHAnsi" w:cstheme="minorBidi"/>
          <w:noProof/>
          <w:sz w:val="22"/>
          <w:szCs w:val="22"/>
          <w:lang w:val="en-AU"/>
        </w:rPr>
      </w:pPr>
      <w:hyperlink w:anchor="_Toc493158334" w:history="1">
        <w:r w:rsidR="000A7636" w:rsidRPr="00BE3261">
          <w:rPr>
            <w:rStyle w:val="Hyperlink"/>
            <w:noProof/>
          </w:rPr>
          <w:t>Table 2: Timeline for LED MEPS and Efficacy Levels</w:t>
        </w:r>
        <w:r w:rsidR="000A7636">
          <w:rPr>
            <w:noProof/>
            <w:webHidden/>
          </w:rPr>
          <w:tab/>
        </w:r>
        <w:r w:rsidR="000A7636">
          <w:rPr>
            <w:noProof/>
            <w:webHidden/>
          </w:rPr>
          <w:fldChar w:fldCharType="begin"/>
        </w:r>
        <w:r w:rsidR="000A7636">
          <w:rPr>
            <w:noProof/>
            <w:webHidden/>
          </w:rPr>
          <w:instrText xml:space="preserve"> PAGEREF _Toc493158334 \h </w:instrText>
        </w:r>
        <w:r w:rsidR="000A7636">
          <w:rPr>
            <w:noProof/>
            <w:webHidden/>
          </w:rPr>
        </w:r>
        <w:r w:rsidR="000A7636">
          <w:rPr>
            <w:noProof/>
            <w:webHidden/>
          </w:rPr>
          <w:fldChar w:fldCharType="separate"/>
        </w:r>
        <w:r>
          <w:rPr>
            <w:noProof/>
            <w:webHidden/>
          </w:rPr>
          <w:t>19</w:t>
        </w:r>
        <w:r w:rsidR="000A7636">
          <w:rPr>
            <w:noProof/>
            <w:webHidden/>
          </w:rPr>
          <w:fldChar w:fldCharType="end"/>
        </w:r>
      </w:hyperlink>
    </w:p>
    <w:p w14:paraId="224EEC47" w14:textId="77777777" w:rsidR="000A7636" w:rsidRDefault="005933B0">
      <w:pPr>
        <w:pStyle w:val="TableofFigures"/>
        <w:tabs>
          <w:tab w:val="right" w:leader="dot" w:pos="9629"/>
        </w:tabs>
        <w:rPr>
          <w:rFonts w:asciiTheme="minorHAnsi" w:eastAsiaTheme="minorEastAsia" w:hAnsiTheme="minorHAnsi" w:cstheme="minorBidi"/>
          <w:noProof/>
          <w:sz w:val="22"/>
          <w:szCs w:val="22"/>
          <w:lang w:val="en-AU"/>
        </w:rPr>
      </w:pPr>
      <w:hyperlink w:anchor="_Toc493158335" w:history="1">
        <w:r w:rsidR="000A7636" w:rsidRPr="00BE3261">
          <w:rPr>
            <w:rStyle w:val="Hyperlink"/>
            <w:noProof/>
          </w:rPr>
          <w:t>Table 3: Summary of additional testing under LED MEPS</w:t>
        </w:r>
        <w:r w:rsidR="000A7636">
          <w:rPr>
            <w:noProof/>
            <w:webHidden/>
          </w:rPr>
          <w:tab/>
        </w:r>
        <w:r w:rsidR="000A7636">
          <w:rPr>
            <w:noProof/>
            <w:webHidden/>
          </w:rPr>
          <w:fldChar w:fldCharType="begin"/>
        </w:r>
        <w:r w:rsidR="000A7636">
          <w:rPr>
            <w:noProof/>
            <w:webHidden/>
          </w:rPr>
          <w:instrText xml:space="preserve"> PAGEREF _Toc493158335 \h </w:instrText>
        </w:r>
        <w:r w:rsidR="000A7636">
          <w:rPr>
            <w:noProof/>
            <w:webHidden/>
          </w:rPr>
        </w:r>
        <w:r w:rsidR="000A7636">
          <w:rPr>
            <w:noProof/>
            <w:webHidden/>
          </w:rPr>
          <w:fldChar w:fldCharType="separate"/>
        </w:r>
        <w:r>
          <w:rPr>
            <w:noProof/>
            <w:webHidden/>
          </w:rPr>
          <w:t>20</w:t>
        </w:r>
        <w:r w:rsidR="000A7636">
          <w:rPr>
            <w:noProof/>
            <w:webHidden/>
          </w:rPr>
          <w:fldChar w:fldCharType="end"/>
        </w:r>
      </w:hyperlink>
    </w:p>
    <w:p w14:paraId="48CB14EB" w14:textId="77777777" w:rsidR="000A7636" w:rsidRDefault="005933B0">
      <w:pPr>
        <w:pStyle w:val="TableofFigures"/>
        <w:tabs>
          <w:tab w:val="right" w:leader="dot" w:pos="9629"/>
        </w:tabs>
        <w:rPr>
          <w:rFonts w:asciiTheme="minorHAnsi" w:eastAsiaTheme="minorEastAsia" w:hAnsiTheme="minorHAnsi" w:cstheme="minorBidi"/>
          <w:noProof/>
          <w:sz w:val="22"/>
          <w:szCs w:val="22"/>
          <w:lang w:val="en-AU"/>
        </w:rPr>
      </w:pPr>
      <w:hyperlink w:anchor="_Toc493158336" w:history="1">
        <w:r w:rsidR="000A7636" w:rsidRPr="00BE3261">
          <w:rPr>
            <w:rStyle w:val="Hyperlink"/>
            <w:noProof/>
          </w:rPr>
          <w:t>Table 4: Updated proposal for efficacy levels for LED lamps</w:t>
        </w:r>
        <w:r w:rsidR="000A7636">
          <w:rPr>
            <w:noProof/>
            <w:webHidden/>
          </w:rPr>
          <w:tab/>
        </w:r>
        <w:r w:rsidR="000A7636">
          <w:rPr>
            <w:noProof/>
            <w:webHidden/>
          </w:rPr>
          <w:fldChar w:fldCharType="begin"/>
        </w:r>
        <w:r w:rsidR="000A7636">
          <w:rPr>
            <w:noProof/>
            <w:webHidden/>
          </w:rPr>
          <w:instrText xml:space="preserve"> PAGEREF _Toc493158336 \h </w:instrText>
        </w:r>
        <w:r w:rsidR="000A7636">
          <w:rPr>
            <w:noProof/>
            <w:webHidden/>
          </w:rPr>
        </w:r>
        <w:r w:rsidR="000A7636">
          <w:rPr>
            <w:noProof/>
            <w:webHidden/>
          </w:rPr>
          <w:fldChar w:fldCharType="separate"/>
        </w:r>
        <w:r>
          <w:rPr>
            <w:noProof/>
            <w:webHidden/>
          </w:rPr>
          <w:t>28</w:t>
        </w:r>
        <w:r w:rsidR="000A7636">
          <w:rPr>
            <w:noProof/>
            <w:webHidden/>
          </w:rPr>
          <w:fldChar w:fldCharType="end"/>
        </w:r>
      </w:hyperlink>
    </w:p>
    <w:p w14:paraId="31EE4CE5" w14:textId="77777777" w:rsidR="000A7636" w:rsidRDefault="005933B0">
      <w:pPr>
        <w:pStyle w:val="TableofFigures"/>
        <w:tabs>
          <w:tab w:val="right" w:leader="dot" w:pos="9629"/>
        </w:tabs>
        <w:rPr>
          <w:rFonts w:asciiTheme="minorHAnsi" w:eastAsiaTheme="minorEastAsia" w:hAnsiTheme="minorHAnsi" w:cstheme="minorBidi"/>
          <w:noProof/>
          <w:sz w:val="22"/>
          <w:szCs w:val="22"/>
          <w:lang w:val="en-AU"/>
        </w:rPr>
      </w:pPr>
      <w:hyperlink w:anchor="_Toc493158337" w:history="1">
        <w:r w:rsidR="000A7636" w:rsidRPr="00BE3261">
          <w:rPr>
            <w:rStyle w:val="Hyperlink"/>
            <w:noProof/>
          </w:rPr>
          <w:t>Table 5: Cost benefit analysis – Australia (Real discount rate: 7%)</w:t>
        </w:r>
        <w:r w:rsidR="000A7636">
          <w:rPr>
            <w:noProof/>
            <w:webHidden/>
          </w:rPr>
          <w:tab/>
        </w:r>
        <w:r w:rsidR="000A7636">
          <w:rPr>
            <w:noProof/>
            <w:webHidden/>
          </w:rPr>
          <w:fldChar w:fldCharType="begin"/>
        </w:r>
        <w:r w:rsidR="000A7636">
          <w:rPr>
            <w:noProof/>
            <w:webHidden/>
          </w:rPr>
          <w:instrText xml:space="preserve"> PAGEREF _Toc493158337 \h </w:instrText>
        </w:r>
        <w:r w:rsidR="000A7636">
          <w:rPr>
            <w:noProof/>
            <w:webHidden/>
          </w:rPr>
        </w:r>
        <w:r w:rsidR="000A7636">
          <w:rPr>
            <w:noProof/>
            <w:webHidden/>
          </w:rPr>
          <w:fldChar w:fldCharType="separate"/>
        </w:r>
        <w:r>
          <w:rPr>
            <w:noProof/>
            <w:webHidden/>
          </w:rPr>
          <w:t>36</w:t>
        </w:r>
        <w:r w:rsidR="000A7636">
          <w:rPr>
            <w:noProof/>
            <w:webHidden/>
          </w:rPr>
          <w:fldChar w:fldCharType="end"/>
        </w:r>
      </w:hyperlink>
    </w:p>
    <w:p w14:paraId="1E08B8A6" w14:textId="77777777" w:rsidR="000A7636" w:rsidRDefault="005933B0">
      <w:pPr>
        <w:pStyle w:val="TableofFigures"/>
        <w:tabs>
          <w:tab w:val="right" w:leader="dot" w:pos="9629"/>
        </w:tabs>
        <w:rPr>
          <w:rFonts w:asciiTheme="minorHAnsi" w:eastAsiaTheme="minorEastAsia" w:hAnsiTheme="minorHAnsi" w:cstheme="minorBidi"/>
          <w:noProof/>
          <w:sz w:val="22"/>
          <w:szCs w:val="22"/>
          <w:lang w:val="en-AU"/>
        </w:rPr>
      </w:pPr>
      <w:hyperlink w:anchor="_Toc493158338" w:history="1">
        <w:r w:rsidR="000A7636" w:rsidRPr="00BE3261">
          <w:rPr>
            <w:rStyle w:val="Hyperlink"/>
            <w:noProof/>
          </w:rPr>
          <w:t>Table 6: Cost benefit estimates – New Zealand (Real discount rate: 6%)</w:t>
        </w:r>
        <w:r w:rsidR="000A7636">
          <w:rPr>
            <w:noProof/>
            <w:webHidden/>
          </w:rPr>
          <w:tab/>
        </w:r>
        <w:r w:rsidR="000A7636">
          <w:rPr>
            <w:noProof/>
            <w:webHidden/>
          </w:rPr>
          <w:fldChar w:fldCharType="begin"/>
        </w:r>
        <w:r w:rsidR="000A7636">
          <w:rPr>
            <w:noProof/>
            <w:webHidden/>
          </w:rPr>
          <w:instrText xml:space="preserve"> PAGEREF _Toc493158338 \h </w:instrText>
        </w:r>
        <w:r w:rsidR="000A7636">
          <w:rPr>
            <w:noProof/>
            <w:webHidden/>
          </w:rPr>
        </w:r>
        <w:r w:rsidR="000A7636">
          <w:rPr>
            <w:noProof/>
            <w:webHidden/>
          </w:rPr>
          <w:fldChar w:fldCharType="separate"/>
        </w:r>
        <w:r>
          <w:rPr>
            <w:noProof/>
            <w:webHidden/>
          </w:rPr>
          <w:t>36</w:t>
        </w:r>
        <w:r w:rsidR="000A7636">
          <w:rPr>
            <w:noProof/>
            <w:webHidden/>
          </w:rPr>
          <w:fldChar w:fldCharType="end"/>
        </w:r>
      </w:hyperlink>
    </w:p>
    <w:p w14:paraId="4FA06868" w14:textId="77777777" w:rsidR="000A7636" w:rsidRDefault="005933B0">
      <w:pPr>
        <w:pStyle w:val="TableofFigures"/>
        <w:tabs>
          <w:tab w:val="right" w:leader="dot" w:pos="9629"/>
        </w:tabs>
        <w:rPr>
          <w:rFonts w:asciiTheme="minorHAnsi" w:eastAsiaTheme="minorEastAsia" w:hAnsiTheme="minorHAnsi" w:cstheme="minorBidi"/>
          <w:noProof/>
          <w:sz w:val="22"/>
          <w:szCs w:val="22"/>
          <w:lang w:val="en-AU"/>
        </w:rPr>
      </w:pPr>
      <w:hyperlink w:anchor="_Toc493158339" w:history="1">
        <w:r w:rsidR="000A7636" w:rsidRPr="00BE3261">
          <w:rPr>
            <w:rStyle w:val="Hyperlink"/>
            <w:noProof/>
          </w:rPr>
          <w:t>Table 7: shows the additional regulatory costs for Option A (Commonwealth’s portion)</w:t>
        </w:r>
        <w:r w:rsidR="000A7636">
          <w:rPr>
            <w:noProof/>
            <w:webHidden/>
          </w:rPr>
          <w:tab/>
        </w:r>
        <w:r w:rsidR="000A7636">
          <w:rPr>
            <w:noProof/>
            <w:webHidden/>
          </w:rPr>
          <w:fldChar w:fldCharType="begin"/>
        </w:r>
        <w:r w:rsidR="000A7636">
          <w:rPr>
            <w:noProof/>
            <w:webHidden/>
          </w:rPr>
          <w:instrText xml:space="preserve"> PAGEREF _Toc493158339 \h </w:instrText>
        </w:r>
        <w:r w:rsidR="000A7636">
          <w:rPr>
            <w:noProof/>
            <w:webHidden/>
          </w:rPr>
        </w:r>
        <w:r w:rsidR="000A7636">
          <w:rPr>
            <w:noProof/>
            <w:webHidden/>
          </w:rPr>
          <w:fldChar w:fldCharType="separate"/>
        </w:r>
        <w:r>
          <w:rPr>
            <w:noProof/>
            <w:webHidden/>
          </w:rPr>
          <w:t>44</w:t>
        </w:r>
        <w:r w:rsidR="000A7636">
          <w:rPr>
            <w:noProof/>
            <w:webHidden/>
          </w:rPr>
          <w:fldChar w:fldCharType="end"/>
        </w:r>
      </w:hyperlink>
    </w:p>
    <w:p w14:paraId="57D24F26" w14:textId="77777777" w:rsidR="000A7636" w:rsidRDefault="005933B0">
      <w:pPr>
        <w:pStyle w:val="TableofFigures"/>
        <w:tabs>
          <w:tab w:val="right" w:leader="dot" w:pos="9629"/>
        </w:tabs>
        <w:rPr>
          <w:rFonts w:asciiTheme="minorHAnsi" w:eastAsiaTheme="minorEastAsia" w:hAnsiTheme="minorHAnsi" w:cstheme="minorBidi"/>
          <w:noProof/>
          <w:sz w:val="22"/>
          <w:szCs w:val="22"/>
          <w:lang w:val="en-AU"/>
        </w:rPr>
      </w:pPr>
      <w:hyperlink w:anchor="_Toc493158340" w:history="1">
        <w:r w:rsidR="000A7636" w:rsidRPr="00BE3261">
          <w:rPr>
            <w:rStyle w:val="Hyperlink"/>
            <w:noProof/>
          </w:rPr>
          <w:t>Table 8: Proposed phase out of halogen and incandescent lamps</w:t>
        </w:r>
        <w:r w:rsidR="000A7636">
          <w:rPr>
            <w:noProof/>
            <w:webHidden/>
          </w:rPr>
          <w:tab/>
        </w:r>
        <w:r w:rsidR="000A7636">
          <w:rPr>
            <w:noProof/>
            <w:webHidden/>
          </w:rPr>
          <w:fldChar w:fldCharType="begin"/>
        </w:r>
        <w:r w:rsidR="000A7636">
          <w:rPr>
            <w:noProof/>
            <w:webHidden/>
          </w:rPr>
          <w:instrText xml:space="preserve"> PAGEREF _Toc493158340 \h </w:instrText>
        </w:r>
        <w:r w:rsidR="000A7636">
          <w:rPr>
            <w:noProof/>
            <w:webHidden/>
          </w:rPr>
        </w:r>
        <w:r w:rsidR="000A7636">
          <w:rPr>
            <w:noProof/>
            <w:webHidden/>
          </w:rPr>
          <w:fldChar w:fldCharType="separate"/>
        </w:r>
        <w:r>
          <w:rPr>
            <w:noProof/>
            <w:webHidden/>
          </w:rPr>
          <w:t>50</w:t>
        </w:r>
        <w:r w:rsidR="000A7636">
          <w:rPr>
            <w:noProof/>
            <w:webHidden/>
          </w:rPr>
          <w:fldChar w:fldCharType="end"/>
        </w:r>
      </w:hyperlink>
    </w:p>
    <w:p w14:paraId="34BD2304" w14:textId="77777777" w:rsidR="00397BEE" w:rsidRPr="000422D4" w:rsidRDefault="00397BEE" w:rsidP="002F6383">
      <w:pPr>
        <w:pStyle w:val="E3BodyText"/>
      </w:pPr>
      <w:r w:rsidRPr="000422D4">
        <w:fldChar w:fldCharType="end"/>
      </w:r>
    </w:p>
    <w:p w14:paraId="56F51A8E" w14:textId="77777777" w:rsidR="00BD0CDF" w:rsidRPr="000422D4" w:rsidRDefault="00BD0CDF" w:rsidP="002F6383">
      <w:pPr>
        <w:pStyle w:val="TOC1"/>
      </w:pPr>
      <w:r w:rsidRPr="000422D4">
        <w:t>List of figures</w:t>
      </w:r>
    </w:p>
    <w:p w14:paraId="4BDF7B10" w14:textId="77777777" w:rsidR="000A7636" w:rsidRDefault="003B6CE7">
      <w:pPr>
        <w:pStyle w:val="TableofFigures"/>
        <w:tabs>
          <w:tab w:val="right" w:leader="dot" w:pos="9629"/>
        </w:tabs>
        <w:rPr>
          <w:rFonts w:asciiTheme="minorHAnsi" w:eastAsiaTheme="minorEastAsia" w:hAnsiTheme="minorHAnsi" w:cstheme="minorBidi"/>
          <w:noProof/>
          <w:sz w:val="22"/>
          <w:szCs w:val="22"/>
          <w:lang w:val="en-AU"/>
        </w:rPr>
      </w:pPr>
      <w:r w:rsidRPr="000422D4">
        <w:fldChar w:fldCharType="begin"/>
      </w:r>
      <w:r w:rsidRPr="000422D4">
        <w:instrText xml:space="preserve"> TOC \h \z \t "E3 Figure titles,1" \c "Figure" </w:instrText>
      </w:r>
      <w:r w:rsidRPr="000422D4">
        <w:fldChar w:fldCharType="separate"/>
      </w:r>
      <w:hyperlink w:anchor="_Toc493158343" w:history="1">
        <w:r w:rsidR="000A7636" w:rsidRPr="006333FC">
          <w:rPr>
            <w:rStyle w:val="Hyperlink"/>
            <w:noProof/>
          </w:rPr>
          <w:t>Figure 1: ASEAN Benchmark Test Results for LED A-shape Lamp - efficacy</w:t>
        </w:r>
        <w:r w:rsidR="000A7636">
          <w:rPr>
            <w:noProof/>
            <w:webHidden/>
          </w:rPr>
          <w:tab/>
        </w:r>
        <w:r w:rsidR="000A7636">
          <w:rPr>
            <w:noProof/>
            <w:webHidden/>
          </w:rPr>
          <w:fldChar w:fldCharType="begin"/>
        </w:r>
        <w:r w:rsidR="000A7636">
          <w:rPr>
            <w:noProof/>
            <w:webHidden/>
          </w:rPr>
          <w:instrText xml:space="preserve"> PAGEREF _Toc493158343 \h </w:instrText>
        </w:r>
        <w:r w:rsidR="000A7636">
          <w:rPr>
            <w:noProof/>
            <w:webHidden/>
          </w:rPr>
        </w:r>
        <w:r w:rsidR="000A7636">
          <w:rPr>
            <w:noProof/>
            <w:webHidden/>
          </w:rPr>
          <w:fldChar w:fldCharType="separate"/>
        </w:r>
        <w:r w:rsidR="005933B0">
          <w:rPr>
            <w:noProof/>
            <w:webHidden/>
          </w:rPr>
          <w:t>23</w:t>
        </w:r>
        <w:r w:rsidR="000A7636">
          <w:rPr>
            <w:noProof/>
            <w:webHidden/>
          </w:rPr>
          <w:fldChar w:fldCharType="end"/>
        </w:r>
      </w:hyperlink>
    </w:p>
    <w:p w14:paraId="5780E1C3" w14:textId="77777777" w:rsidR="000A7636" w:rsidRDefault="005933B0">
      <w:pPr>
        <w:pStyle w:val="TableofFigures"/>
        <w:tabs>
          <w:tab w:val="right" w:leader="dot" w:pos="9629"/>
        </w:tabs>
        <w:rPr>
          <w:rFonts w:asciiTheme="minorHAnsi" w:eastAsiaTheme="minorEastAsia" w:hAnsiTheme="minorHAnsi" w:cstheme="minorBidi"/>
          <w:noProof/>
          <w:sz w:val="22"/>
          <w:szCs w:val="22"/>
          <w:lang w:val="en-AU"/>
        </w:rPr>
      </w:pPr>
      <w:hyperlink w:anchor="_Toc493158344" w:history="1">
        <w:r w:rsidR="000A7636" w:rsidRPr="006333FC">
          <w:rPr>
            <w:rStyle w:val="Hyperlink"/>
            <w:noProof/>
          </w:rPr>
          <w:t>Figure 2: ASEAN Benchmark Test Results for LED A-shape Lamp - CRI</w:t>
        </w:r>
        <w:r w:rsidR="000A7636">
          <w:rPr>
            <w:noProof/>
            <w:webHidden/>
          </w:rPr>
          <w:tab/>
        </w:r>
        <w:r w:rsidR="000A7636">
          <w:rPr>
            <w:noProof/>
            <w:webHidden/>
          </w:rPr>
          <w:fldChar w:fldCharType="begin"/>
        </w:r>
        <w:r w:rsidR="000A7636">
          <w:rPr>
            <w:noProof/>
            <w:webHidden/>
          </w:rPr>
          <w:instrText xml:space="preserve"> PAGEREF _Toc493158344 \h </w:instrText>
        </w:r>
        <w:r w:rsidR="000A7636">
          <w:rPr>
            <w:noProof/>
            <w:webHidden/>
          </w:rPr>
        </w:r>
        <w:r w:rsidR="000A7636">
          <w:rPr>
            <w:noProof/>
            <w:webHidden/>
          </w:rPr>
          <w:fldChar w:fldCharType="separate"/>
        </w:r>
        <w:r>
          <w:rPr>
            <w:noProof/>
            <w:webHidden/>
          </w:rPr>
          <w:t>24</w:t>
        </w:r>
        <w:r w:rsidR="000A7636">
          <w:rPr>
            <w:noProof/>
            <w:webHidden/>
          </w:rPr>
          <w:fldChar w:fldCharType="end"/>
        </w:r>
      </w:hyperlink>
    </w:p>
    <w:p w14:paraId="0661E496" w14:textId="77777777" w:rsidR="000A7636" w:rsidRDefault="005933B0">
      <w:pPr>
        <w:pStyle w:val="TableofFigures"/>
        <w:tabs>
          <w:tab w:val="right" w:leader="dot" w:pos="9629"/>
        </w:tabs>
        <w:rPr>
          <w:rFonts w:asciiTheme="minorHAnsi" w:eastAsiaTheme="minorEastAsia" w:hAnsiTheme="minorHAnsi" w:cstheme="minorBidi"/>
          <w:noProof/>
          <w:sz w:val="22"/>
          <w:szCs w:val="22"/>
          <w:lang w:val="en-AU"/>
        </w:rPr>
      </w:pPr>
      <w:hyperlink w:anchor="_Toc493158345" w:history="1">
        <w:r w:rsidR="000A7636" w:rsidRPr="006333FC">
          <w:rPr>
            <w:rStyle w:val="Hyperlink"/>
            <w:noProof/>
          </w:rPr>
          <w:t>Figure 3: ASEAN Benchmark Test Results for LED A-shape Lamp – colour consistency</w:t>
        </w:r>
        <w:r w:rsidR="000A7636">
          <w:rPr>
            <w:noProof/>
            <w:webHidden/>
          </w:rPr>
          <w:tab/>
        </w:r>
        <w:r w:rsidR="000A7636">
          <w:rPr>
            <w:noProof/>
            <w:webHidden/>
          </w:rPr>
          <w:fldChar w:fldCharType="begin"/>
        </w:r>
        <w:r w:rsidR="000A7636">
          <w:rPr>
            <w:noProof/>
            <w:webHidden/>
          </w:rPr>
          <w:instrText xml:space="preserve"> PAGEREF _Toc493158345 \h </w:instrText>
        </w:r>
        <w:r w:rsidR="000A7636">
          <w:rPr>
            <w:noProof/>
            <w:webHidden/>
          </w:rPr>
        </w:r>
        <w:r w:rsidR="000A7636">
          <w:rPr>
            <w:noProof/>
            <w:webHidden/>
          </w:rPr>
          <w:fldChar w:fldCharType="separate"/>
        </w:r>
        <w:r>
          <w:rPr>
            <w:noProof/>
            <w:webHidden/>
          </w:rPr>
          <w:t>24</w:t>
        </w:r>
        <w:r w:rsidR="000A7636">
          <w:rPr>
            <w:noProof/>
            <w:webHidden/>
          </w:rPr>
          <w:fldChar w:fldCharType="end"/>
        </w:r>
      </w:hyperlink>
    </w:p>
    <w:p w14:paraId="748B13CC" w14:textId="77777777" w:rsidR="000A7636" w:rsidRDefault="005933B0">
      <w:pPr>
        <w:pStyle w:val="TableofFigures"/>
        <w:tabs>
          <w:tab w:val="right" w:leader="dot" w:pos="9629"/>
        </w:tabs>
        <w:rPr>
          <w:rFonts w:asciiTheme="minorHAnsi" w:eastAsiaTheme="minorEastAsia" w:hAnsiTheme="minorHAnsi" w:cstheme="minorBidi"/>
          <w:noProof/>
          <w:sz w:val="22"/>
          <w:szCs w:val="22"/>
          <w:lang w:val="en-AU"/>
        </w:rPr>
      </w:pPr>
      <w:hyperlink w:anchor="_Toc493158346" w:history="1">
        <w:r w:rsidR="000A7636" w:rsidRPr="006333FC">
          <w:rPr>
            <w:rStyle w:val="Hyperlink"/>
            <w:noProof/>
          </w:rPr>
          <w:t>Figure 4: ASEAN Benchmark Test Results for LED A-shape Lamp – Power Factor</w:t>
        </w:r>
        <w:r w:rsidR="000A7636">
          <w:rPr>
            <w:noProof/>
            <w:webHidden/>
          </w:rPr>
          <w:tab/>
        </w:r>
        <w:r w:rsidR="000A7636">
          <w:rPr>
            <w:noProof/>
            <w:webHidden/>
          </w:rPr>
          <w:fldChar w:fldCharType="begin"/>
        </w:r>
        <w:r w:rsidR="000A7636">
          <w:rPr>
            <w:noProof/>
            <w:webHidden/>
          </w:rPr>
          <w:instrText xml:space="preserve"> PAGEREF _Toc493158346 \h </w:instrText>
        </w:r>
        <w:r w:rsidR="000A7636">
          <w:rPr>
            <w:noProof/>
            <w:webHidden/>
          </w:rPr>
        </w:r>
        <w:r w:rsidR="000A7636">
          <w:rPr>
            <w:noProof/>
            <w:webHidden/>
          </w:rPr>
          <w:fldChar w:fldCharType="separate"/>
        </w:r>
        <w:r>
          <w:rPr>
            <w:noProof/>
            <w:webHidden/>
          </w:rPr>
          <w:t>25</w:t>
        </w:r>
        <w:r w:rsidR="000A7636">
          <w:rPr>
            <w:noProof/>
            <w:webHidden/>
          </w:rPr>
          <w:fldChar w:fldCharType="end"/>
        </w:r>
      </w:hyperlink>
    </w:p>
    <w:p w14:paraId="168379FD" w14:textId="77777777" w:rsidR="000A7636" w:rsidRDefault="005933B0">
      <w:pPr>
        <w:pStyle w:val="TableofFigures"/>
        <w:tabs>
          <w:tab w:val="right" w:leader="dot" w:pos="9629"/>
        </w:tabs>
        <w:rPr>
          <w:rFonts w:asciiTheme="minorHAnsi" w:eastAsiaTheme="minorEastAsia" w:hAnsiTheme="minorHAnsi" w:cstheme="minorBidi"/>
          <w:noProof/>
          <w:sz w:val="22"/>
          <w:szCs w:val="22"/>
          <w:lang w:val="en-AU"/>
        </w:rPr>
      </w:pPr>
      <w:hyperlink w:anchor="_Toc493158347" w:history="1">
        <w:r w:rsidR="000A7636" w:rsidRPr="006333FC">
          <w:rPr>
            <w:rStyle w:val="Hyperlink"/>
            <w:noProof/>
          </w:rPr>
          <w:t>Figure 5: efficacy dataset for non-directional LED lamps</w:t>
        </w:r>
        <w:r w:rsidR="000A7636">
          <w:rPr>
            <w:noProof/>
            <w:webHidden/>
          </w:rPr>
          <w:tab/>
        </w:r>
        <w:r w:rsidR="000A7636">
          <w:rPr>
            <w:noProof/>
            <w:webHidden/>
          </w:rPr>
          <w:fldChar w:fldCharType="begin"/>
        </w:r>
        <w:r w:rsidR="000A7636">
          <w:rPr>
            <w:noProof/>
            <w:webHidden/>
          </w:rPr>
          <w:instrText xml:space="preserve"> PAGEREF _Toc493158347 \h </w:instrText>
        </w:r>
        <w:r w:rsidR="000A7636">
          <w:rPr>
            <w:noProof/>
            <w:webHidden/>
          </w:rPr>
        </w:r>
        <w:r w:rsidR="000A7636">
          <w:rPr>
            <w:noProof/>
            <w:webHidden/>
          </w:rPr>
          <w:fldChar w:fldCharType="separate"/>
        </w:r>
        <w:r>
          <w:rPr>
            <w:noProof/>
            <w:webHidden/>
          </w:rPr>
          <w:t>27</w:t>
        </w:r>
        <w:r w:rsidR="000A7636">
          <w:rPr>
            <w:noProof/>
            <w:webHidden/>
          </w:rPr>
          <w:fldChar w:fldCharType="end"/>
        </w:r>
      </w:hyperlink>
    </w:p>
    <w:p w14:paraId="4CEBA292" w14:textId="77777777" w:rsidR="000A7636" w:rsidRDefault="005933B0">
      <w:pPr>
        <w:pStyle w:val="TableofFigures"/>
        <w:tabs>
          <w:tab w:val="right" w:leader="dot" w:pos="9629"/>
        </w:tabs>
        <w:rPr>
          <w:rFonts w:asciiTheme="minorHAnsi" w:eastAsiaTheme="minorEastAsia" w:hAnsiTheme="minorHAnsi" w:cstheme="minorBidi"/>
          <w:noProof/>
          <w:sz w:val="22"/>
          <w:szCs w:val="22"/>
          <w:lang w:val="en-AU"/>
        </w:rPr>
      </w:pPr>
      <w:hyperlink w:anchor="_Toc493158348" w:history="1">
        <w:r w:rsidR="000A7636" w:rsidRPr="006333FC">
          <w:rPr>
            <w:rStyle w:val="Hyperlink"/>
            <w:noProof/>
          </w:rPr>
          <w:t>Figure 6: Efficacy dataset for directional LED lamps</w:t>
        </w:r>
        <w:r w:rsidR="000A7636">
          <w:rPr>
            <w:noProof/>
            <w:webHidden/>
          </w:rPr>
          <w:tab/>
        </w:r>
        <w:r w:rsidR="000A7636">
          <w:rPr>
            <w:noProof/>
            <w:webHidden/>
          </w:rPr>
          <w:fldChar w:fldCharType="begin"/>
        </w:r>
        <w:r w:rsidR="000A7636">
          <w:rPr>
            <w:noProof/>
            <w:webHidden/>
          </w:rPr>
          <w:instrText xml:space="preserve"> PAGEREF _Toc493158348 \h </w:instrText>
        </w:r>
        <w:r w:rsidR="000A7636">
          <w:rPr>
            <w:noProof/>
            <w:webHidden/>
          </w:rPr>
        </w:r>
        <w:r w:rsidR="000A7636">
          <w:rPr>
            <w:noProof/>
            <w:webHidden/>
          </w:rPr>
          <w:fldChar w:fldCharType="separate"/>
        </w:r>
        <w:r>
          <w:rPr>
            <w:noProof/>
            <w:webHidden/>
          </w:rPr>
          <w:t>27</w:t>
        </w:r>
        <w:r w:rsidR="000A7636">
          <w:rPr>
            <w:noProof/>
            <w:webHidden/>
          </w:rPr>
          <w:fldChar w:fldCharType="end"/>
        </w:r>
      </w:hyperlink>
    </w:p>
    <w:p w14:paraId="06C895B5" w14:textId="77777777" w:rsidR="000A7636" w:rsidRDefault="005933B0">
      <w:pPr>
        <w:pStyle w:val="TableofFigures"/>
        <w:tabs>
          <w:tab w:val="right" w:leader="dot" w:pos="9629"/>
        </w:tabs>
        <w:rPr>
          <w:rFonts w:asciiTheme="minorHAnsi" w:eastAsiaTheme="minorEastAsia" w:hAnsiTheme="minorHAnsi" w:cstheme="minorBidi"/>
          <w:noProof/>
          <w:sz w:val="22"/>
          <w:szCs w:val="22"/>
          <w:lang w:val="en-AU"/>
        </w:rPr>
      </w:pPr>
      <w:hyperlink w:anchor="_Toc493158349" w:history="1">
        <w:r w:rsidR="000A7636" w:rsidRPr="006333FC">
          <w:rPr>
            <w:rStyle w:val="Hyperlink"/>
            <w:noProof/>
          </w:rPr>
          <w:t>Figure 7: Example of different LED lumen depreciation rates and associated L70 values</w:t>
        </w:r>
        <w:r w:rsidR="000A7636">
          <w:rPr>
            <w:noProof/>
            <w:webHidden/>
          </w:rPr>
          <w:tab/>
        </w:r>
        <w:r w:rsidR="000A7636">
          <w:rPr>
            <w:noProof/>
            <w:webHidden/>
          </w:rPr>
          <w:fldChar w:fldCharType="begin"/>
        </w:r>
        <w:r w:rsidR="000A7636">
          <w:rPr>
            <w:noProof/>
            <w:webHidden/>
          </w:rPr>
          <w:instrText xml:space="preserve"> PAGEREF _Toc493158349 \h </w:instrText>
        </w:r>
        <w:r w:rsidR="000A7636">
          <w:rPr>
            <w:noProof/>
            <w:webHidden/>
          </w:rPr>
        </w:r>
        <w:r w:rsidR="000A7636">
          <w:rPr>
            <w:noProof/>
            <w:webHidden/>
          </w:rPr>
          <w:fldChar w:fldCharType="separate"/>
        </w:r>
        <w:r>
          <w:rPr>
            <w:noProof/>
            <w:webHidden/>
          </w:rPr>
          <w:t>56</w:t>
        </w:r>
        <w:r w:rsidR="000A7636">
          <w:rPr>
            <w:noProof/>
            <w:webHidden/>
          </w:rPr>
          <w:fldChar w:fldCharType="end"/>
        </w:r>
      </w:hyperlink>
    </w:p>
    <w:p w14:paraId="5823EBFD" w14:textId="77777777" w:rsidR="000A7636" w:rsidRDefault="005933B0">
      <w:pPr>
        <w:pStyle w:val="TableofFigures"/>
        <w:tabs>
          <w:tab w:val="right" w:leader="dot" w:pos="9629"/>
        </w:tabs>
        <w:rPr>
          <w:rFonts w:asciiTheme="minorHAnsi" w:eastAsiaTheme="minorEastAsia" w:hAnsiTheme="minorHAnsi" w:cstheme="minorBidi"/>
          <w:noProof/>
          <w:sz w:val="22"/>
          <w:szCs w:val="22"/>
          <w:lang w:val="en-AU"/>
        </w:rPr>
      </w:pPr>
      <w:hyperlink w:anchor="_Toc493158350" w:history="1">
        <w:r w:rsidR="000A7636" w:rsidRPr="006333FC">
          <w:rPr>
            <w:rStyle w:val="Hyperlink"/>
            <w:noProof/>
          </w:rPr>
          <w:t>Figure 8: Lumen depreciation and life of different lamp technologies</w:t>
        </w:r>
        <w:r w:rsidR="000A7636">
          <w:rPr>
            <w:noProof/>
            <w:webHidden/>
          </w:rPr>
          <w:tab/>
        </w:r>
        <w:r w:rsidR="000A7636">
          <w:rPr>
            <w:noProof/>
            <w:webHidden/>
          </w:rPr>
          <w:fldChar w:fldCharType="begin"/>
        </w:r>
        <w:r w:rsidR="000A7636">
          <w:rPr>
            <w:noProof/>
            <w:webHidden/>
          </w:rPr>
          <w:instrText xml:space="preserve"> PAGEREF _Toc493158350 \h </w:instrText>
        </w:r>
        <w:r w:rsidR="000A7636">
          <w:rPr>
            <w:noProof/>
            <w:webHidden/>
          </w:rPr>
        </w:r>
        <w:r w:rsidR="000A7636">
          <w:rPr>
            <w:noProof/>
            <w:webHidden/>
          </w:rPr>
          <w:fldChar w:fldCharType="separate"/>
        </w:r>
        <w:r>
          <w:rPr>
            <w:noProof/>
            <w:webHidden/>
          </w:rPr>
          <w:t>57</w:t>
        </w:r>
        <w:r w:rsidR="000A7636">
          <w:rPr>
            <w:noProof/>
            <w:webHidden/>
          </w:rPr>
          <w:fldChar w:fldCharType="end"/>
        </w:r>
      </w:hyperlink>
    </w:p>
    <w:p w14:paraId="75211B54" w14:textId="77777777" w:rsidR="000A7636" w:rsidRDefault="005933B0">
      <w:pPr>
        <w:pStyle w:val="TableofFigures"/>
        <w:tabs>
          <w:tab w:val="right" w:leader="dot" w:pos="9629"/>
        </w:tabs>
        <w:rPr>
          <w:rFonts w:asciiTheme="minorHAnsi" w:eastAsiaTheme="minorEastAsia" w:hAnsiTheme="minorHAnsi" w:cstheme="minorBidi"/>
          <w:noProof/>
          <w:sz w:val="22"/>
          <w:szCs w:val="22"/>
          <w:lang w:val="en-AU"/>
        </w:rPr>
      </w:pPr>
      <w:hyperlink w:anchor="_Toc493158351" w:history="1">
        <w:r w:rsidR="000A7636" w:rsidRPr="006333FC">
          <w:rPr>
            <w:rStyle w:val="Hyperlink"/>
            <w:noProof/>
          </w:rPr>
          <w:t>Figure 9: Manufacturer's designation of the Temperature Measurement Point</w:t>
        </w:r>
        <w:r w:rsidR="000A7636">
          <w:rPr>
            <w:noProof/>
            <w:webHidden/>
          </w:rPr>
          <w:tab/>
        </w:r>
        <w:r w:rsidR="000A7636">
          <w:rPr>
            <w:noProof/>
            <w:webHidden/>
          </w:rPr>
          <w:fldChar w:fldCharType="begin"/>
        </w:r>
        <w:r w:rsidR="000A7636">
          <w:rPr>
            <w:noProof/>
            <w:webHidden/>
          </w:rPr>
          <w:instrText xml:space="preserve"> PAGEREF _Toc493158351 \h </w:instrText>
        </w:r>
        <w:r w:rsidR="000A7636">
          <w:rPr>
            <w:noProof/>
            <w:webHidden/>
          </w:rPr>
        </w:r>
        <w:r w:rsidR="000A7636">
          <w:rPr>
            <w:noProof/>
            <w:webHidden/>
          </w:rPr>
          <w:fldChar w:fldCharType="separate"/>
        </w:r>
        <w:r>
          <w:rPr>
            <w:noProof/>
            <w:webHidden/>
          </w:rPr>
          <w:t>58</w:t>
        </w:r>
        <w:r w:rsidR="000A7636">
          <w:rPr>
            <w:noProof/>
            <w:webHidden/>
          </w:rPr>
          <w:fldChar w:fldCharType="end"/>
        </w:r>
      </w:hyperlink>
    </w:p>
    <w:p w14:paraId="12225E3A" w14:textId="77777777" w:rsidR="000A7636" w:rsidRDefault="005933B0">
      <w:pPr>
        <w:pStyle w:val="TableofFigures"/>
        <w:tabs>
          <w:tab w:val="right" w:leader="dot" w:pos="9629"/>
        </w:tabs>
        <w:rPr>
          <w:rFonts w:asciiTheme="minorHAnsi" w:eastAsiaTheme="minorEastAsia" w:hAnsiTheme="minorHAnsi" w:cstheme="minorBidi"/>
          <w:noProof/>
          <w:sz w:val="22"/>
          <w:szCs w:val="22"/>
          <w:lang w:val="en-AU"/>
        </w:rPr>
      </w:pPr>
      <w:hyperlink w:anchor="_Toc493158352" w:history="1">
        <w:r w:rsidR="000A7636" w:rsidRPr="006333FC">
          <w:rPr>
            <w:rStyle w:val="Hyperlink"/>
            <w:noProof/>
          </w:rPr>
          <w:t>Figure 10: Measured LED lumen depreciation rates for LED module at different operating temperatures but same drive current</w:t>
        </w:r>
        <w:r w:rsidR="000A7636">
          <w:rPr>
            <w:noProof/>
            <w:webHidden/>
          </w:rPr>
          <w:tab/>
        </w:r>
        <w:r w:rsidR="000A7636">
          <w:rPr>
            <w:noProof/>
            <w:webHidden/>
          </w:rPr>
          <w:fldChar w:fldCharType="begin"/>
        </w:r>
        <w:r w:rsidR="000A7636">
          <w:rPr>
            <w:noProof/>
            <w:webHidden/>
          </w:rPr>
          <w:instrText xml:space="preserve"> PAGEREF _Toc493158352 \h </w:instrText>
        </w:r>
        <w:r w:rsidR="000A7636">
          <w:rPr>
            <w:noProof/>
            <w:webHidden/>
          </w:rPr>
        </w:r>
        <w:r w:rsidR="000A7636">
          <w:rPr>
            <w:noProof/>
            <w:webHidden/>
          </w:rPr>
          <w:fldChar w:fldCharType="separate"/>
        </w:r>
        <w:r>
          <w:rPr>
            <w:noProof/>
            <w:webHidden/>
          </w:rPr>
          <w:t>59</w:t>
        </w:r>
        <w:r w:rsidR="000A7636">
          <w:rPr>
            <w:noProof/>
            <w:webHidden/>
          </w:rPr>
          <w:fldChar w:fldCharType="end"/>
        </w:r>
      </w:hyperlink>
    </w:p>
    <w:p w14:paraId="4B85A286" w14:textId="77777777" w:rsidR="000A7636" w:rsidRDefault="005933B0">
      <w:pPr>
        <w:pStyle w:val="TableofFigures"/>
        <w:tabs>
          <w:tab w:val="right" w:leader="dot" w:pos="9629"/>
        </w:tabs>
        <w:rPr>
          <w:rFonts w:asciiTheme="minorHAnsi" w:eastAsiaTheme="minorEastAsia" w:hAnsiTheme="minorHAnsi" w:cstheme="minorBidi"/>
          <w:noProof/>
          <w:sz w:val="22"/>
          <w:szCs w:val="22"/>
          <w:lang w:val="en-AU"/>
        </w:rPr>
      </w:pPr>
      <w:hyperlink w:anchor="_Toc493158353" w:history="1">
        <w:r w:rsidR="000A7636" w:rsidRPr="006333FC">
          <w:rPr>
            <w:rStyle w:val="Hyperlink"/>
            <w:noProof/>
          </w:rPr>
          <w:t>Figure 11: Predicting the LED depreciation rate for LED module at same drive current but different operating temperature</w:t>
        </w:r>
        <w:r w:rsidR="000A7636">
          <w:rPr>
            <w:noProof/>
            <w:webHidden/>
          </w:rPr>
          <w:tab/>
        </w:r>
        <w:r w:rsidR="000A7636">
          <w:rPr>
            <w:noProof/>
            <w:webHidden/>
          </w:rPr>
          <w:fldChar w:fldCharType="begin"/>
        </w:r>
        <w:r w:rsidR="000A7636">
          <w:rPr>
            <w:noProof/>
            <w:webHidden/>
          </w:rPr>
          <w:instrText xml:space="preserve"> PAGEREF _Toc493158353 \h </w:instrText>
        </w:r>
        <w:r w:rsidR="000A7636">
          <w:rPr>
            <w:noProof/>
            <w:webHidden/>
          </w:rPr>
        </w:r>
        <w:r w:rsidR="000A7636">
          <w:rPr>
            <w:noProof/>
            <w:webHidden/>
          </w:rPr>
          <w:fldChar w:fldCharType="separate"/>
        </w:r>
        <w:r>
          <w:rPr>
            <w:noProof/>
            <w:webHidden/>
          </w:rPr>
          <w:t>60</w:t>
        </w:r>
        <w:r w:rsidR="000A7636">
          <w:rPr>
            <w:noProof/>
            <w:webHidden/>
          </w:rPr>
          <w:fldChar w:fldCharType="end"/>
        </w:r>
      </w:hyperlink>
    </w:p>
    <w:p w14:paraId="60B8C525" w14:textId="77777777" w:rsidR="000A7636" w:rsidRDefault="005933B0">
      <w:pPr>
        <w:pStyle w:val="TableofFigures"/>
        <w:tabs>
          <w:tab w:val="right" w:leader="dot" w:pos="9629"/>
        </w:tabs>
        <w:rPr>
          <w:rFonts w:asciiTheme="minorHAnsi" w:eastAsiaTheme="minorEastAsia" w:hAnsiTheme="minorHAnsi" w:cstheme="minorBidi"/>
          <w:noProof/>
          <w:sz w:val="22"/>
          <w:szCs w:val="22"/>
          <w:lang w:val="en-AU"/>
        </w:rPr>
      </w:pPr>
      <w:hyperlink w:anchor="_Toc493158354" w:history="1">
        <w:r w:rsidR="000A7636" w:rsidRPr="006333FC">
          <w:rPr>
            <w:rStyle w:val="Hyperlink"/>
            <w:noProof/>
          </w:rPr>
          <w:t>Figure 12: Determining the lumen maintenance (L70) of LED module at fixed drive current by extrapolation</w:t>
        </w:r>
        <w:r w:rsidR="000A7636">
          <w:rPr>
            <w:noProof/>
            <w:webHidden/>
          </w:rPr>
          <w:tab/>
        </w:r>
        <w:r w:rsidR="000A7636">
          <w:rPr>
            <w:noProof/>
            <w:webHidden/>
          </w:rPr>
          <w:fldChar w:fldCharType="begin"/>
        </w:r>
        <w:r w:rsidR="000A7636">
          <w:rPr>
            <w:noProof/>
            <w:webHidden/>
          </w:rPr>
          <w:instrText xml:space="preserve"> PAGEREF _Toc493158354 \h </w:instrText>
        </w:r>
        <w:r w:rsidR="000A7636">
          <w:rPr>
            <w:noProof/>
            <w:webHidden/>
          </w:rPr>
        </w:r>
        <w:r w:rsidR="000A7636">
          <w:rPr>
            <w:noProof/>
            <w:webHidden/>
          </w:rPr>
          <w:fldChar w:fldCharType="separate"/>
        </w:r>
        <w:r>
          <w:rPr>
            <w:noProof/>
            <w:webHidden/>
          </w:rPr>
          <w:t>61</w:t>
        </w:r>
        <w:r w:rsidR="000A7636">
          <w:rPr>
            <w:noProof/>
            <w:webHidden/>
          </w:rPr>
          <w:fldChar w:fldCharType="end"/>
        </w:r>
      </w:hyperlink>
    </w:p>
    <w:p w14:paraId="2B700DCF" w14:textId="77777777" w:rsidR="000A7636" w:rsidRDefault="005933B0">
      <w:pPr>
        <w:pStyle w:val="TableofFigures"/>
        <w:tabs>
          <w:tab w:val="right" w:leader="dot" w:pos="9629"/>
        </w:tabs>
        <w:rPr>
          <w:rFonts w:asciiTheme="minorHAnsi" w:eastAsiaTheme="minorEastAsia" w:hAnsiTheme="minorHAnsi" w:cstheme="minorBidi"/>
          <w:noProof/>
          <w:sz w:val="22"/>
          <w:szCs w:val="22"/>
          <w:lang w:val="en-AU"/>
        </w:rPr>
      </w:pPr>
      <w:hyperlink w:anchor="_Toc493158355" w:history="1">
        <w:r w:rsidR="000A7636" w:rsidRPr="006333FC">
          <w:rPr>
            <w:rStyle w:val="Hyperlink"/>
            <w:noProof/>
          </w:rPr>
          <w:t>Figure 13: Determining the lumen maintenance (L70) of LED module at a different operating temperature but same drive current</w:t>
        </w:r>
        <w:r w:rsidR="000A7636">
          <w:rPr>
            <w:noProof/>
            <w:webHidden/>
          </w:rPr>
          <w:tab/>
        </w:r>
        <w:r w:rsidR="000A7636">
          <w:rPr>
            <w:noProof/>
            <w:webHidden/>
          </w:rPr>
          <w:fldChar w:fldCharType="begin"/>
        </w:r>
        <w:r w:rsidR="000A7636">
          <w:rPr>
            <w:noProof/>
            <w:webHidden/>
          </w:rPr>
          <w:instrText xml:space="preserve"> PAGEREF _Toc493158355 \h </w:instrText>
        </w:r>
        <w:r w:rsidR="000A7636">
          <w:rPr>
            <w:noProof/>
            <w:webHidden/>
          </w:rPr>
        </w:r>
        <w:r w:rsidR="000A7636">
          <w:rPr>
            <w:noProof/>
            <w:webHidden/>
          </w:rPr>
          <w:fldChar w:fldCharType="separate"/>
        </w:r>
        <w:r>
          <w:rPr>
            <w:noProof/>
            <w:webHidden/>
          </w:rPr>
          <w:t>61</w:t>
        </w:r>
        <w:r w:rsidR="000A7636">
          <w:rPr>
            <w:noProof/>
            <w:webHidden/>
          </w:rPr>
          <w:fldChar w:fldCharType="end"/>
        </w:r>
      </w:hyperlink>
    </w:p>
    <w:p w14:paraId="04CE9139" w14:textId="77777777" w:rsidR="000A7636" w:rsidRDefault="005933B0">
      <w:pPr>
        <w:pStyle w:val="TableofFigures"/>
        <w:tabs>
          <w:tab w:val="right" w:leader="dot" w:pos="9629"/>
        </w:tabs>
        <w:rPr>
          <w:rFonts w:asciiTheme="minorHAnsi" w:eastAsiaTheme="minorEastAsia" w:hAnsiTheme="minorHAnsi" w:cstheme="minorBidi"/>
          <w:noProof/>
          <w:sz w:val="22"/>
          <w:szCs w:val="22"/>
          <w:lang w:val="en-AU"/>
        </w:rPr>
      </w:pPr>
      <w:hyperlink w:anchor="_Toc493158356" w:history="1">
        <w:r w:rsidR="000A7636" w:rsidRPr="006333FC">
          <w:rPr>
            <w:rStyle w:val="Hyperlink"/>
            <w:noProof/>
          </w:rPr>
          <w:t>Figure 14: LED Package with TMP identified</w:t>
        </w:r>
        <w:r w:rsidR="000A7636">
          <w:rPr>
            <w:noProof/>
            <w:webHidden/>
          </w:rPr>
          <w:tab/>
        </w:r>
        <w:r w:rsidR="000A7636">
          <w:rPr>
            <w:noProof/>
            <w:webHidden/>
          </w:rPr>
          <w:fldChar w:fldCharType="begin"/>
        </w:r>
        <w:r w:rsidR="000A7636">
          <w:rPr>
            <w:noProof/>
            <w:webHidden/>
          </w:rPr>
          <w:instrText xml:space="preserve"> PAGEREF _Toc493158356 \h </w:instrText>
        </w:r>
        <w:r w:rsidR="000A7636">
          <w:rPr>
            <w:noProof/>
            <w:webHidden/>
          </w:rPr>
        </w:r>
        <w:r w:rsidR="000A7636">
          <w:rPr>
            <w:noProof/>
            <w:webHidden/>
          </w:rPr>
          <w:fldChar w:fldCharType="separate"/>
        </w:r>
        <w:r>
          <w:rPr>
            <w:noProof/>
            <w:webHidden/>
          </w:rPr>
          <w:t>64</w:t>
        </w:r>
        <w:r w:rsidR="000A7636">
          <w:rPr>
            <w:noProof/>
            <w:webHidden/>
          </w:rPr>
          <w:fldChar w:fldCharType="end"/>
        </w:r>
      </w:hyperlink>
    </w:p>
    <w:p w14:paraId="03A5F514" w14:textId="77777777" w:rsidR="000A7636" w:rsidRDefault="005933B0">
      <w:pPr>
        <w:pStyle w:val="TableofFigures"/>
        <w:tabs>
          <w:tab w:val="right" w:leader="dot" w:pos="9629"/>
        </w:tabs>
        <w:rPr>
          <w:rFonts w:asciiTheme="minorHAnsi" w:eastAsiaTheme="minorEastAsia" w:hAnsiTheme="minorHAnsi" w:cstheme="minorBidi"/>
          <w:noProof/>
          <w:sz w:val="22"/>
          <w:szCs w:val="22"/>
          <w:lang w:val="en-AU"/>
        </w:rPr>
      </w:pPr>
      <w:hyperlink w:anchor="_Toc493158357" w:history="1">
        <w:r w:rsidR="000A7636" w:rsidRPr="006333FC">
          <w:rPr>
            <w:rStyle w:val="Hyperlink"/>
            <w:noProof/>
          </w:rPr>
          <w:t>Figure 15: LED Module with TMP identified</w:t>
        </w:r>
        <w:r w:rsidR="000A7636">
          <w:rPr>
            <w:noProof/>
            <w:webHidden/>
          </w:rPr>
          <w:tab/>
        </w:r>
        <w:r w:rsidR="000A7636">
          <w:rPr>
            <w:noProof/>
            <w:webHidden/>
          </w:rPr>
          <w:fldChar w:fldCharType="begin"/>
        </w:r>
        <w:r w:rsidR="000A7636">
          <w:rPr>
            <w:noProof/>
            <w:webHidden/>
          </w:rPr>
          <w:instrText xml:space="preserve"> PAGEREF _Toc493158357 \h </w:instrText>
        </w:r>
        <w:r w:rsidR="000A7636">
          <w:rPr>
            <w:noProof/>
            <w:webHidden/>
          </w:rPr>
        </w:r>
        <w:r w:rsidR="000A7636">
          <w:rPr>
            <w:noProof/>
            <w:webHidden/>
          </w:rPr>
          <w:fldChar w:fldCharType="separate"/>
        </w:r>
        <w:r>
          <w:rPr>
            <w:noProof/>
            <w:webHidden/>
          </w:rPr>
          <w:t>64</w:t>
        </w:r>
        <w:r w:rsidR="000A7636">
          <w:rPr>
            <w:noProof/>
            <w:webHidden/>
          </w:rPr>
          <w:fldChar w:fldCharType="end"/>
        </w:r>
      </w:hyperlink>
    </w:p>
    <w:p w14:paraId="4F7A4E16" w14:textId="37AB2279" w:rsidR="00A37E0E" w:rsidRPr="00343437" w:rsidRDefault="003B6CE7" w:rsidP="002F6383">
      <w:pPr>
        <w:pStyle w:val="E3BodyText"/>
      </w:pPr>
      <w:r w:rsidRPr="000422D4">
        <w:fldChar w:fldCharType="end"/>
      </w:r>
    </w:p>
    <w:p w14:paraId="22127923" w14:textId="77777777" w:rsidR="00A37E0E" w:rsidRPr="00343437" w:rsidRDefault="00A37E0E" w:rsidP="002F6383">
      <w:pPr>
        <w:pStyle w:val="E3BodyText"/>
        <w:sectPr w:rsidR="00A37E0E" w:rsidRPr="00343437" w:rsidSect="009B52C2">
          <w:headerReference w:type="first" r:id="rId16"/>
          <w:footerReference w:type="first" r:id="rId17"/>
          <w:pgSz w:w="11907" w:h="16840" w:code="9"/>
          <w:pgMar w:top="1134" w:right="1134" w:bottom="1418" w:left="1134" w:header="709" w:footer="709" w:gutter="0"/>
          <w:pgNumType w:fmt="lowerRoman"/>
          <w:cols w:space="720"/>
          <w:titlePg/>
          <w:docGrid w:linePitch="360"/>
        </w:sectPr>
      </w:pPr>
    </w:p>
    <w:p w14:paraId="39BDF0B5" w14:textId="1D6F992C" w:rsidR="003C469D" w:rsidRPr="00343437" w:rsidRDefault="00BF480E" w:rsidP="00BF480E">
      <w:pPr>
        <w:pStyle w:val="E3ChapterTitle"/>
        <w:sectPr w:rsidR="003C469D" w:rsidRPr="00343437" w:rsidSect="003C469D">
          <w:headerReference w:type="default" r:id="rId18"/>
          <w:footerReference w:type="first" r:id="rId19"/>
          <w:pgSz w:w="11907" w:h="16840" w:code="9"/>
          <w:pgMar w:top="1134" w:right="1134" w:bottom="1418" w:left="1134" w:header="709" w:footer="709" w:gutter="0"/>
          <w:cols w:space="720"/>
          <w:titlePg/>
          <w:docGrid w:linePitch="360"/>
        </w:sectPr>
      </w:pPr>
      <w:bookmarkStart w:id="4" w:name="_Toc493159037"/>
      <w:r>
        <w:t>Updated policy proposals</w:t>
      </w:r>
      <w:bookmarkEnd w:id="4"/>
    </w:p>
    <w:p w14:paraId="46C8240C" w14:textId="2639F956" w:rsidR="00414D80" w:rsidRPr="00343437" w:rsidRDefault="00414D80" w:rsidP="00414D80">
      <w:pPr>
        <w:pStyle w:val="E3Heading1"/>
      </w:pPr>
      <w:bookmarkStart w:id="5" w:name="_Toc493159038"/>
      <w:r w:rsidRPr="00343437">
        <w:t>Introduction</w:t>
      </w:r>
      <w:bookmarkEnd w:id="5"/>
    </w:p>
    <w:p w14:paraId="071BC777" w14:textId="77777777" w:rsidR="00414D80" w:rsidRPr="00343437" w:rsidRDefault="00414D80" w:rsidP="002F6383">
      <w:pPr>
        <w:pStyle w:val="E3BodyText"/>
      </w:pPr>
      <w:r w:rsidRPr="00343437">
        <w:t xml:space="preserve">The Equipment Energy Efficiency (E3) </w:t>
      </w:r>
      <w:r w:rsidR="00CD0832">
        <w:t>Program</w:t>
      </w:r>
      <w:r w:rsidRPr="00343437">
        <w:t xml:space="preserve"> published a Consultation Regulation Impact Statement (CRIS) in</w:t>
      </w:r>
      <w:r w:rsidR="00CD0832">
        <w:t xml:space="preserve"> November</w:t>
      </w:r>
      <w:r w:rsidRPr="00343437">
        <w:t xml:space="preserve"> 2016 that outlined policy options to </w:t>
      </w:r>
      <w:r w:rsidR="00210DFD">
        <w:t>improve the energy efficiency of residential and commercial lighting in Australia and New Zealand</w:t>
      </w:r>
      <w:r w:rsidRPr="00343437">
        <w:t xml:space="preserve">. For additional details and background on the proposals discussed in this paper, refer to the CRIS which is at available at </w:t>
      </w:r>
      <w:r w:rsidR="003C626A" w:rsidRPr="00343437">
        <w:t xml:space="preserve">the </w:t>
      </w:r>
      <w:hyperlink r:id="rId20" w:history="1">
        <w:r w:rsidR="003C626A" w:rsidRPr="00343437">
          <w:rPr>
            <w:rStyle w:val="Hyperlink"/>
          </w:rPr>
          <w:t>Energy Rating</w:t>
        </w:r>
      </w:hyperlink>
      <w:r w:rsidR="003C626A" w:rsidRPr="00343437">
        <w:t xml:space="preserve"> website</w:t>
      </w:r>
      <w:r w:rsidRPr="00343437">
        <w:t>.</w:t>
      </w:r>
    </w:p>
    <w:p w14:paraId="4FBFD14F" w14:textId="45251162" w:rsidR="00414D80" w:rsidRPr="00AE4F4A" w:rsidRDefault="00414D80" w:rsidP="00AE4F4A">
      <w:pPr>
        <w:pStyle w:val="E3BodyText"/>
      </w:pPr>
      <w:r w:rsidRPr="00AE4F4A">
        <w:t xml:space="preserve">Stakeholder consultation sessions on the </w:t>
      </w:r>
      <w:r w:rsidR="00886A47" w:rsidRPr="00AE4F4A">
        <w:t>C</w:t>
      </w:r>
      <w:r w:rsidRPr="00AE4F4A">
        <w:t>RIS were held in Sydney, Melbourne, Brisbane, Adelaide,</w:t>
      </w:r>
      <w:r w:rsidR="00210DFD" w:rsidRPr="00AE4F4A">
        <w:t xml:space="preserve"> Perth and </w:t>
      </w:r>
      <w:r w:rsidR="00A56187" w:rsidRPr="00AE4F4A">
        <w:t xml:space="preserve">Auckland </w:t>
      </w:r>
      <w:r w:rsidR="00210DFD" w:rsidRPr="00AE4F4A">
        <w:t>between 31 January and 13</w:t>
      </w:r>
      <w:r w:rsidRPr="00AE4F4A">
        <w:t xml:space="preserve"> February 201</w:t>
      </w:r>
      <w:r w:rsidR="00210DFD" w:rsidRPr="00AE4F4A">
        <w:t xml:space="preserve">7, and </w:t>
      </w:r>
      <w:r w:rsidR="00997A91" w:rsidRPr="00AE4F4A">
        <w:t xml:space="preserve">a </w:t>
      </w:r>
      <w:r w:rsidR="00210DFD" w:rsidRPr="00AE4F4A">
        <w:t>webinar was held on 24 February</w:t>
      </w:r>
      <w:r w:rsidRPr="00AE4F4A">
        <w:t xml:space="preserve">. </w:t>
      </w:r>
      <w:r w:rsidR="00210DFD" w:rsidRPr="00AE4F4A">
        <w:t xml:space="preserve">Around </w:t>
      </w:r>
      <w:r w:rsidR="005E1D97" w:rsidRPr="00AE4F4A">
        <w:t>100</w:t>
      </w:r>
      <w:r w:rsidRPr="00AE4F4A">
        <w:t xml:space="preserve"> stakeholders attended </w:t>
      </w:r>
      <w:r w:rsidR="005E1D97" w:rsidRPr="00AE4F4A">
        <w:t>the consultation sessions, with 22</w:t>
      </w:r>
      <w:r w:rsidRPr="00AE4F4A">
        <w:t xml:space="preserve"> written sub</w:t>
      </w:r>
      <w:r w:rsidR="00941653" w:rsidRPr="00AE4F4A">
        <w:t>missions received in response.</w:t>
      </w:r>
    </w:p>
    <w:p w14:paraId="0CCD9C91" w14:textId="5912F3FF" w:rsidR="00414D80" w:rsidRPr="00AE4F4A" w:rsidRDefault="00414D80" w:rsidP="00AE4F4A">
      <w:pPr>
        <w:pStyle w:val="E3BodyText"/>
      </w:pPr>
      <w:r w:rsidRPr="00AE4F4A">
        <w:t xml:space="preserve">The submissions provided policy input and technical information about the CRIS proposals. </w:t>
      </w:r>
      <w:r w:rsidR="00997A91" w:rsidRPr="00AE4F4A">
        <w:t xml:space="preserve">Since then, further consultation has been underway with stakeholders to clarify and explore the issues raised. </w:t>
      </w:r>
      <w:r w:rsidRPr="00AE4F4A">
        <w:t>This position paper responds to the feedback received.</w:t>
      </w:r>
      <w:r w:rsidR="0035465E" w:rsidRPr="00AE4F4A">
        <w:t xml:space="preserve"> It should be considered in conjunction with the CRIS and not as a standalone document.</w:t>
      </w:r>
      <w:r w:rsidRPr="00AE4F4A">
        <w:t xml:space="preserve"> </w:t>
      </w:r>
      <w:r w:rsidR="0035465E" w:rsidRPr="00AE4F4A">
        <w:t>It</w:t>
      </w:r>
      <w:r w:rsidRPr="00AE4F4A">
        <w:t xml:space="preserve"> provides stakeholders with the opportunity to provide further feedback</w:t>
      </w:r>
      <w:r w:rsidR="00941653" w:rsidRPr="00AE4F4A">
        <w:t>,</w:t>
      </w:r>
      <w:r w:rsidRPr="00AE4F4A">
        <w:t xml:space="preserve"> where the proposals have been modified, are not recommended to continue, and where additional </w:t>
      </w:r>
      <w:r w:rsidR="00941653" w:rsidRPr="00AE4F4A">
        <w:t>input or information is sought.</w:t>
      </w:r>
    </w:p>
    <w:p w14:paraId="46FC2A7C" w14:textId="1C96AC8D" w:rsidR="00E96948" w:rsidRPr="00AE4F4A" w:rsidRDefault="00414D80" w:rsidP="00AE4F4A">
      <w:pPr>
        <w:pStyle w:val="E3BodyText"/>
      </w:pPr>
      <w:r w:rsidRPr="00AE4F4A">
        <w:t>Any feedback on this paper will inform preparation of the Decision RIS</w:t>
      </w:r>
      <w:r w:rsidR="006D77C1" w:rsidRPr="00AE4F4A">
        <w:t xml:space="preserve"> (DRIS)</w:t>
      </w:r>
      <w:r w:rsidRPr="00AE4F4A">
        <w:t xml:space="preserve">. The </w:t>
      </w:r>
      <w:r w:rsidR="006D77C1" w:rsidRPr="00AE4F4A">
        <w:t>DR</w:t>
      </w:r>
      <w:r w:rsidRPr="00AE4F4A">
        <w:t xml:space="preserve">IS will be submitted to the </w:t>
      </w:r>
      <w:r w:rsidR="00CC610D" w:rsidRPr="00AE4F4A">
        <w:t xml:space="preserve">Council of Australian Governments’ </w:t>
      </w:r>
      <w:r w:rsidR="006D77C1" w:rsidRPr="00AE4F4A">
        <w:t xml:space="preserve">(COAGs) </w:t>
      </w:r>
      <w:r w:rsidRPr="00AE4F4A">
        <w:t xml:space="preserve">Energy Council and </w:t>
      </w:r>
      <w:r w:rsidR="00941653" w:rsidRPr="00AE4F4A">
        <w:t xml:space="preserve">the </w:t>
      </w:r>
      <w:r w:rsidRPr="00AE4F4A">
        <w:t xml:space="preserve">New Zealand Government for a decision about whether to implement any of the policy proposals and update </w:t>
      </w:r>
      <w:r w:rsidR="00210DFD" w:rsidRPr="00AE4F4A">
        <w:t xml:space="preserve">and introduce new </w:t>
      </w:r>
      <w:r w:rsidRPr="00AE4F4A">
        <w:t xml:space="preserve">energy efficiency regulations for </w:t>
      </w:r>
      <w:r w:rsidR="00210DFD" w:rsidRPr="00AE4F4A">
        <w:t>lighting products</w:t>
      </w:r>
      <w:r w:rsidRPr="00AE4F4A">
        <w:t>.</w:t>
      </w:r>
      <w:r w:rsidR="00986640" w:rsidRPr="00AE4F4A">
        <w:t xml:space="preserve"> The </w:t>
      </w:r>
      <w:r w:rsidR="006D77C1" w:rsidRPr="00AE4F4A">
        <w:t>D</w:t>
      </w:r>
      <w:r w:rsidR="00986640" w:rsidRPr="00AE4F4A">
        <w:t xml:space="preserve">RIS is expected to be considered by </w:t>
      </w:r>
      <w:r w:rsidR="006D77C1" w:rsidRPr="00AE4F4A">
        <w:t xml:space="preserve">Energy </w:t>
      </w:r>
      <w:r w:rsidR="00986640" w:rsidRPr="00AE4F4A">
        <w:t xml:space="preserve">Ministers at the </w:t>
      </w:r>
      <w:r w:rsidR="00A715C4" w:rsidRPr="00AE4F4A">
        <w:t>November</w:t>
      </w:r>
      <w:r w:rsidR="00986640" w:rsidRPr="00AE4F4A">
        <w:t xml:space="preserve"> 2017 meeting.</w:t>
      </w:r>
    </w:p>
    <w:p w14:paraId="52F6BFA5" w14:textId="77777777" w:rsidR="00426210" w:rsidRPr="00AE4F4A" w:rsidRDefault="00426210" w:rsidP="00AE4F4A">
      <w:pPr>
        <w:pStyle w:val="E3BodyText"/>
      </w:pPr>
      <w:r w:rsidRPr="00AE4F4A">
        <w:t>Changes to</w:t>
      </w:r>
      <w:r w:rsidR="00210DFD" w:rsidRPr="00AE4F4A">
        <w:t xml:space="preserve"> energy efficiency</w:t>
      </w:r>
      <w:r w:rsidRPr="00AE4F4A">
        <w:t xml:space="preserve"> regulations are under consideration because:</w:t>
      </w:r>
    </w:p>
    <w:p w14:paraId="5F230CA8" w14:textId="16936C22" w:rsidR="00210DFD" w:rsidRPr="0047478F" w:rsidRDefault="00210DFD" w:rsidP="002F6383">
      <w:pPr>
        <w:pStyle w:val="E3Bullets"/>
      </w:pPr>
      <w:r w:rsidRPr="0047478F">
        <w:t xml:space="preserve">Consumers </w:t>
      </w:r>
      <w:r w:rsidR="00264D8F">
        <w:t xml:space="preserve">are </w:t>
      </w:r>
      <w:r w:rsidRPr="0047478F">
        <w:t>being exposed to inferior LED products that are negatively impacting on consumer confidence and uptake of this more efficient technology</w:t>
      </w:r>
      <w:r w:rsidR="00545CDA">
        <w:t>,</w:t>
      </w:r>
      <w:r w:rsidR="00264D8F">
        <w:t xml:space="preserve"> reducing potential energy savings and reduction in emissions</w:t>
      </w:r>
    </w:p>
    <w:p w14:paraId="5EA98290" w14:textId="77777777" w:rsidR="00210DFD" w:rsidRPr="0047478F" w:rsidRDefault="00210DFD" w:rsidP="002F6383">
      <w:pPr>
        <w:pStyle w:val="E3Bullets"/>
      </w:pPr>
      <w:r>
        <w:t>Minimum energy performance standards (MEPS)</w:t>
      </w:r>
      <w:r w:rsidRPr="0047478F">
        <w:t xml:space="preserve"> have not kept pace with improvements in lighting technology and international best practice and therefore are no longer achieving their purpose of removing the least efficient lamps from the market</w:t>
      </w:r>
    </w:p>
    <w:p w14:paraId="2802BFFB" w14:textId="77777777" w:rsidR="00210DFD" w:rsidRDefault="00210DFD" w:rsidP="002F6383">
      <w:pPr>
        <w:pStyle w:val="E3Bullets"/>
      </w:pPr>
      <w:r w:rsidRPr="005C3BA9">
        <w:t>Imperfect information</w:t>
      </w:r>
      <w:r>
        <w:t>, combined with an increased diversity of lighting alternatives,</w:t>
      </w:r>
      <w:r w:rsidRPr="005C3BA9">
        <w:t xml:space="preserve"> </w:t>
      </w:r>
      <w:r>
        <w:t xml:space="preserve">that </w:t>
      </w:r>
      <w:r w:rsidRPr="005C3BA9">
        <w:t>makes it difficult for consumers to meaningfully compare the energy efficiency, quality and perfo</w:t>
      </w:r>
      <w:r>
        <w:t>rmance of lighting technologies or be motivated to do so given the low purchase price</w:t>
      </w:r>
    </w:p>
    <w:p w14:paraId="0C8BC8B8" w14:textId="25EFEBCA" w:rsidR="00210DFD" w:rsidRDefault="00210DFD" w:rsidP="002F6383">
      <w:pPr>
        <w:pStyle w:val="E3Bullets"/>
      </w:pPr>
      <w:r>
        <w:t>S</w:t>
      </w:r>
      <w:r w:rsidRPr="00B539E5">
        <w:t>plit incentives whereby commercial and rental property owners</w:t>
      </w:r>
      <w:r>
        <w:t xml:space="preserve"> and some builders</w:t>
      </w:r>
      <w:r w:rsidRPr="00B539E5">
        <w:t xml:space="preserve"> have no incentive to purchase more efficient</w:t>
      </w:r>
      <w:r w:rsidR="00882CA2">
        <w:t>,</w:t>
      </w:r>
      <w:r w:rsidR="00545CDA">
        <w:t xml:space="preserve"> </w:t>
      </w:r>
      <w:r w:rsidR="00882CA2">
        <w:t xml:space="preserve">higher </w:t>
      </w:r>
      <w:r w:rsidR="00545CDA">
        <w:t>quality</w:t>
      </w:r>
      <w:r w:rsidR="00882CA2">
        <w:t>,</w:t>
      </w:r>
      <w:r w:rsidR="00545CDA">
        <w:t xml:space="preserve"> </w:t>
      </w:r>
      <w:r w:rsidRPr="00B539E5">
        <w:t>but higher upfront cost products as there is no incentive for th</w:t>
      </w:r>
      <w:r>
        <w:t>em to reduce electricity or replacement costs.</w:t>
      </w:r>
    </w:p>
    <w:p w14:paraId="699FE7B9" w14:textId="44357E7D" w:rsidR="005D4B5B" w:rsidRPr="00B379DF" w:rsidRDefault="00C11DB6" w:rsidP="002F6383">
      <w:pPr>
        <w:pStyle w:val="E3BodyText"/>
      </w:pPr>
      <w:r w:rsidRPr="00343437">
        <w:t xml:space="preserve">E3 would </w:t>
      </w:r>
      <w:r w:rsidRPr="00545CDA">
        <w:t xml:space="preserve">appreciate any feedback you have on the policy proposals in this paper. </w:t>
      </w:r>
      <w:r w:rsidR="005D4B5B" w:rsidRPr="00545CDA">
        <w:t xml:space="preserve">The closing date for written submissions is </w:t>
      </w:r>
      <w:r w:rsidR="00DB3A87">
        <w:rPr>
          <w:b/>
        </w:rPr>
        <w:t>12</w:t>
      </w:r>
      <w:r w:rsidR="00C053D2">
        <w:rPr>
          <w:b/>
        </w:rPr>
        <w:t xml:space="preserve"> October</w:t>
      </w:r>
      <w:r w:rsidR="00CF1134" w:rsidRPr="00545CDA">
        <w:rPr>
          <w:b/>
        </w:rPr>
        <w:t xml:space="preserve"> </w:t>
      </w:r>
      <w:r w:rsidR="005D4B5B" w:rsidRPr="00545CDA">
        <w:rPr>
          <w:b/>
        </w:rPr>
        <w:t>2017</w:t>
      </w:r>
      <w:r w:rsidR="005D4B5B" w:rsidRPr="00545CDA">
        <w:t>. Submissions</w:t>
      </w:r>
      <w:r w:rsidR="005D4B5B">
        <w:t xml:space="preserve"> should include the subject ‘</w:t>
      </w:r>
      <w:r w:rsidR="00210DFD">
        <w:t>Lighting</w:t>
      </w:r>
      <w:r w:rsidR="003B4385">
        <w:t xml:space="preserve"> – Updated policy positions</w:t>
      </w:r>
      <w:r w:rsidR="005D4B5B">
        <w:t xml:space="preserve">’ </w:t>
      </w:r>
      <w:r w:rsidR="00A9272B">
        <w:t xml:space="preserve">and </w:t>
      </w:r>
      <w:r w:rsidR="005D4B5B">
        <w:t xml:space="preserve">be sent via email to </w:t>
      </w:r>
      <w:hyperlink r:id="rId21" w:tooltip="EERLighting@environment.gov.au" w:history="1">
        <w:r w:rsidR="00BD2A26" w:rsidRPr="005C1ED2">
          <w:rPr>
            <w:rStyle w:val="Hyperlink"/>
          </w:rPr>
          <w:t>EERLighting@environment.gov.au</w:t>
        </w:r>
      </w:hyperlink>
      <w:r w:rsidR="005D4B5B">
        <w:t xml:space="preserve"> for Australia or to </w:t>
      </w:r>
      <w:hyperlink r:id="rId22" w:history="1">
        <w:r w:rsidR="00BD2A26" w:rsidRPr="00471202">
          <w:rPr>
            <w:rStyle w:val="Hyperlink"/>
          </w:rPr>
          <w:t>regs@eeca.govt.nz</w:t>
        </w:r>
      </w:hyperlink>
      <w:r w:rsidR="005D4B5B">
        <w:t xml:space="preserve"> </w:t>
      </w:r>
      <w:r w:rsidR="005D4B5B" w:rsidRPr="00B379DF">
        <w:t xml:space="preserve">for New Zealand. </w:t>
      </w:r>
      <w:r w:rsidR="00DE26D4" w:rsidRPr="00B379DF">
        <w:t>Submissions will be published unless otherwise requested.</w:t>
      </w:r>
    </w:p>
    <w:p w14:paraId="36899CD8" w14:textId="77777777" w:rsidR="00C11DB6" w:rsidRPr="00B379DF" w:rsidRDefault="00C11DB6" w:rsidP="002F6383">
      <w:pPr>
        <w:pStyle w:val="E3BodyText"/>
      </w:pPr>
      <w:r w:rsidRPr="00B379DF">
        <w:t>Broad questions stakeholders may wish to consider</w:t>
      </w:r>
      <w:r w:rsidR="00950565" w:rsidRPr="00B379DF">
        <w:t xml:space="preserve"> in providing feedback include:</w:t>
      </w:r>
    </w:p>
    <w:p w14:paraId="5852CEE1" w14:textId="45A61935" w:rsidR="00C11DB6" w:rsidRPr="00B379DF" w:rsidRDefault="00C11DB6" w:rsidP="002F6383">
      <w:pPr>
        <w:pStyle w:val="E3Bullets"/>
      </w:pPr>
      <w:r w:rsidRPr="00B379DF">
        <w:t xml:space="preserve">Are there any implementation barriers or possible unintended consequences </w:t>
      </w:r>
      <w:r w:rsidR="00950565" w:rsidRPr="00B379DF">
        <w:t>of</w:t>
      </w:r>
      <w:r w:rsidRPr="00B379DF">
        <w:t xml:space="preserve"> any of the policy positions or proposals under consideration</w:t>
      </w:r>
      <w:r w:rsidR="00894A05">
        <w:t>?</w:t>
      </w:r>
    </w:p>
    <w:p w14:paraId="7BD7615B" w14:textId="27ED6062" w:rsidR="00C11DB6" w:rsidRPr="00B379DF" w:rsidRDefault="00C11DB6" w:rsidP="002F6383">
      <w:pPr>
        <w:pStyle w:val="E3Bullets"/>
      </w:pPr>
      <w:r w:rsidRPr="00B379DF">
        <w:t xml:space="preserve">Is the analysis of the policy proposals </w:t>
      </w:r>
      <w:r w:rsidR="006C5B47" w:rsidRPr="00B379DF">
        <w:t>considered reasonable, including</w:t>
      </w:r>
      <w:r w:rsidR="00B379DF" w:rsidRPr="00B379DF">
        <w:t xml:space="preserve"> data and</w:t>
      </w:r>
      <w:r w:rsidR="006C5B47" w:rsidRPr="00B379DF">
        <w:t xml:space="preserve"> assumptions </w:t>
      </w:r>
      <w:r w:rsidR="00B379DF" w:rsidRPr="00B379DF">
        <w:t>used?</w:t>
      </w:r>
      <w:r w:rsidR="00894A05">
        <w:t xml:space="preserve"> </w:t>
      </w:r>
    </w:p>
    <w:p w14:paraId="10BED52D" w14:textId="77777777" w:rsidR="00C11DB6" w:rsidRPr="00B379DF" w:rsidRDefault="00C11DB6" w:rsidP="002F6383">
      <w:pPr>
        <w:pStyle w:val="E3Bullets"/>
      </w:pPr>
      <w:r w:rsidRPr="00B379DF">
        <w:t xml:space="preserve">Will the proposals have any adverse </w:t>
      </w:r>
      <w:r w:rsidR="00DE4BF2" w:rsidRPr="00B379DF">
        <w:t>effects</w:t>
      </w:r>
      <w:r w:rsidRPr="00B379DF">
        <w:t xml:space="preserve"> that have</w:t>
      </w:r>
      <w:r w:rsidR="00DB06C1" w:rsidRPr="00B379DF">
        <w:t xml:space="preserve"> </w:t>
      </w:r>
      <w:r w:rsidRPr="00B379DF">
        <w:t>n</w:t>
      </w:r>
      <w:r w:rsidR="00DB06C1" w:rsidRPr="00B379DF">
        <w:t>o</w:t>
      </w:r>
      <w:r w:rsidRPr="00B379DF">
        <w:t>t been considered?</w:t>
      </w:r>
    </w:p>
    <w:p w14:paraId="58975BBA" w14:textId="54C0000B" w:rsidR="00894A05" w:rsidRDefault="00894A05" w:rsidP="002F6383">
      <w:pPr>
        <w:pStyle w:val="E3BodyText"/>
      </w:pPr>
      <w:r>
        <w:t>In providing feedback, please be specific by clearly outlining the rationale of any concerns, suggested amendments and evidence to support alternative positions posed.</w:t>
      </w:r>
    </w:p>
    <w:p w14:paraId="0404CF3B" w14:textId="77777777" w:rsidR="00C11DB6" w:rsidRPr="00343437" w:rsidRDefault="00C11DB6" w:rsidP="002F6383">
      <w:pPr>
        <w:pStyle w:val="E3BodyText"/>
      </w:pPr>
      <w:r w:rsidRPr="00343437">
        <w:t>Questions about specific or technical issues are included in the r</w:t>
      </w:r>
      <w:r w:rsidR="00950565">
        <w:t>elevant section of the paper.</w:t>
      </w:r>
    </w:p>
    <w:p w14:paraId="478EC088" w14:textId="77777777" w:rsidR="00336559" w:rsidRDefault="00336559">
      <w:pPr>
        <w:spacing w:after="0" w:line="240" w:lineRule="auto"/>
        <w:rPr>
          <w:rFonts w:ascii="Helvetica" w:hAnsi="Helvetica" w:cs="Helvetica"/>
          <w:b/>
          <w:sz w:val="40"/>
          <w:szCs w:val="40"/>
        </w:rPr>
      </w:pPr>
      <w:r>
        <w:br w:type="page"/>
      </w:r>
    </w:p>
    <w:p w14:paraId="4A7D00CA" w14:textId="52B498FB" w:rsidR="002063EC" w:rsidRDefault="002063EC" w:rsidP="002063EC">
      <w:pPr>
        <w:pStyle w:val="E3Heading1"/>
      </w:pPr>
      <w:bookmarkStart w:id="6" w:name="_Toc493159039"/>
      <w:r>
        <w:t>Consultation RIS – updated proposals</w:t>
      </w:r>
      <w:bookmarkEnd w:id="6"/>
    </w:p>
    <w:p w14:paraId="389427FD" w14:textId="51F61E78" w:rsidR="00336559" w:rsidRPr="00336559" w:rsidRDefault="00336559" w:rsidP="00AE4F4A">
      <w:pPr>
        <w:pStyle w:val="E3BodyText"/>
      </w:pPr>
      <w:r w:rsidRPr="00336559">
        <w:t xml:space="preserve">For Australia, the preferred option presented in the CRIS was Option F that included introduction of </w:t>
      </w:r>
      <w:r w:rsidR="00AA4C6F">
        <w:t>MEPS</w:t>
      </w:r>
      <w:r w:rsidRPr="00336559">
        <w:t xml:space="preserve"> for light-emitting diode (LED) lamps, LED luminaires and non-integrated commercial luminaires; and increasing incandescent MEPS to phase out remaining incandescent and halogen lighting.  </w:t>
      </w:r>
    </w:p>
    <w:p w14:paraId="3D621961" w14:textId="09EF9886" w:rsidR="00421346" w:rsidRDefault="00336559" w:rsidP="00AE4F4A">
      <w:pPr>
        <w:pStyle w:val="E3BodyText"/>
      </w:pPr>
      <w:r w:rsidRPr="00336559">
        <w:t xml:space="preserve">For New Zealand, the preferred option presented in the CRIS was introduction of </w:t>
      </w:r>
      <w:r w:rsidR="00AA4C6F">
        <w:t xml:space="preserve">MEPS </w:t>
      </w:r>
      <w:r w:rsidRPr="00336559">
        <w:t>for LED lamps, LED luminaires and non-integrated commercial luminaires</w:t>
      </w:r>
      <w:r w:rsidR="00F82527">
        <w:t xml:space="preserve"> (Option B)</w:t>
      </w:r>
      <w:r w:rsidRPr="00336559">
        <w:t>.</w:t>
      </w:r>
    </w:p>
    <w:p w14:paraId="6D60F5DC" w14:textId="2A8477D6" w:rsidR="00421346" w:rsidRPr="006D77C1" w:rsidRDefault="003543AA" w:rsidP="00AE4F4A">
      <w:pPr>
        <w:pStyle w:val="E3BodyText"/>
      </w:pPr>
      <w:r w:rsidRPr="003543AA">
        <w:fldChar w:fldCharType="begin"/>
      </w:r>
      <w:r w:rsidRPr="003543AA">
        <w:instrText xml:space="preserve"> REF _Ref493073720 \h  \* MERGEFORMAT </w:instrText>
      </w:r>
      <w:r w:rsidRPr="003543AA">
        <w:fldChar w:fldCharType="separate"/>
      </w:r>
      <w:r w:rsidR="005933B0">
        <w:t>Table 1</w:t>
      </w:r>
      <w:r w:rsidRPr="003543AA">
        <w:fldChar w:fldCharType="end"/>
      </w:r>
      <w:r w:rsidR="00421346" w:rsidRPr="006D77C1">
        <w:t xml:space="preserve"> below shows changes to the CRIS policy proposals based on stakeholder feedback. New and altered policies are marked in red and eliminated options crossed out. High level reasons for the changes are outlined in this section to provide an overview of the feedback received and E3’s position (whether unchanged or revised), with the attachments exploring each option and technical detail</w:t>
      </w:r>
      <w:r w:rsidR="00421346">
        <w:t>s</w:t>
      </w:r>
      <w:r w:rsidR="00421346" w:rsidRPr="006D77C1">
        <w:t>.</w:t>
      </w:r>
    </w:p>
    <w:p w14:paraId="3BC4DBC1" w14:textId="7FBE0AFB" w:rsidR="00421346" w:rsidRDefault="00421346" w:rsidP="00AE4F4A">
      <w:pPr>
        <w:pStyle w:val="E3BodyText"/>
      </w:pPr>
      <w:r w:rsidRPr="005B5B86">
        <w:t>In summary, for Australia the preferred option is to introduce MEPS for LED lamps (March 2019), phase out halogen light bulbs (excluding downlights)</w:t>
      </w:r>
      <w:r w:rsidR="001A0D79">
        <w:t xml:space="preserve"> </w:t>
      </w:r>
      <w:r w:rsidRPr="005B5B86">
        <w:t xml:space="preserve">(October 2019) and make changes to the </w:t>
      </w:r>
      <w:r w:rsidRPr="00444428">
        <w:rPr>
          <w:i/>
        </w:rPr>
        <w:t xml:space="preserve">Greenhouse and Energy Minimum Standards (GEMS) Act </w:t>
      </w:r>
      <w:r w:rsidRPr="005B5B86">
        <w:t>to facilitate MEPS on LED luminaires</w:t>
      </w:r>
      <w:r>
        <w:t xml:space="preserve"> to allow the phase out of halogen downlights (anticipated by 2021).</w:t>
      </w:r>
    </w:p>
    <w:p w14:paraId="0A2F4512" w14:textId="77777777" w:rsidR="00421346" w:rsidRPr="005B5B86" w:rsidRDefault="00421346" w:rsidP="00AE4F4A">
      <w:pPr>
        <w:pStyle w:val="E3BodyText"/>
      </w:pPr>
      <w:r w:rsidRPr="005B5B86">
        <w:t xml:space="preserve">Changes to the GEMS Act will be considered as part of the GEMS Legislative Review project which is scheduled to commence in late 2017.  </w:t>
      </w:r>
    </w:p>
    <w:p w14:paraId="527981BB" w14:textId="3013FD77" w:rsidR="00421346" w:rsidRDefault="00421346" w:rsidP="00AE4F4A">
      <w:pPr>
        <w:pStyle w:val="E3BodyText"/>
      </w:pPr>
      <w:r w:rsidRPr="005B5B86">
        <w:t>In parallel with this review and legislative change, a Lighting CRIS will be released to consult on the proposed LED MEPS</w:t>
      </w:r>
      <w:r>
        <w:t xml:space="preserve"> for luminaires and the </w:t>
      </w:r>
      <w:r w:rsidRPr="005B5B86">
        <w:t xml:space="preserve">phase out of </w:t>
      </w:r>
      <w:r>
        <w:t>mains voltage and low voltage halogen downlights</w:t>
      </w:r>
      <w:r w:rsidRPr="005B5B86">
        <w:t>. The Lighting DRIS and associated determinations for this second stage are ant</w:t>
      </w:r>
      <w:r>
        <w:t>icipated to be in place by</w:t>
      </w:r>
      <w:r w:rsidRPr="005B5B86">
        <w:t xml:space="preserve"> </w:t>
      </w:r>
      <w:r w:rsidRPr="00D50CC1">
        <w:t>2020, commencing in 2021.</w:t>
      </w:r>
    </w:p>
    <w:p w14:paraId="776EB69F" w14:textId="7835CF20" w:rsidR="00421346" w:rsidRPr="0027504F" w:rsidRDefault="00421346" w:rsidP="0027504F">
      <w:pPr>
        <w:pStyle w:val="E3BodyText"/>
      </w:pPr>
      <w:r>
        <w:t>For New Zealand, the preferred option is to introduce MEPS for LED lamps (March 2019). As a second stage, New Zealand also proposes to introduce MEPS on LED luminaires aro</w:t>
      </w:r>
      <w:r w:rsidR="0027504F">
        <w:t>und the same time as Australia.</w:t>
      </w:r>
    </w:p>
    <w:p w14:paraId="0EC83F28" w14:textId="581ADCD3" w:rsidR="000A1B75" w:rsidRDefault="000A1B75" w:rsidP="000A1B75">
      <w:pPr>
        <w:pStyle w:val="Caption"/>
        <w:keepNext/>
      </w:pPr>
      <w:bookmarkStart w:id="7" w:name="_Ref493073720"/>
      <w:bookmarkStart w:id="8" w:name="_Toc493158333"/>
      <w:r>
        <w:t xml:space="preserve">Table </w:t>
      </w:r>
      <w:r>
        <w:fldChar w:fldCharType="begin"/>
      </w:r>
      <w:r>
        <w:instrText xml:space="preserve"> SEQ Table \* ARABIC </w:instrText>
      </w:r>
      <w:r>
        <w:fldChar w:fldCharType="separate"/>
      </w:r>
      <w:r w:rsidR="005933B0">
        <w:t>1</w:t>
      </w:r>
      <w:r>
        <w:fldChar w:fldCharType="end"/>
      </w:r>
      <w:bookmarkEnd w:id="7"/>
      <w:r>
        <w:t xml:space="preserve">: </w:t>
      </w:r>
      <w:r w:rsidRPr="000A1B75">
        <w:t>Policy options</w:t>
      </w:r>
      <w:bookmarkEnd w:id="8"/>
    </w:p>
    <w:tbl>
      <w:tblPr>
        <w:tblStyle w:val="TableGrid"/>
        <w:tblW w:w="9823" w:type="dxa"/>
        <w:tblLayout w:type="fixed"/>
        <w:tblLook w:val="04A0" w:firstRow="1" w:lastRow="0" w:firstColumn="1" w:lastColumn="0" w:noHBand="0" w:noVBand="1"/>
        <w:tblDescription w:val="Nil"/>
      </w:tblPr>
      <w:tblGrid>
        <w:gridCol w:w="6771"/>
        <w:gridCol w:w="508"/>
        <w:gridCol w:w="509"/>
        <w:gridCol w:w="509"/>
        <w:gridCol w:w="508"/>
        <w:gridCol w:w="509"/>
        <w:gridCol w:w="509"/>
      </w:tblGrid>
      <w:tr w:rsidR="00466BCD" w:rsidRPr="003E3CB9" w14:paraId="5F07A0C6" w14:textId="77777777" w:rsidTr="002E540B">
        <w:trPr>
          <w:cantSplit/>
          <w:trHeight w:val="289"/>
          <w:tblHeader/>
        </w:trPr>
        <w:tc>
          <w:tcPr>
            <w:tcW w:w="6771" w:type="dxa"/>
            <w:shd w:val="solid" w:color="auto" w:fill="auto"/>
          </w:tcPr>
          <w:p w14:paraId="4CF4297B" w14:textId="77777777" w:rsidR="00466BCD" w:rsidRPr="00A647E5" w:rsidRDefault="00466BCD" w:rsidP="00F82527">
            <w:pPr>
              <w:pStyle w:val="E3Tabletext"/>
            </w:pPr>
            <w:r w:rsidRPr="00A647E5">
              <w:t>Policy proposal</w:t>
            </w:r>
          </w:p>
        </w:tc>
        <w:tc>
          <w:tcPr>
            <w:tcW w:w="3052" w:type="dxa"/>
            <w:gridSpan w:val="6"/>
            <w:shd w:val="solid" w:color="auto" w:fill="auto"/>
          </w:tcPr>
          <w:p w14:paraId="4DE82CB3" w14:textId="77777777" w:rsidR="00466BCD" w:rsidRPr="00A647E5" w:rsidRDefault="00466BCD" w:rsidP="00F82527">
            <w:pPr>
              <w:pStyle w:val="E3Tabletext"/>
            </w:pPr>
            <w:r w:rsidRPr="00A647E5">
              <w:t>Options</w:t>
            </w:r>
          </w:p>
        </w:tc>
      </w:tr>
      <w:tr w:rsidR="00466BCD" w:rsidRPr="003E3CB9" w14:paraId="785455DF" w14:textId="77777777" w:rsidTr="002E540B">
        <w:trPr>
          <w:cantSplit/>
          <w:trHeight w:val="289"/>
          <w:tblHeader/>
        </w:trPr>
        <w:tc>
          <w:tcPr>
            <w:tcW w:w="6771" w:type="dxa"/>
            <w:shd w:val="solid" w:color="auto" w:fill="auto"/>
          </w:tcPr>
          <w:p w14:paraId="42AFAC4A" w14:textId="77777777" w:rsidR="00466BCD" w:rsidRPr="003E3CB9" w:rsidRDefault="00466BCD" w:rsidP="00F82527">
            <w:pPr>
              <w:pStyle w:val="E3Tabletext"/>
            </w:pPr>
          </w:p>
        </w:tc>
        <w:tc>
          <w:tcPr>
            <w:tcW w:w="508" w:type="dxa"/>
            <w:shd w:val="solid" w:color="auto" w:fill="auto"/>
          </w:tcPr>
          <w:p w14:paraId="68715CFC" w14:textId="77777777" w:rsidR="00466BCD" w:rsidRPr="00A647E5" w:rsidRDefault="00466BCD" w:rsidP="00F82527">
            <w:pPr>
              <w:pStyle w:val="E3Tabletext"/>
            </w:pPr>
            <w:r w:rsidRPr="00A647E5">
              <w:t xml:space="preserve"> A</w:t>
            </w:r>
          </w:p>
        </w:tc>
        <w:tc>
          <w:tcPr>
            <w:tcW w:w="509" w:type="dxa"/>
            <w:shd w:val="solid" w:color="auto" w:fill="auto"/>
          </w:tcPr>
          <w:p w14:paraId="60092209" w14:textId="77777777" w:rsidR="00466BCD" w:rsidRPr="00A647E5" w:rsidRDefault="00466BCD" w:rsidP="00F82527">
            <w:pPr>
              <w:pStyle w:val="E3Tabletext"/>
            </w:pPr>
            <w:r w:rsidRPr="00A647E5">
              <w:t xml:space="preserve"> </w:t>
            </w:r>
            <w:r w:rsidRPr="00F82527">
              <w:rPr>
                <w:color w:val="FF0000"/>
              </w:rPr>
              <w:t>B</w:t>
            </w:r>
          </w:p>
        </w:tc>
        <w:tc>
          <w:tcPr>
            <w:tcW w:w="509" w:type="dxa"/>
            <w:shd w:val="solid" w:color="auto" w:fill="auto"/>
          </w:tcPr>
          <w:p w14:paraId="596BA216" w14:textId="77777777" w:rsidR="00466BCD" w:rsidRPr="00A647E5" w:rsidRDefault="00466BCD" w:rsidP="00F82527">
            <w:pPr>
              <w:pStyle w:val="E3Tabletext"/>
            </w:pPr>
            <w:r w:rsidRPr="00A647E5">
              <w:t>C</w:t>
            </w:r>
          </w:p>
        </w:tc>
        <w:tc>
          <w:tcPr>
            <w:tcW w:w="508" w:type="dxa"/>
            <w:shd w:val="solid" w:color="auto" w:fill="auto"/>
          </w:tcPr>
          <w:p w14:paraId="113618A3" w14:textId="77777777" w:rsidR="00466BCD" w:rsidRPr="00A647E5" w:rsidRDefault="00466BCD" w:rsidP="00F82527">
            <w:pPr>
              <w:pStyle w:val="E3Tabletext"/>
            </w:pPr>
            <w:r w:rsidRPr="00F82527">
              <w:t>D</w:t>
            </w:r>
            <w:r w:rsidRPr="00A647E5">
              <w:t xml:space="preserve"> </w:t>
            </w:r>
          </w:p>
        </w:tc>
        <w:tc>
          <w:tcPr>
            <w:tcW w:w="509" w:type="dxa"/>
            <w:shd w:val="solid" w:color="auto" w:fill="auto"/>
          </w:tcPr>
          <w:p w14:paraId="635BD53E" w14:textId="77777777" w:rsidR="00466BCD" w:rsidRPr="00A647E5" w:rsidRDefault="00466BCD" w:rsidP="00F82527">
            <w:pPr>
              <w:pStyle w:val="E3Tabletext"/>
            </w:pPr>
            <w:r w:rsidRPr="00A647E5">
              <w:t>E</w:t>
            </w:r>
          </w:p>
        </w:tc>
        <w:tc>
          <w:tcPr>
            <w:tcW w:w="509" w:type="dxa"/>
            <w:shd w:val="solid" w:color="auto" w:fill="auto"/>
          </w:tcPr>
          <w:p w14:paraId="551095EC" w14:textId="77777777" w:rsidR="00466BCD" w:rsidRPr="00A647E5" w:rsidRDefault="00466BCD" w:rsidP="00F82527">
            <w:pPr>
              <w:pStyle w:val="E3Tabletext"/>
            </w:pPr>
            <w:r w:rsidRPr="00F82527">
              <w:rPr>
                <w:color w:val="FF0000"/>
              </w:rPr>
              <w:t>F</w:t>
            </w:r>
          </w:p>
        </w:tc>
      </w:tr>
      <w:tr w:rsidR="00466BCD" w:rsidRPr="003B4A61" w14:paraId="6706B075" w14:textId="77777777" w:rsidTr="002E540B">
        <w:trPr>
          <w:cantSplit/>
          <w:trHeight w:val="302"/>
        </w:trPr>
        <w:tc>
          <w:tcPr>
            <w:tcW w:w="6771" w:type="dxa"/>
          </w:tcPr>
          <w:p w14:paraId="566F55BB" w14:textId="098911E3" w:rsidR="00466BCD" w:rsidRPr="00E30785" w:rsidRDefault="00466BCD" w:rsidP="0027504F">
            <w:pPr>
              <w:pStyle w:val="E3Tabletext"/>
            </w:pPr>
            <w:r w:rsidRPr="00EE5112">
              <w:t>1.</w:t>
            </w:r>
            <w:r>
              <w:t xml:space="preserve"> </w:t>
            </w:r>
            <w:r w:rsidRPr="007505CB">
              <w:rPr>
                <w:b/>
              </w:rPr>
              <w:t xml:space="preserve">Introduce MEPS for LED lamps </w:t>
            </w:r>
            <w:r w:rsidRPr="00A647E5">
              <w:rPr>
                <w:strike/>
                <w:color w:val="FF0000"/>
              </w:rPr>
              <w:t>and integrated luminaires</w:t>
            </w:r>
            <w:r>
              <w:t xml:space="preserve">. </w:t>
            </w:r>
            <w:r w:rsidRPr="0027504F">
              <w:t>This includes requirements for efficacy</w:t>
            </w:r>
            <w:r w:rsidRPr="0027504F">
              <w:footnoteReference w:id="1"/>
            </w:r>
            <w:r w:rsidRPr="0027504F">
              <w:t xml:space="preserve"> as well as a range of other performance parameters. Minimum performance levels would be based on available market analysis, product testing and expert advice, including the work of the International Energy Agency (IEA) 4E Solid State Lighting Annex. The MEPS will also specify a mandatory set of information to be included on product packaging </w:t>
            </w:r>
            <w:r w:rsidRPr="00A647E5">
              <w:rPr>
                <w:strike/>
                <w:color w:val="FF0000"/>
              </w:rPr>
              <w:t>with the option to introduce a standardised information label</w:t>
            </w:r>
            <w:r w:rsidRPr="00A647E5">
              <w:rPr>
                <w:strike/>
              </w:rPr>
              <w:t>.</w:t>
            </w:r>
            <w:r>
              <w:t xml:space="preserve"> </w:t>
            </w:r>
            <w:r w:rsidRPr="00EE5112">
              <w:t>Given the rapid improvements in LED lighting, this option includes a timetable of efficacy increases over several years. Specifications for testing of LED lighting will also be developed drawing upo</w:t>
            </w:r>
            <w:r>
              <w:t>n international test standards.</w:t>
            </w:r>
            <w:r w:rsidR="00C66B33">
              <w:t xml:space="preserve"> The introduction of MEPS for int</w:t>
            </w:r>
            <w:r w:rsidR="00DC107B">
              <w:t xml:space="preserve">egrated luminaires would </w:t>
            </w:r>
            <w:r w:rsidR="00E311CD">
              <w:t>commence</w:t>
            </w:r>
            <w:r w:rsidR="00C66B33">
              <w:t xml:space="preserve"> following </w:t>
            </w:r>
            <w:r w:rsidR="00C66B33" w:rsidRPr="000514D4">
              <w:t xml:space="preserve">changes to the GEMS Act to facilitate </w:t>
            </w:r>
            <w:r w:rsidR="00C66B33">
              <w:t>this</w:t>
            </w:r>
            <w:r w:rsidR="00C66B33" w:rsidRPr="000514D4">
              <w:t xml:space="preserve"> (targeted for 20</w:t>
            </w:r>
            <w:r w:rsidR="00DC107B">
              <w:t>21</w:t>
            </w:r>
            <w:r w:rsidR="00C66B33" w:rsidRPr="000514D4">
              <w:t>)</w:t>
            </w:r>
            <w:r w:rsidR="00C66B33">
              <w:t>.</w:t>
            </w:r>
          </w:p>
        </w:tc>
        <w:tc>
          <w:tcPr>
            <w:tcW w:w="508" w:type="dxa"/>
          </w:tcPr>
          <w:p w14:paraId="0838BB62" w14:textId="77777777" w:rsidR="00466BCD" w:rsidRPr="00A647E5" w:rsidRDefault="00466BCD" w:rsidP="00F82527">
            <w:pPr>
              <w:pStyle w:val="E3Tabletext"/>
            </w:pPr>
            <w:r w:rsidRPr="00A647E5">
              <w:t>X</w:t>
            </w:r>
          </w:p>
        </w:tc>
        <w:tc>
          <w:tcPr>
            <w:tcW w:w="509" w:type="dxa"/>
          </w:tcPr>
          <w:p w14:paraId="037946EB" w14:textId="77777777" w:rsidR="00466BCD" w:rsidRPr="00A647E5" w:rsidRDefault="00466BCD" w:rsidP="00F82527">
            <w:pPr>
              <w:pStyle w:val="E3Tabletext"/>
            </w:pPr>
            <w:r w:rsidRPr="00A647E5">
              <w:t>X</w:t>
            </w:r>
          </w:p>
        </w:tc>
        <w:tc>
          <w:tcPr>
            <w:tcW w:w="509" w:type="dxa"/>
          </w:tcPr>
          <w:p w14:paraId="5EA24E35" w14:textId="77777777" w:rsidR="00466BCD" w:rsidRPr="00A647E5" w:rsidRDefault="00466BCD" w:rsidP="00F82527">
            <w:pPr>
              <w:pStyle w:val="E3Tabletext"/>
            </w:pPr>
            <w:r w:rsidRPr="00A647E5">
              <w:t>X</w:t>
            </w:r>
          </w:p>
        </w:tc>
        <w:tc>
          <w:tcPr>
            <w:tcW w:w="508" w:type="dxa"/>
          </w:tcPr>
          <w:p w14:paraId="139F20DF" w14:textId="77777777" w:rsidR="00466BCD" w:rsidRPr="00A647E5" w:rsidRDefault="00466BCD" w:rsidP="00F82527">
            <w:pPr>
              <w:pStyle w:val="E3Tabletext"/>
            </w:pPr>
            <w:r w:rsidRPr="00A647E5">
              <w:t>X</w:t>
            </w:r>
          </w:p>
        </w:tc>
        <w:tc>
          <w:tcPr>
            <w:tcW w:w="509" w:type="dxa"/>
          </w:tcPr>
          <w:p w14:paraId="5ABCC7C7" w14:textId="77777777" w:rsidR="00466BCD" w:rsidRPr="00A647E5" w:rsidRDefault="00466BCD" w:rsidP="00F82527">
            <w:pPr>
              <w:pStyle w:val="E3Tabletext"/>
            </w:pPr>
            <w:r w:rsidRPr="00A647E5">
              <w:t>X</w:t>
            </w:r>
          </w:p>
        </w:tc>
        <w:tc>
          <w:tcPr>
            <w:tcW w:w="509" w:type="dxa"/>
          </w:tcPr>
          <w:p w14:paraId="1749030C" w14:textId="77777777" w:rsidR="00466BCD" w:rsidRPr="00A647E5" w:rsidRDefault="00466BCD" w:rsidP="00F82527">
            <w:pPr>
              <w:pStyle w:val="E3Tabletext"/>
            </w:pPr>
            <w:r w:rsidRPr="00A647E5">
              <w:t>X</w:t>
            </w:r>
          </w:p>
        </w:tc>
      </w:tr>
      <w:tr w:rsidR="00466BCD" w:rsidRPr="00FF30A8" w14:paraId="2EF52FDE" w14:textId="77777777" w:rsidTr="002E540B">
        <w:trPr>
          <w:cantSplit/>
          <w:trHeight w:val="302"/>
        </w:trPr>
        <w:tc>
          <w:tcPr>
            <w:tcW w:w="6771" w:type="dxa"/>
          </w:tcPr>
          <w:p w14:paraId="06AC7530" w14:textId="77777777" w:rsidR="00466BCD" w:rsidRPr="001541BC" w:rsidRDefault="00466BCD" w:rsidP="00F82527">
            <w:pPr>
              <w:pStyle w:val="E3Tabletext"/>
              <w:rPr>
                <w:strike/>
                <w:color w:val="FF0000"/>
              </w:rPr>
            </w:pPr>
            <w:r w:rsidRPr="001541BC">
              <w:rPr>
                <w:strike/>
                <w:color w:val="FF0000"/>
              </w:rPr>
              <w:t xml:space="preserve">2. </w:t>
            </w:r>
            <w:r w:rsidRPr="001541BC">
              <w:rPr>
                <w:b/>
                <w:strike/>
                <w:color w:val="FF0000"/>
              </w:rPr>
              <w:t>Introduce MEPS for non-integrated commercial luminaires</w:t>
            </w:r>
            <w:r w:rsidRPr="001541BC">
              <w:rPr>
                <w:strike/>
                <w:color w:val="FF0000"/>
              </w:rPr>
              <w:t>. This proposal would apply to standard linear commercial luminaires and recessed cans and will make use of a simple test based on photometry information already available to manufacturers in order to minimise compliance costs. This would achieve energy savings in the cheap end of the commercial market where fluorescent lighting is likely to be used as the least cost option in new builds for some years to come, as well as addressing a potential regulatory imbalance if MEPS is applied only to LED integrated luminaires.</w:t>
            </w:r>
          </w:p>
        </w:tc>
        <w:tc>
          <w:tcPr>
            <w:tcW w:w="508" w:type="dxa"/>
          </w:tcPr>
          <w:p w14:paraId="21186F82" w14:textId="77777777" w:rsidR="00466BCD" w:rsidRPr="001541BC" w:rsidRDefault="00466BCD" w:rsidP="00F82527">
            <w:pPr>
              <w:pStyle w:val="E3Tabletext"/>
              <w:rPr>
                <w:strike/>
                <w:color w:val="FF0000"/>
              </w:rPr>
            </w:pPr>
          </w:p>
        </w:tc>
        <w:tc>
          <w:tcPr>
            <w:tcW w:w="509" w:type="dxa"/>
          </w:tcPr>
          <w:p w14:paraId="417A8320" w14:textId="77777777" w:rsidR="00466BCD" w:rsidRPr="001541BC" w:rsidRDefault="00466BCD" w:rsidP="00F82527">
            <w:pPr>
              <w:pStyle w:val="E3Tabletext"/>
              <w:rPr>
                <w:strike/>
                <w:color w:val="FF0000"/>
              </w:rPr>
            </w:pPr>
            <w:r w:rsidRPr="001541BC">
              <w:rPr>
                <w:strike/>
                <w:color w:val="FF0000"/>
              </w:rPr>
              <w:t>X</w:t>
            </w:r>
          </w:p>
        </w:tc>
        <w:tc>
          <w:tcPr>
            <w:tcW w:w="509" w:type="dxa"/>
          </w:tcPr>
          <w:p w14:paraId="1405459C" w14:textId="77777777" w:rsidR="00466BCD" w:rsidRPr="001541BC" w:rsidRDefault="00466BCD" w:rsidP="00F82527">
            <w:pPr>
              <w:pStyle w:val="E3Tabletext"/>
              <w:rPr>
                <w:strike/>
                <w:color w:val="FF0000"/>
              </w:rPr>
            </w:pPr>
            <w:r w:rsidRPr="001541BC">
              <w:rPr>
                <w:strike/>
                <w:color w:val="FF0000"/>
              </w:rPr>
              <w:t>X</w:t>
            </w:r>
          </w:p>
        </w:tc>
        <w:tc>
          <w:tcPr>
            <w:tcW w:w="508" w:type="dxa"/>
          </w:tcPr>
          <w:p w14:paraId="294C2320" w14:textId="77777777" w:rsidR="00466BCD" w:rsidRPr="001541BC" w:rsidRDefault="00466BCD" w:rsidP="00F82527">
            <w:pPr>
              <w:pStyle w:val="E3Tabletext"/>
              <w:rPr>
                <w:strike/>
                <w:color w:val="FF0000"/>
              </w:rPr>
            </w:pPr>
          </w:p>
        </w:tc>
        <w:tc>
          <w:tcPr>
            <w:tcW w:w="509" w:type="dxa"/>
          </w:tcPr>
          <w:p w14:paraId="68EC57F7" w14:textId="77777777" w:rsidR="00466BCD" w:rsidRPr="001541BC" w:rsidRDefault="00466BCD" w:rsidP="00F82527">
            <w:pPr>
              <w:pStyle w:val="E3Tabletext"/>
              <w:rPr>
                <w:strike/>
                <w:color w:val="FF0000"/>
              </w:rPr>
            </w:pPr>
          </w:p>
        </w:tc>
        <w:tc>
          <w:tcPr>
            <w:tcW w:w="509" w:type="dxa"/>
          </w:tcPr>
          <w:p w14:paraId="4DF79AA9" w14:textId="77777777" w:rsidR="00466BCD" w:rsidRPr="001541BC" w:rsidRDefault="00466BCD" w:rsidP="00F82527">
            <w:pPr>
              <w:pStyle w:val="E3Tabletext"/>
              <w:rPr>
                <w:strike/>
                <w:color w:val="FF0000"/>
              </w:rPr>
            </w:pPr>
            <w:r w:rsidRPr="001541BC">
              <w:rPr>
                <w:strike/>
                <w:color w:val="FF0000"/>
              </w:rPr>
              <w:t>X</w:t>
            </w:r>
          </w:p>
        </w:tc>
      </w:tr>
      <w:tr w:rsidR="00466BCD" w:rsidRPr="003B4A61" w14:paraId="08F95048" w14:textId="77777777" w:rsidTr="002E540B">
        <w:trPr>
          <w:cantSplit/>
          <w:trHeight w:val="302"/>
        </w:trPr>
        <w:tc>
          <w:tcPr>
            <w:tcW w:w="6771" w:type="dxa"/>
          </w:tcPr>
          <w:p w14:paraId="0F3A35C3" w14:textId="2E730655" w:rsidR="00466BCD" w:rsidRPr="006515B3" w:rsidRDefault="00466BCD" w:rsidP="0027504F">
            <w:pPr>
              <w:pStyle w:val="E3Tabletext"/>
              <w:rPr>
                <w:sz w:val="18"/>
                <w:szCs w:val="18"/>
              </w:rPr>
            </w:pPr>
            <w:r>
              <w:rPr>
                <w:sz w:val="18"/>
                <w:szCs w:val="18"/>
              </w:rPr>
              <w:t>3</w:t>
            </w:r>
            <w:r w:rsidRPr="006515B3">
              <w:rPr>
                <w:sz w:val="18"/>
                <w:szCs w:val="18"/>
              </w:rPr>
              <w:t xml:space="preserve">. </w:t>
            </w:r>
            <w:r w:rsidRPr="007505CB">
              <w:rPr>
                <w:b/>
              </w:rPr>
              <w:t xml:space="preserve">Increase incandescent </w:t>
            </w:r>
            <w:r>
              <w:rPr>
                <w:b/>
              </w:rPr>
              <w:t xml:space="preserve">and halogen </w:t>
            </w:r>
            <w:r w:rsidRPr="007505CB">
              <w:rPr>
                <w:b/>
              </w:rPr>
              <w:t>MEPS (Australia only) to remove the most inefficient lamps</w:t>
            </w:r>
            <w:r>
              <w:t xml:space="preserve"> </w:t>
            </w:r>
            <w:r w:rsidRPr="0027504F">
              <w:t xml:space="preserve">including a number of categories of halogen lamps </w:t>
            </w:r>
            <w:r w:rsidRPr="00A647E5">
              <w:rPr>
                <w:color w:val="FF0000"/>
              </w:rPr>
              <w:t>(</w:t>
            </w:r>
            <w:r w:rsidRPr="00A647E5">
              <w:rPr>
                <w:strike/>
                <w:color w:val="FF0000"/>
              </w:rPr>
              <w:t>including mains voltage and low voltage</w:t>
            </w:r>
            <w:r w:rsidR="00A647E5" w:rsidRPr="00A647E5">
              <w:rPr>
                <w:color w:val="FF0000"/>
              </w:rPr>
              <w:t>excluding downlights</w:t>
            </w:r>
            <w:r>
              <w:t xml:space="preserve">), as well as additions to the categories of incandescent lamps subject to MEPS. This will involve revisions to the current incandescent MEPS to make adjustments to product definitions and scheduling of when these products will be phased out of the market. </w:t>
            </w:r>
            <w:r w:rsidR="00D50CC1">
              <w:t>The phase out</w:t>
            </w:r>
            <w:r w:rsidR="00C66B33">
              <w:t xml:space="preserve"> of halogen downlights would occur later following the introduction of MEPS for LED luminaires: </w:t>
            </w:r>
            <w:r w:rsidR="00D50CC1">
              <w:t>phase out</w:t>
            </w:r>
            <w:r w:rsidR="00C66B33" w:rsidRPr="000514D4">
              <w:t xml:space="preserve"> o</w:t>
            </w:r>
            <w:r w:rsidR="00DC107B">
              <w:t>f mains voltage downlights (2021</w:t>
            </w:r>
            <w:r w:rsidR="00C66B33" w:rsidRPr="000514D4">
              <w:t>) and low voltage downlights(2021,pending compatibility issues</w:t>
            </w:r>
            <w:r w:rsidR="00C66B33">
              <w:t>).</w:t>
            </w:r>
          </w:p>
        </w:tc>
        <w:tc>
          <w:tcPr>
            <w:tcW w:w="508" w:type="dxa"/>
          </w:tcPr>
          <w:p w14:paraId="472D32B6" w14:textId="77777777" w:rsidR="00466BCD" w:rsidRPr="006515B3" w:rsidRDefault="00466BCD" w:rsidP="00F82527">
            <w:pPr>
              <w:pStyle w:val="E3Tabletext"/>
            </w:pPr>
          </w:p>
        </w:tc>
        <w:tc>
          <w:tcPr>
            <w:tcW w:w="509" w:type="dxa"/>
          </w:tcPr>
          <w:p w14:paraId="2BFF44CA" w14:textId="77777777" w:rsidR="00466BCD" w:rsidRPr="006515B3" w:rsidRDefault="00466BCD" w:rsidP="00F82527">
            <w:pPr>
              <w:pStyle w:val="E3Tabletext"/>
            </w:pPr>
          </w:p>
        </w:tc>
        <w:tc>
          <w:tcPr>
            <w:tcW w:w="509" w:type="dxa"/>
          </w:tcPr>
          <w:p w14:paraId="7AFEB699" w14:textId="77777777" w:rsidR="00466BCD" w:rsidRPr="006515B3" w:rsidRDefault="00466BCD" w:rsidP="00F82527">
            <w:pPr>
              <w:pStyle w:val="E3Tabletext"/>
            </w:pPr>
          </w:p>
        </w:tc>
        <w:tc>
          <w:tcPr>
            <w:tcW w:w="508" w:type="dxa"/>
          </w:tcPr>
          <w:p w14:paraId="18AFF4C9" w14:textId="77777777" w:rsidR="00466BCD" w:rsidRPr="006515B3" w:rsidRDefault="00466BCD" w:rsidP="00F82527">
            <w:pPr>
              <w:pStyle w:val="E3Tabletext"/>
            </w:pPr>
          </w:p>
        </w:tc>
        <w:tc>
          <w:tcPr>
            <w:tcW w:w="509" w:type="dxa"/>
          </w:tcPr>
          <w:p w14:paraId="314E7765" w14:textId="77777777" w:rsidR="00466BCD" w:rsidRPr="00F82527" w:rsidRDefault="00466BCD" w:rsidP="00F82527">
            <w:pPr>
              <w:pStyle w:val="E3Tabletext"/>
            </w:pPr>
            <w:r w:rsidRPr="00F82527">
              <w:t>X</w:t>
            </w:r>
          </w:p>
        </w:tc>
        <w:tc>
          <w:tcPr>
            <w:tcW w:w="509" w:type="dxa"/>
          </w:tcPr>
          <w:p w14:paraId="2A473642" w14:textId="77777777" w:rsidR="00466BCD" w:rsidRPr="00F82527" w:rsidRDefault="00466BCD" w:rsidP="00F82527">
            <w:pPr>
              <w:pStyle w:val="E3Tabletext"/>
            </w:pPr>
            <w:r w:rsidRPr="00F82527">
              <w:t>X</w:t>
            </w:r>
          </w:p>
        </w:tc>
      </w:tr>
      <w:tr w:rsidR="00466BCD" w:rsidRPr="00FF30A8" w14:paraId="0B1C9E01" w14:textId="77777777" w:rsidTr="002E540B">
        <w:trPr>
          <w:cantSplit/>
          <w:trHeight w:val="302"/>
        </w:trPr>
        <w:tc>
          <w:tcPr>
            <w:tcW w:w="6771" w:type="dxa"/>
          </w:tcPr>
          <w:p w14:paraId="5F898683" w14:textId="77777777" w:rsidR="00466BCD" w:rsidRPr="00CB3F46" w:rsidRDefault="00466BCD" w:rsidP="00F82527">
            <w:pPr>
              <w:pStyle w:val="E3Tabletext"/>
              <w:rPr>
                <w:strike/>
                <w:color w:val="FF0000"/>
              </w:rPr>
            </w:pPr>
            <w:r w:rsidRPr="00CB3F46">
              <w:rPr>
                <w:strike/>
                <w:color w:val="FF0000"/>
              </w:rPr>
              <w:t>4. Introduce mandatory labelling for lamp products primarily used in the residential sector including directional and non-directional lamps and small integrated luminaires. This would apply to all technologies.</w:t>
            </w:r>
          </w:p>
        </w:tc>
        <w:tc>
          <w:tcPr>
            <w:tcW w:w="508" w:type="dxa"/>
          </w:tcPr>
          <w:p w14:paraId="39FA3DCF" w14:textId="77777777" w:rsidR="00466BCD" w:rsidRPr="00CB3F46" w:rsidRDefault="00466BCD" w:rsidP="00F82527">
            <w:pPr>
              <w:pStyle w:val="E3Tabletext"/>
              <w:rPr>
                <w:strike/>
                <w:color w:val="FF0000"/>
              </w:rPr>
            </w:pPr>
          </w:p>
        </w:tc>
        <w:tc>
          <w:tcPr>
            <w:tcW w:w="509" w:type="dxa"/>
          </w:tcPr>
          <w:p w14:paraId="50220F75" w14:textId="77777777" w:rsidR="00466BCD" w:rsidRPr="00CB3F46" w:rsidRDefault="00466BCD" w:rsidP="00F82527">
            <w:pPr>
              <w:pStyle w:val="E3Tabletext"/>
              <w:rPr>
                <w:strike/>
                <w:color w:val="FF0000"/>
              </w:rPr>
            </w:pPr>
          </w:p>
        </w:tc>
        <w:tc>
          <w:tcPr>
            <w:tcW w:w="509" w:type="dxa"/>
          </w:tcPr>
          <w:p w14:paraId="45B7CC80" w14:textId="77777777" w:rsidR="00466BCD" w:rsidRPr="00CB3F46" w:rsidRDefault="00466BCD" w:rsidP="00F82527">
            <w:pPr>
              <w:pStyle w:val="E3Tabletext"/>
              <w:rPr>
                <w:strike/>
                <w:color w:val="FF0000"/>
              </w:rPr>
            </w:pPr>
            <w:r w:rsidRPr="00CB3F46">
              <w:rPr>
                <w:strike/>
                <w:color w:val="FF0000"/>
              </w:rPr>
              <w:t>X</w:t>
            </w:r>
          </w:p>
        </w:tc>
        <w:tc>
          <w:tcPr>
            <w:tcW w:w="508" w:type="dxa"/>
          </w:tcPr>
          <w:p w14:paraId="372D31E7" w14:textId="77777777" w:rsidR="00466BCD" w:rsidRPr="00CB3F46" w:rsidRDefault="00466BCD" w:rsidP="00F82527">
            <w:pPr>
              <w:pStyle w:val="E3Tabletext"/>
              <w:rPr>
                <w:strike/>
                <w:color w:val="FF0000"/>
              </w:rPr>
            </w:pPr>
            <w:r w:rsidRPr="00CB3F46">
              <w:rPr>
                <w:strike/>
                <w:color w:val="FF0000"/>
              </w:rPr>
              <w:t>X</w:t>
            </w:r>
          </w:p>
        </w:tc>
        <w:tc>
          <w:tcPr>
            <w:tcW w:w="509" w:type="dxa"/>
          </w:tcPr>
          <w:p w14:paraId="5BE037DE" w14:textId="77777777" w:rsidR="00466BCD" w:rsidRPr="00FF30A8" w:rsidRDefault="00466BCD" w:rsidP="00F82527">
            <w:pPr>
              <w:pStyle w:val="E3Tabletext"/>
            </w:pPr>
          </w:p>
        </w:tc>
        <w:tc>
          <w:tcPr>
            <w:tcW w:w="509" w:type="dxa"/>
          </w:tcPr>
          <w:p w14:paraId="43CC2E64" w14:textId="77777777" w:rsidR="00466BCD" w:rsidRPr="00FF30A8" w:rsidRDefault="00466BCD" w:rsidP="00F82527">
            <w:pPr>
              <w:pStyle w:val="E3Tabletext"/>
            </w:pPr>
          </w:p>
        </w:tc>
      </w:tr>
      <w:tr w:rsidR="00B40702" w:rsidRPr="00FF30A8" w14:paraId="66ACE532" w14:textId="77777777" w:rsidTr="002E540B">
        <w:trPr>
          <w:cantSplit/>
          <w:trHeight w:val="302"/>
        </w:trPr>
        <w:tc>
          <w:tcPr>
            <w:tcW w:w="6771" w:type="dxa"/>
          </w:tcPr>
          <w:p w14:paraId="138EA128" w14:textId="3B01BE63" w:rsidR="00B40702" w:rsidRPr="00CB3F46" w:rsidRDefault="00B40702" w:rsidP="00B40702">
            <w:pPr>
              <w:pStyle w:val="E3Tabletext"/>
              <w:rPr>
                <w:strike/>
                <w:color w:val="FF0000"/>
              </w:rPr>
            </w:pPr>
            <w:r w:rsidRPr="00CB3F46">
              <w:rPr>
                <w:color w:val="FF0000"/>
              </w:rPr>
              <w:t xml:space="preserve">5. </w:t>
            </w:r>
            <w:r w:rsidRPr="00CB3F46">
              <w:rPr>
                <w:b/>
                <w:color w:val="FF0000"/>
              </w:rPr>
              <w:t xml:space="preserve">Introduce voluntary MEPS for </w:t>
            </w:r>
            <w:r>
              <w:rPr>
                <w:b/>
                <w:color w:val="FF0000"/>
              </w:rPr>
              <w:t>integrated luminaires</w:t>
            </w:r>
            <w:r w:rsidRPr="00CB3F46">
              <w:rPr>
                <w:color w:val="FF0000"/>
              </w:rPr>
              <w:t>. This includes requirements for efficacy as well as a range of other performance parameters. Minimum performance levels would be based on available market analysis, product testing and expert advice, including the work of the International Energy Agency (IEA) 4E Solid State Lighting Annex. The MEPS will also specify a mandatory set of information to be included on product packaging or specification sheet/online where the product is not offered for sale in retail. Given the rapid improvements in LED lighting, this option includes a timetable of efficacy increases over several years. Specifications for testing of LED lighting will also be developed drawing upon international test standards.</w:t>
            </w:r>
          </w:p>
        </w:tc>
        <w:tc>
          <w:tcPr>
            <w:tcW w:w="508" w:type="dxa"/>
          </w:tcPr>
          <w:p w14:paraId="61C94230" w14:textId="77777777" w:rsidR="00B40702" w:rsidRPr="00CB3F46" w:rsidRDefault="00B40702" w:rsidP="00B40702">
            <w:pPr>
              <w:pStyle w:val="E3Tabletext"/>
              <w:rPr>
                <w:strike/>
                <w:color w:val="FF0000"/>
              </w:rPr>
            </w:pPr>
          </w:p>
        </w:tc>
        <w:tc>
          <w:tcPr>
            <w:tcW w:w="509" w:type="dxa"/>
          </w:tcPr>
          <w:p w14:paraId="00FD104C" w14:textId="4CF1BCFF" w:rsidR="00B40702" w:rsidRPr="00CB3F46" w:rsidRDefault="00B40702" w:rsidP="00B40702">
            <w:pPr>
              <w:pStyle w:val="E3Tabletext"/>
              <w:rPr>
                <w:strike/>
                <w:color w:val="FF0000"/>
              </w:rPr>
            </w:pPr>
            <w:r>
              <w:rPr>
                <w:color w:val="FF0000"/>
              </w:rPr>
              <w:t>X</w:t>
            </w:r>
          </w:p>
        </w:tc>
        <w:tc>
          <w:tcPr>
            <w:tcW w:w="509" w:type="dxa"/>
          </w:tcPr>
          <w:p w14:paraId="0766D375" w14:textId="77777777" w:rsidR="00B40702" w:rsidRPr="00CB3F46" w:rsidRDefault="00B40702" w:rsidP="00B40702">
            <w:pPr>
              <w:pStyle w:val="E3Tabletext"/>
              <w:rPr>
                <w:strike/>
                <w:color w:val="FF0000"/>
              </w:rPr>
            </w:pPr>
          </w:p>
        </w:tc>
        <w:tc>
          <w:tcPr>
            <w:tcW w:w="508" w:type="dxa"/>
          </w:tcPr>
          <w:p w14:paraId="0ECAEA8D" w14:textId="77777777" w:rsidR="00B40702" w:rsidRPr="00CB3F46" w:rsidRDefault="00B40702" w:rsidP="00B40702">
            <w:pPr>
              <w:pStyle w:val="E3Tabletext"/>
              <w:rPr>
                <w:strike/>
                <w:color w:val="FF0000"/>
              </w:rPr>
            </w:pPr>
          </w:p>
        </w:tc>
        <w:tc>
          <w:tcPr>
            <w:tcW w:w="509" w:type="dxa"/>
          </w:tcPr>
          <w:p w14:paraId="1994E74C" w14:textId="77777777" w:rsidR="00B40702" w:rsidRPr="00FF30A8" w:rsidRDefault="00B40702" w:rsidP="00B40702">
            <w:pPr>
              <w:pStyle w:val="E3Tabletext"/>
            </w:pPr>
          </w:p>
        </w:tc>
        <w:tc>
          <w:tcPr>
            <w:tcW w:w="509" w:type="dxa"/>
          </w:tcPr>
          <w:p w14:paraId="007A160F" w14:textId="70EC6517" w:rsidR="00B40702" w:rsidRPr="00FF30A8" w:rsidRDefault="00B40702" w:rsidP="00B40702">
            <w:pPr>
              <w:pStyle w:val="E3Tabletext"/>
            </w:pPr>
            <w:r w:rsidRPr="00CB3F46">
              <w:rPr>
                <w:color w:val="FF0000"/>
              </w:rPr>
              <w:t>X</w:t>
            </w:r>
          </w:p>
        </w:tc>
      </w:tr>
    </w:tbl>
    <w:p w14:paraId="7CAF01EA" w14:textId="77777777" w:rsidR="0027504F" w:rsidRDefault="0027504F" w:rsidP="00726B4F">
      <w:pPr>
        <w:pStyle w:val="E3Heading2"/>
        <w:rPr>
          <w:lang w:val="en-AU"/>
        </w:rPr>
      </w:pPr>
    </w:p>
    <w:p w14:paraId="3BB17336" w14:textId="77777777" w:rsidR="00537796" w:rsidRPr="00D05240" w:rsidRDefault="00726B4F" w:rsidP="00726B4F">
      <w:pPr>
        <w:pStyle w:val="E3Heading2"/>
        <w:rPr>
          <w:lang w:val="en-AU"/>
        </w:rPr>
      </w:pPr>
      <w:bookmarkStart w:id="9" w:name="_Toc493159040"/>
      <w:r w:rsidRPr="00343437">
        <w:rPr>
          <w:lang w:val="en-AU"/>
        </w:rPr>
        <w:t xml:space="preserve">1. </w:t>
      </w:r>
      <w:r w:rsidR="00D05240" w:rsidRPr="007505CB">
        <w:t xml:space="preserve">Introduce MEPS for LED lamps </w:t>
      </w:r>
      <w:r w:rsidR="00D05240" w:rsidRPr="008548D6">
        <w:t>and integrated luminaires</w:t>
      </w:r>
      <w:bookmarkEnd w:id="9"/>
    </w:p>
    <w:p w14:paraId="219DB323" w14:textId="77777777" w:rsidR="00537796" w:rsidRPr="00343437" w:rsidRDefault="00537796" w:rsidP="00537796">
      <w:pPr>
        <w:pStyle w:val="E3Heading3"/>
        <w:rPr>
          <w:lang w:val="en-AU"/>
        </w:rPr>
      </w:pPr>
      <w:r w:rsidRPr="00343437">
        <w:rPr>
          <w:lang w:val="en-AU"/>
        </w:rPr>
        <w:t>Feedback:</w:t>
      </w:r>
    </w:p>
    <w:p w14:paraId="0289D34F" w14:textId="15DCEF5D" w:rsidR="00632AD1" w:rsidRPr="00602E2A" w:rsidRDefault="00537796" w:rsidP="00AE4F4A">
      <w:pPr>
        <w:pStyle w:val="E3BodyText"/>
      </w:pPr>
      <w:r w:rsidRPr="00602E2A">
        <w:t xml:space="preserve">There was </w:t>
      </w:r>
      <w:r w:rsidR="00632AD1" w:rsidRPr="00602E2A">
        <w:t xml:space="preserve">broad </w:t>
      </w:r>
      <w:r w:rsidRPr="00602E2A">
        <w:t xml:space="preserve">support for </w:t>
      </w:r>
      <w:r w:rsidR="00D05240" w:rsidRPr="00602E2A">
        <w:t>LED MEPS on lamps</w:t>
      </w:r>
      <w:r w:rsidR="00525935" w:rsidRPr="00602E2A">
        <w:t xml:space="preserve"> (non-directional, directional, linear)</w:t>
      </w:r>
      <w:r w:rsidR="00E07D8E" w:rsidRPr="00602E2A">
        <w:t xml:space="preserve"> in Australia. </w:t>
      </w:r>
      <w:r w:rsidRPr="00602E2A">
        <w:t xml:space="preserve"> </w:t>
      </w:r>
      <w:r w:rsidR="00632AD1" w:rsidRPr="00602E2A">
        <w:t>Some stakeholders raised concerns regarding the breadth of performance parameters proposed</w:t>
      </w:r>
      <w:r w:rsidR="00F13B27" w:rsidRPr="00602E2A">
        <w:t xml:space="preserve">, arguing that </w:t>
      </w:r>
      <w:r w:rsidR="00632AD1" w:rsidRPr="00602E2A">
        <w:t>the performance requirements should o</w:t>
      </w:r>
      <w:r w:rsidR="00F13B27" w:rsidRPr="00602E2A">
        <w:t xml:space="preserve">nly relate to energy efficiency. </w:t>
      </w:r>
      <w:r w:rsidR="00632AD1" w:rsidRPr="00602E2A">
        <w:t xml:space="preserve"> </w:t>
      </w:r>
    </w:p>
    <w:p w14:paraId="3D1F3AFD" w14:textId="737CFB4B" w:rsidR="001F7E3C" w:rsidRPr="00602E2A" w:rsidRDefault="00632AD1" w:rsidP="00AE4F4A">
      <w:pPr>
        <w:pStyle w:val="E3BodyText"/>
      </w:pPr>
      <w:r w:rsidRPr="00602E2A">
        <w:t>Several submissions specifically did not support mandato</w:t>
      </w:r>
      <w:r w:rsidR="006C3065">
        <w:t>ry minimum marking requirements;</w:t>
      </w:r>
      <w:r w:rsidR="001F7E3C" w:rsidRPr="00602E2A">
        <w:t xml:space="preserve"> however, it appears that there </w:t>
      </w:r>
      <w:r w:rsidR="00590718" w:rsidRPr="00602E2A">
        <w:t>may have been</w:t>
      </w:r>
      <w:r w:rsidR="001F7E3C" w:rsidRPr="00602E2A">
        <w:t xml:space="preserve"> </w:t>
      </w:r>
      <w:r w:rsidRPr="00602E2A">
        <w:t xml:space="preserve">some confusion between the concept of a mandatory label of specific design and a set of minimum packaging information requirements (no specified design).  </w:t>
      </w:r>
    </w:p>
    <w:p w14:paraId="4576026A" w14:textId="70716929" w:rsidR="00632AD1" w:rsidRPr="00602E2A" w:rsidRDefault="00632AD1" w:rsidP="00AE4F4A">
      <w:pPr>
        <w:pStyle w:val="E3BodyText"/>
      </w:pPr>
      <w:r w:rsidRPr="00602E2A">
        <w:t>Industry stakeholders have asked for a longer introduction period than the pro</w:t>
      </w:r>
      <w:r w:rsidR="00AA4C6F">
        <w:t>posed six months</w:t>
      </w:r>
      <w:r w:rsidRPr="00602E2A">
        <w:t xml:space="preserve">.  </w:t>
      </w:r>
    </w:p>
    <w:p w14:paraId="7E9C637F" w14:textId="18D54DCD" w:rsidR="00E07D8E" w:rsidRPr="00602E2A" w:rsidRDefault="00E07D8E" w:rsidP="00AE4F4A">
      <w:pPr>
        <w:pStyle w:val="E3BodyText"/>
      </w:pPr>
      <w:r w:rsidRPr="00602E2A">
        <w:t xml:space="preserve">Lighting Council New Zealand </w:t>
      </w:r>
      <w:r w:rsidR="00AA4C6F">
        <w:t xml:space="preserve">(LCNZ) </w:t>
      </w:r>
      <w:r w:rsidRPr="00602E2A">
        <w:t>argued against t</w:t>
      </w:r>
      <w:r w:rsidR="005E1D97" w:rsidRPr="00602E2A">
        <w:t>he introduction of MEPS for LED lamps</w:t>
      </w:r>
      <w:r w:rsidRPr="00602E2A">
        <w:t xml:space="preserve"> in New Zealand in the absence of the </w:t>
      </w:r>
      <w:r w:rsidR="00D50CC1">
        <w:t>phase out</w:t>
      </w:r>
      <w:r w:rsidRPr="00602E2A">
        <w:t xml:space="preserve"> of incandescent lamps </w:t>
      </w:r>
      <w:r w:rsidR="00EA06F3">
        <w:t xml:space="preserve">and inclusion of lighting efficiency in building code requirements </w:t>
      </w:r>
      <w:r w:rsidRPr="00602E2A">
        <w:t>in New Zealand.</w:t>
      </w:r>
    </w:p>
    <w:p w14:paraId="10591D7A" w14:textId="11891E1A" w:rsidR="008D7676" w:rsidRPr="00602E2A" w:rsidRDefault="008D7676" w:rsidP="00AE4F4A">
      <w:pPr>
        <w:pStyle w:val="E3BodyText"/>
      </w:pPr>
      <w:r w:rsidRPr="00602E2A">
        <w:t>Many submissions from industry stakeholders express</w:t>
      </w:r>
      <w:r w:rsidR="00DC107B">
        <w:t>ed concern about the impact of</w:t>
      </w:r>
      <w:r w:rsidRPr="00602E2A">
        <w:t xml:space="preserve"> MEPS for integrated luminaires</w:t>
      </w:r>
      <w:r w:rsidR="00AA4C6F">
        <w:t xml:space="preserve"> </w:t>
      </w:r>
      <w:r w:rsidRPr="00602E2A">
        <w:t xml:space="preserve">(small directional; small non-directional; planar, battens and troffers; and large).  </w:t>
      </w:r>
    </w:p>
    <w:p w14:paraId="7A877693" w14:textId="27241900" w:rsidR="008D7676" w:rsidRPr="00602E2A" w:rsidRDefault="008D7676" w:rsidP="00AE4F4A">
      <w:pPr>
        <w:pStyle w:val="E3BodyText"/>
      </w:pPr>
      <w:r w:rsidRPr="00602E2A">
        <w:t xml:space="preserve">Concerns relate to the high </w:t>
      </w:r>
      <w:r w:rsidR="00DC620D">
        <w:t>numbers</w:t>
      </w:r>
      <w:r w:rsidR="00DC620D" w:rsidRPr="00602E2A">
        <w:t xml:space="preserve"> </w:t>
      </w:r>
      <w:r w:rsidRPr="00602E2A">
        <w:t>of integrated luminaire</w:t>
      </w:r>
      <w:r w:rsidR="00DC620D">
        <w:t xml:space="preserve"> models</w:t>
      </w:r>
      <w:r w:rsidRPr="00602E2A">
        <w:t xml:space="preserve"> currently available (estimates</w:t>
      </w:r>
      <w:r w:rsidR="00DC107B">
        <w:t xml:space="preserve"> from stakeholders on</w:t>
      </w:r>
      <w:r w:rsidRPr="00602E2A">
        <w:t xml:space="preserve"> the overall number of LED products on the market at any time range from 150,000 to one million in Australia, most being integrated luminaires) and the short product development and market periods (6-10 months), with the resulting compliance burden not being commercially viable</w:t>
      </w:r>
      <w:r w:rsidR="00C66B33">
        <w:t xml:space="preserve"> for many suppliers</w:t>
      </w:r>
      <w:r w:rsidRPr="00602E2A">
        <w:t xml:space="preserve">.  High end lighting suppliers and lighting designers are concerned about the compliance burden upon the ‘professional’ lighting market which deals in </w:t>
      </w:r>
      <w:r w:rsidR="00C011D8">
        <w:t>higher value</w:t>
      </w:r>
      <w:r w:rsidR="00C011D8" w:rsidRPr="00602E2A">
        <w:t xml:space="preserve"> </w:t>
      </w:r>
      <w:r w:rsidRPr="00602E2A">
        <w:t xml:space="preserve">low volume luminaires, arguing that MEPS levels </w:t>
      </w:r>
      <w:r w:rsidR="00C011D8">
        <w:t>restrict the</w:t>
      </w:r>
      <w:r w:rsidRPr="00602E2A">
        <w:t xml:space="preserve"> supply of high end tailored lighting products, stifling creativity, obstructing ‘efficient’ directed and designed lighting solutions, and impacting upon business models.  Expensive, low volume products may also be removed from the market due to registration and compliance costs. </w:t>
      </w:r>
      <w:r w:rsidR="00C011D8">
        <w:t>Stakeholders also suggested that there was</w:t>
      </w:r>
      <w:r w:rsidRPr="00602E2A">
        <w:t xml:space="preserve"> insufficient evidence of poor performance with LED luminaires and</w:t>
      </w:r>
      <w:r w:rsidR="00C011D8">
        <w:t xml:space="preserve"> raised</w:t>
      </w:r>
      <w:r w:rsidRPr="00602E2A">
        <w:t xml:space="preserve"> the difficulty in enforcing MEPS in such a large market</w:t>
      </w:r>
      <w:r w:rsidR="00AF5F26" w:rsidRPr="00602E2A">
        <w:t xml:space="preserve"> </w:t>
      </w:r>
      <w:r w:rsidR="00C011D8">
        <w:t>while suggesting that</w:t>
      </w:r>
      <w:r w:rsidR="00AF5F26" w:rsidRPr="00602E2A">
        <w:t xml:space="preserve"> ACCC Law provides adequate consumer protection</w:t>
      </w:r>
      <w:r w:rsidRPr="00602E2A">
        <w:t xml:space="preserve">. </w:t>
      </w:r>
    </w:p>
    <w:p w14:paraId="626FC736" w14:textId="6089D218" w:rsidR="00960EFA" w:rsidRPr="00602E2A" w:rsidRDefault="00960EFA" w:rsidP="00AE4F4A">
      <w:pPr>
        <w:pStyle w:val="E3BodyText"/>
      </w:pPr>
      <w:r w:rsidRPr="00602E2A">
        <w:t>Some submissions also noted a perceived overlap with the power density requirements in section J6 of the National Construction Code and the NZS 4243: Energy Efficiency Large Buildings - Part 2: Lighting design standard</w:t>
      </w:r>
      <w:r w:rsidR="00A715C4">
        <w:t xml:space="preserve"> (which is </w:t>
      </w:r>
      <w:r w:rsidR="00DC107B">
        <w:t>referenced</w:t>
      </w:r>
      <w:r w:rsidR="00A715C4">
        <w:t xml:space="preserve"> in the New Zealand building code) and the need to up</w:t>
      </w:r>
      <w:r w:rsidR="00DC107B">
        <w:t>date this</w:t>
      </w:r>
      <w:r w:rsidR="00A715C4">
        <w:t xml:space="preserve">. </w:t>
      </w:r>
    </w:p>
    <w:p w14:paraId="7D49C631" w14:textId="77777777" w:rsidR="00537796" w:rsidRPr="00343437" w:rsidRDefault="00537796" w:rsidP="00FA455D">
      <w:pPr>
        <w:pStyle w:val="E3Heading3"/>
        <w:rPr>
          <w:lang w:val="en-AU"/>
        </w:rPr>
      </w:pPr>
      <w:r w:rsidRPr="00343437">
        <w:rPr>
          <w:lang w:val="en-AU"/>
        </w:rPr>
        <w:t>Position:</w:t>
      </w:r>
    </w:p>
    <w:p w14:paraId="0815BF90" w14:textId="4562997B" w:rsidR="001F7E3C" w:rsidRPr="00597D98" w:rsidRDefault="001F7E3C" w:rsidP="002F6383">
      <w:pPr>
        <w:pStyle w:val="E3BodyText"/>
        <w:rPr>
          <w:b/>
        </w:rPr>
      </w:pPr>
      <w:r w:rsidRPr="00597D98">
        <w:rPr>
          <w:b/>
        </w:rPr>
        <w:t>Lamps</w:t>
      </w:r>
    </w:p>
    <w:p w14:paraId="6E07ED94" w14:textId="7F1CE49F" w:rsidR="00AA4C6F" w:rsidRDefault="00336559" w:rsidP="00AE4F4A">
      <w:pPr>
        <w:pStyle w:val="E3BodyText"/>
      </w:pPr>
      <w:r w:rsidRPr="00AE4F4A">
        <w:t>Adoption of LED MEPS for lamps</w:t>
      </w:r>
      <w:r w:rsidR="00525935" w:rsidRPr="00AE4F4A">
        <w:t xml:space="preserve"> (</w:t>
      </w:r>
      <w:r w:rsidR="00E26A1E" w:rsidRPr="00AE4F4A">
        <w:t>see scope in</w:t>
      </w:r>
      <w:r w:rsidR="00E26A1E">
        <w:t xml:space="preserve"> </w:t>
      </w:r>
      <w:hyperlink w:anchor="Attachment_A" w:history="1">
        <w:r w:rsidR="00E26A1E" w:rsidRPr="00A76AC9">
          <w:rPr>
            <w:rStyle w:val="Hyperlink"/>
          </w:rPr>
          <w:t>Attachment A</w:t>
        </w:r>
      </w:hyperlink>
      <w:r w:rsidR="00525935">
        <w:t>)</w:t>
      </w:r>
      <w:r w:rsidR="00537796" w:rsidRPr="00343437">
        <w:t xml:space="preserve"> will be recommended in the </w:t>
      </w:r>
      <w:r>
        <w:t>DRIS</w:t>
      </w:r>
      <w:r w:rsidR="00E07D8E">
        <w:t xml:space="preserve"> for Australia and New Zealand</w:t>
      </w:r>
      <w:r>
        <w:t xml:space="preserve">. </w:t>
      </w:r>
    </w:p>
    <w:p w14:paraId="7336A3F0" w14:textId="67167681" w:rsidR="003809AB" w:rsidRDefault="00336559" w:rsidP="00AE4F4A">
      <w:pPr>
        <w:pStyle w:val="E3BodyText"/>
      </w:pPr>
      <w:r>
        <w:t>If approved, a new</w:t>
      </w:r>
      <w:r w:rsidR="00E07D8E">
        <w:t xml:space="preserve"> </w:t>
      </w:r>
      <w:r w:rsidR="00AA4C6F">
        <w:t>Greenhouse and Energy Minimum Standards (</w:t>
      </w:r>
      <w:r w:rsidR="00E07D8E">
        <w:t>GEMS</w:t>
      </w:r>
      <w:r w:rsidR="00AA4C6F">
        <w:t>)</w:t>
      </w:r>
      <w:r>
        <w:t xml:space="preserve"> determination would be created for this product type</w:t>
      </w:r>
      <w:r w:rsidR="00E07D8E">
        <w:t>, with equivalent regulation created in New Zealand</w:t>
      </w:r>
      <w:r w:rsidR="006B00C9">
        <w:t xml:space="preserve"> under the </w:t>
      </w:r>
      <w:r w:rsidR="006B00C9" w:rsidRPr="005213C2">
        <w:rPr>
          <w:i/>
        </w:rPr>
        <w:t>Efficiency (Energy Using Products) Regulations</w:t>
      </w:r>
      <w:r>
        <w:t xml:space="preserve">. It is proposed that both the MEPS performance parameters and test method </w:t>
      </w:r>
      <w:r w:rsidR="00E26A1E">
        <w:t xml:space="preserve">(referencing international standards where available) </w:t>
      </w:r>
      <w:r>
        <w:t xml:space="preserve">would be included in </w:t>
      </w:r>
      <w:r w:rsidR="00525935">
        <w:t xml:space="preserve">the </w:t>
      </w:r>
      <w:r w:rsidR="00AA4C6F">
        <w:t>GEMS</w:t>
      </w:r>
      <w:r w:rsidR="00E07D8E">
        <w:t xml:space="preserve"> </w:t>
      </w:r>
      <w:r>
        <w:t>determination,</w:t>
      </w:r>
      <w:r w:rsidR="00E07D8E">
        <w:t xml:space="preserve"> and referred to by the New Zealand regulation,</w:t>
      </w:r>
      <w:r>
        <w:t xml:space="preserve"> as opposed to creation of a new</w:t>
      </w:r>
      <w:r w:rsidR="00E07D8E">
        <w:t xml:space="preserve"> Australian</w:t>
      </w:r>
      <w:r>
        <w:t>/N</w:t>
      </w:r>
      <w:r w:rsidR="00E07D8E">
        <w:t xml:space="preserve">ew </w:t>
      </w:r>
      <w:r w:rsidR="00E07D8E" w:rsidRPr="00590718">
        <w:t>Zealand</w:t>
      </w:r>
      <w:r w:rsidRPr="00590718">
        <w:t xml:space="preserve"> Standard</w:t>
      </w:r>
      <w:r w:rsidR="00E07D8E" w:rsidRPr="00590718">
        <w:t>.</w:t>
      </w:r>
      <w:r w:rsidRPr="00590718">
        <w:t xml:space="preserve"> </w:t>
      </w:r>
    </w:p>
    <w:p w14:paraId="7FC11B6E" w14:textId="7F5385E4" w:rsidR="00F13B27" w:rsidRDefault="00F13B27" w:rsidP="00AE4F4A">
      <w:pPr>
        <w:pStyle w:val="E3BodyText"/>
      </w:pPr>
      <w:r w:rsidRPr="00590718">
        <w:t xml:space="preserve">The </w:t>
      </w:r>
      <w:r w:rsidR="00B5529F" w:rsidRPr="00590718">
        <w:t xml:space="preserve">E3 Program considers that the </w:t>
      </w:r>
      <w:r w:rsidRPr="00590718">
        <w:t xml:space="preserve">proposed </w:t>
      </w:r>
      <w:r w:rsidR="00D50CC1">
        <w:t>phase out</w:t>
      </w:r>
      <w:r w:rsidRPr="00590718">
        <w:t xml:space="preserve"> of halogen lamps (Australia only) will require </w:t>
      </w:r>
      <w:r w:rsidR="004343C4">
        <w:t xml:space="preserve">the inclusion of </w:t>
      </w:r>
      <w:r w:rsidRPr="00590718">
        <w:t>other minimum performance quality parameters</w:t>
      </w:r>
      <w:r w:rsidR="004343C4">
        <w:t xml:space="preserve"> for LEDs</w:t>
      </w:r>
      <w:r w:rsidRPr="00590718">
        <w:t>, in addition to energy efficiency, in order to ensure that efficient and effective lighting alternatives are available when halogens are phased out</w:t>
      </w:r>
      <w:r w:rsidR="0006073D">
        <w:t xml:space="preserve">. </w:t>
      </w:r>
      <w:r w:rsidRPr="00590718">
        <w:t xml:space="preserve">This is consistent with the approach adopted for </w:t>
      </w:r>
      <w:r w:rsidR="00590718" w:rsidRPr="00590718">
        <w:t xml:space="preserve">MEPS on </w:t>
      </w:r>
      <w:r w:rsidRPr="00590718">
        <w:t>Compact Fluorescent Lamps</w:t>
      </w:r>
      <w:r w:rsidR="00AA4C6F">
        <w:t xml:space="preserve"> (CFLs)</w:t>
      </w:r>
      <w:r w:rsidRPr="00590718">
        <w:t xml:space="preserve"> with the </w:t>
      </w:r>
      <w:r w:rsidR="00D50CC1">
        <w:t>phase out</w:t>
      </w:r>
      <w:r w:rsidRPr="00590718">
        <w:t xml:space="preserve"> of tungsten filament </w:t>
      </w:r>
      <w:r w:rsidR="00B5529F" w:rsidRPr="00590718">
        <w:t>lamps</w:t>
      </w:r>
      <w:r w:rsidRPr="00590718">
        <w:t xml:space="preserve">. </w:t>
      </w:r>
      <w:r w:rsidR="00A92D1C">
        <w:t>In addition, phot</w:t>
      </w:r>
      <w:r w:rsidRPr="00590718">
        <w:t>o</w:t>
      </w:r>
      <w:r w:rsidR="00A92D1C">
        <w:t xml:space="preserve"> biological safety and flicker </w:t>
      </w:r>
      <w:r w:rsidRPr="00590718">
        <w:t>are recommended for inclusion in order to protect the public from exposure to poor quality lamps that may cause health impacts such as retinal damage, or impact photosensitive epileptics and people with photosensitive skin conditions.</w:t>
      </w:r>
    </w:p>
    <w:p w14:paraId="572BFAD0" w14:textId="102CFEBD" w:rsidR="000F0102" w:rsidRDefault="001F7E3C" w:rsidP="00AE4F4A">
      <w:pPr>
        <w:pStyle w:val="E3BodyText"/>
      </w:pPr>
      <w:r w:rsidRPr="00590718">
        <w:t xml:space="preserve">Minimum marking of values such as lumens, Watts, </w:t>
      </w:r>
      <w:r w:rsidR="005213C2">
        <w:t>efficacy</w:t>
      </w:r>
      <w:r w:rsidR="00E26A1E">
        <w:t xml:space="preserve"> </w:t>
      </w:r>
      <w:r w:rsidR="005213C2">
        <w:t>and colour temperature</w:t>
      </w:r>
      <w:r w:rsidRPr="00590718">
        <w:t xml:space="preserve"> are considered necessary to enable consumers to correctly select a replacement light bulb and compare produc</w:t>
      </w:r>
      <w:r w:rsidR="000F0102" w:rsidRPr="00590718">
        <w:t>ts.</w:t>
      </w:r>
      <w:r w:rsidR="004343C4">
        <w:t xml:space="preserve"> See Attachment E of </w:t>
      </w:r>
      <w:r w:rsidR="007129AA">
        <w:t xml:space="preserve">the </w:t>
      </w:r>
      <w:r w:rsidR="0006073D">
        <w:t>CRIS</w:t>
      </w:r>
      <w:r w:rsidR="004343C4">
        <w:t xml:space="preserve"> for more background information on current LED packaging.</w:t>
      </w:r>
      <w:r w:rsidR="000F0102" w:rsidRPr="00590718">
        <w:t xml:space="preserve"> </w:t>
      </w:r>
    </w:p>
    <w:p w14:paraId="70E2C68F" w14:textId="77777777" w:rsidR="00A92D1C" w:rsidRDefault="00A92D1C" w:rsidP="00AE4F4A">
      <w:pPr>
        <w:pStyle w:val="E3BodyText"/>
      </w:pPr>
      <w:r>
        <w:t xml:space="preserve">In response to the feedback from LCNZ, it is noted that in New Zealand, there is no plan to phase out incandescent lighting,  however there is agreement to ensure that within individual lighting technologies products are on the market are of reasonable quality. The New Zealand </w:t>
      </w:r>
      <w:r w:rsidRPr="00602E2A">
        <w:t>E</w:t>
      </w:r>
      <w:r>
        <w:t>nergy Efficiency Conservation Authority (E</w:t>
      </w:r>
      <w:r w:rsidRPr="00602E2A">
        <w:t>ECA</w:t>
      </w:r>
      <w:r>
        <w:t>)</w:t>
      </w:r>
      <w:r w:rsidRPr="00602E2A">
        <w:t xml:space="preserve"> </w:t>
      </w:r>
      <w:r>
        <w:t>accepts the feedback related to the commercial building lighting density, and has a project underway to update NZS 4243 which will address some of the concerns raised.</w:t>
      </w:r>
    </w:p>
    <w:p w14:paraId="017B43C0" w14:textId="77777777" w:rsidR="00A92D1C" w:rsidRDefault="00A92D1C" w:rsidP="000F0102">
      <w:pPr>
        <w:spacing w:line="276" w:lineRule="auto"/>
        <w:rPr>
          <w:rFonts w:ascii="Calibri" w:hAnsi="Calibri"/>
          <w:sz w:val="24"/>
        </w:rPr>
      </w:pPr>
    </w:p>
    <w:p w14:paraId="1F7310A9" w14:textId="222CF732" w:rsidR="00444428" w:rsidRPr="00444428" w:rsidRDefault="005933B0" w:rsidP="00E50964">
      <w:pPr>
        <w:pStyle w:val="E3BodyText"/>
      </w:pPr>
      <w:hyperlink w:anchor="Attachment_A" w:history="1">
        <w:r w:rsidR="00444428" w:rsidRPr="00AB710B">
          <w:rPr>
            <w:rStyle w:val="Hyperlink"/>
          </w:rPr>
          <w:t>Attachment A</w:t>
        </w:r>
      </w:hyperlink>
      <w:r w:rsidR="00444428" w:rsidRPr="00AB710B">
        <w:t xml:space="preserve"> </w:t>
      </w:r>
      <w:r w:rsidR="00444428">
        <w:t>includes a summary of the LED MEPS for lamps</w:t>
      </w:r>
      <w:r w:rsidR="007D40C4">
        <w:t xml:space="preserve"> proposal and references the draft LED MEPS document (</w:t>
      </w:r>
      <w:hyperlink w:anchor="Attachment_J" w:history="1">
        <w:r w:rsidR="00135A2B" w:rsidRPr="00AB710B">
          <w:rPr>
            <w:rStyle w:val="Hyperlink"/>
          </w:rPr>
          <w:t>Attachment J</w:t>
        </w:r>
      </w:hyperlink>
      <w:r w:rsidR="007D40C4">
        <w:t xml:space="preserve">), and </w:t>
      </w:r>
      <w:r w:rsidR="00135A2B">
        <w:t xml:space="preserve">an explanatory paper on lumen maintenance </w:t>
      </w:r>
      <w:r w:rsidR="007D40C4">
        <w:t>(</w:t>
      </w:r>
      <w:hyperlink w:anchor="Attachment_I" w:history="1">
        <w:r w:rsidR="007D40C4" w:rsidRPr="00AB710B">
          <w:rPr>
            <w:rStyle w:val="Hyperlink"/>
          </w:rPr>
          <w:t>Attachment I</w:t>
        </w:r>
      </w:hyperlink>
      <w:r w:rsidR="007D40C4" w:rsidRPr="007D40C4">
        <w:rPr>
          <w:u w:val="single"/>
        </w:rPr>
        <w:t>)</w:t>
      </w:r>
      <w:r w:rsidR="00135A2B">
        <w:t>.</w:t>
      </w:r>
    </w:p>
    <w:p w14:paraId="5073C9F2" w14:textId="640E60F3" w:rsidR="00E50964" w:rsidRDefault="005933B0" w:rsidP="00E50964">
      <w:pPr>
        <w:pStyle w:val="E3BodyText"/>
      </w:pPr>
      <w:hyperlink w:anchor="Attachment_B" w:history="1">
        <w:r w:rsidR="00E50964" w:rsidRPr="00AB710B">
          <w:rPr>
            <w:rStyle w:val="Hyperlink"/>
          </w:rPr>
          <w:t>Attachment B</w:t>
        </w:r>
      </w:hyperlink>
      <w:r w:rsidR="00E50964" w:rsidRPr="00AB710B">
        <w:t xml:space="preserve"> </w:t>
      </w:r>
      <w:r w:rsidR="00E50964">
        <w:t>includes a summary of recent testing of LED lamps conducted by ASEAN SHINE. This more recent testing supplements the test results presented in the CRIS, further demonstrating that quality issues exist in the market.</w:t>
      </w:r>
    </w:p>
    <w:p w14:paraId="05173677" w14:textId="00011F32" w:rsidR="00E50964" w:rsidRDefault="005933B0" w:rsidP="00E50964">
      <w:pPr>
        <w:pStyle w:val="E3BodyText"/>
      </w:pPr>
      <w:hyperlink w:anchor="Attachment_C" w:history="1">
        <w:r w:rsidR="00E50964" w:rsidRPr="00AB710B">
          <w:rPr>
            <w:rStyle w:val="Hyperlink"/>
          </w:rPr>
          <w:t>Attachment C</w:t>
        </w:r>
      </w:hyperlink>
      <w:r w:rsidR="00E50964">
        <w:t xml:space="preserve"> includes analysis of</w:t>
      </w:r>
      <w:r w:rsidR="0006073D">
        <w:t xml:space="preserve"> LED</w:t>
      </w:r>
      <w:r w:rsidR="00E50964">
        <w:t xml:space="preserve"> lamps against the proposed MEPS level of 65lm/W (2018) in the CRIS</w:t>
      </w:r>
      <w:r w:rsidR="00444428">
        <w:t>,</w:t>
      </w:r>
      <w:r w:rsidR="00E50964">
        <w:t xml:space="preserve"> and recommends an increase</w:t>
      </w:r>
      <w:r w:rsidR="00444428">
        <w:t xml:space="preserve"> in</w:t>
      </w:r>
      <w:r w:rsidR="0006073D">
        <w:t xml:space="preserve"> MEPS</w:t>
      </w:r>
      <w:r w:rsidR="00444428">
        <w:t xml:space="preserve"> efficacy</w:t>
      </w:r>
      <w:r w:rsidR="00E50964">
        <w:t xml:space="preserve"> with </w:t>
      </w:r>
      <w:r w:rsidR="00444428">
        <w:t>2019 start date</w:t>
      </w:r>
      <w:r w:rsidR="00E50964">
        <w:t xml:space="preserve">. The E3 program seeks feedback from lamp suppliers </w:t>
      </w:r>
      <w:r w:rsidR="00444428">
        <w:t xml:space="preserve">on </w:t>
      </w:r>
      <w:r w:rsidR="00E50964">
        <w:t>revised levels and if considered to</w:t>
      </w:r>
      <w:r w:rsidR="00AB710B">
        <w:t>o</w:t>
      </w:r>
      <w:r w:rsidR="00E50964">
        <w:t xml:space="preserve"> high/low an alternative position with supporting data.</w:t>
      </w:r>
    </w:p>
    <w:p w14:paraId="669115C5" w14:textId="7ACC685B" w:rsidR="00E50964" w:rsidRDefault="005933B0" w:rsidP="00E50964">
      <w:pPr>
        <w:pStyle w:val="E3BodyText"/>
      </w:pPr>
      <w:hyperlink w:anchor="Attachment_D" w:history="1">
        <w:r w:rsidR="00E50964" w:rsidRPr="00AB710B">
          <w:rPr>
            <w:rStyle w:val="Hyperlink"/>
          </w:rPr>
          <w:t>Attachment D</w:t>
        </w:r>
      </w:hyperlink>
      <w:r w:rsidR="00E50964" w:rsidRPr="00AB710B">
        <w:t xml:space="preserve"> </w:t>
      </w:r>
      <w:r w:rsidR="00E50964">
        <w:t xml:space="preserve">summarises the compliance approach </w:t>
      </w:r>
      <w:r w:rsidR="00444428">
        <w:t>for</w:t>
      </w:r>
      <w:r w:rsidR="00E50964">
        <w:t xml:space="preserve"> LED </w:t>
      </w:r>
      <w:r w:rsidR="00444428">
        <w:t>lamps.</w:t>
      </w:r>
    </w:p>
    <w:p w14:paraId="66FD1CA7" w14:textId="1C049659" w:rsidR="00E50964" w:rsidRPr="008246D2" w:rsidRDefault="005933B0" w:rsidP="00E50964">
      <w:pPr>
        <w:pStyle w:val="E3BodyText"/>
      </w:pPr>
      <w:hyperlink w:anchor="Attachment_E" w:history="1">
        <w:r w:rsidR="00E50964" w:rsidRPr="00AB710B">
          <w:rPr>
            <w:rStyle w:val="Hyperlink"/>
          </w:rPr>
          <w:t>Attachment E</w:t>
        </w:r>
      </w:hyperlink>
      <w:r w:rsidR="00E50964" w:rsidRPr="00AB710B">
        <w:t xml:space="preserve"> </w:t>
      </w:r>
      <w:r w:rsidR="00E50964">
        <w:t xml:space="preserve">includes a summary of cost benefit modelling for </w:t>
      </w:r>
      <w:r w:rsidR="000F1FE6">
        <w:t>MEPS on LED lamps</w:t>
      </w:r>
      <w:r w:rsidR="00E50964">
        <w:t xml:space="preserve"> (Australia and New Zealan</w:t>
      </w:r>
      <w:r w:rsidR="000F1FE6">
        <w:t xml:space="preserve">d) </w:t>
      </w:r>
    </w:p>
    <w:p w14:paraId="174116B3" w14:textId="5C545189" w:rsidR="00E50964" w:rsidRDefault="005933B0" w:rsidP="00E50964">
      <w:pPr>
        <w:pStyle w:val="E3BodyText"/>
      </w:pPr>
      <w:hyperlink w:anchor="Attachment_F" w:history="1">
        <w:r w:rsidR="00E50964" w:rsidRPr="00AB710B">
          <w:rPr>
            <w:rStyle w:val="Hyperlink"/>
          </w:rPr>
          <w:t>Attachment F</w:t>
        </w:r>
      </w:hyperlink>
      <w:r w:rsidR="00E50964">
        <w:t xml:space="preserve"> includes an assessment of costs to comply with proposed MEPS on LED lamps and proposed GEMS fees for LED lamps (Australia only).</w:t>
      </w:r>
    </w:p>
    <w:p w14:paraId="37109750" w14:textId="67003767" w:rsidR="00E50964" w:rsidRDefault="005933B0" w:rsidP="00E50964">
      <w:pPr>
        <w:rPr>
          <w:rFonts w:ascii="Calibri" w:hAnsi="Calibri"/>
          <w:sz w:val="24"/>
        </w:rPr>
      </w:pPr>
      <w:hyperlink w:anchor="Attachment_G" w:history="1">
        <w:r w:rsidR="00E50964" w:rsidRPr="00AB710B">
          <w:rPr>
            <w:rStyle w:val="Hyperlink"/>
            <w:rFonts w:ascii="Calibri" w:hAnsi="Calibri"/>
            <w:sz w:val="24"/>
          </w:rPr>
          <w:t>Attachment G</w:t>
        </w:r>
      </w:hyperlink>
      <w:r w:rsidR="00E50964">
        <w:rPr>
          <w:rFonts w:ascii="Calibri" w:hAnsi="Calibri"/>
          <w:sz w:val="24"/>
        </w:rPr>
        <w:t xml:space="preserve"> provides guidance on the circumstances where product registration would be required with introduction of MEPS for LED products. </w:t>
      </w:r>
    </w:p>
    <w:p w14:paraId="4F2A3D03" w14:textId="531514D4" w:rsidR="00E50964" w:rsidRPr="00AE4F4A" w:rsidRDefault="00E50964" w:rsidP="00AE4F4A">
      <w:pPr>
        <w:pStyle w:val="E3BodyText"/>
      </w:pPr>
      <w:r w:rsidRPr="00AE4F4A">
        <w:t xml:space="preserve">Stakeholders are requested to review and provide comments on the attachments, to further inform the </w:t>
      </w:r>
      <w:r w:rsidR="00D50CC1" w:rsidRPr="00AE4F4A">
        <w:t>D</w:t>
      </w:r>
      <w:r w:rsidRPr="00AE4F4A">
        <w:t>RIS.</w:t>
      </w:r>
    </w:p>
    <w:p w14:paraId="76218BD9" w14:textId="77777777" w:rsidR="000F0102" w:rsidRPr="00590718" w:rsidRDefault="000F0102" w:rsidP="000F0102">
      <w:pPr>
        <w:spacing w:line="276" w:lineRule="auto"/>
        <w:rPr>
          <w:rFonts w:ascii="Calibri" w:hAnsi="Calibri"/>
          <w:b/>
          <w:sz w:val="24"/>
        </w:rPr>
      </w:pPr>
      <w:r w:rsidRPr="00590718">
        <w:rPr>
          <w:rFonts w:ascii="Calibri" w:hAnsi="Calibri"/>
          <w:b/>
          <w:sz w:val="24"/>
        </w:rPr>
        <w:t>Timing</w:t>
      </w:r>
    </w:p>
    <w:p w14:paraId="68A01178" w14:textId="571A2C82" w:rsidR="000F0102" w:rsidRPr="00590718" w:rsidRDefault="00FA4134" w:rsidP="00AE4F4A">
      <w:pPr>
        <w:pStyle w:val="E3BodyText"/>
      </w:pPr>
      <w:r w:rsidRPr="00590718">
        <w:t xml:space="preserve">The </w:t>
      </w:r>
      <w:r w:rsidR="00D50CC1">
        <w:t>D</w:t>
      </w:r>
      <w:r w:rsidRPr="00590718">
        <w:t>RIS will recommend that LED MEPS for lamps becomes effective 12 months after publication of the determination</w:t>
      </w:r>
      <w:r w:rsidR="008548D6">
        <w:t xml:space="preserve"> (expected by March 2018)</w:t>
      </w:r>
      <w:r w:rsidRPr="00590718">
        <w:t xml:space="preserve">. </w:t>
      </w:r>
    </w:p>
    <w:p w14:paraId="57D77570" w14:textId="0FBBB48E" w:rsidR="00F13B27" w:rsidRPr="003747C2" w:rsidRDefault="001F7E3C" w:rsidP="002F6383">
      <w:pPr>
        <w:pStyle w:val="E3BodyText"/>
        <w:rPr>
          <w:b/>
        </w:rPr>
      </w:pPr>
      <w:r w:rsidRPr="003747C2">
        <w:rPr>
          <w:b/>
        </w:rPr>
        <w:t>Luminaires</w:t>
      </w:r>
    </w:p>
    <w:p w14:paraId="5E4DC1EF" w14:textId="4D801ED2" w:rsidR="002D25B7" w:rsidRDefault="006016ED" w:rsidP="00AE4F4A">
      <w:pPr>
        <w:pStyle w:val="E3BodyText"/>
      </w:pPr>
      <w:r>
        <w:t>The</w:t>
      </w:r>
      <w:r w:rsidR="002D25B7">
        <w:t xml:space="preserve"> policy proposal to include LED MEPS on the broad scope of </w:t>
      </w:r>
      <w:r w:rsidRPr="00590718">
        <w:t>integrated luminaire</w:t>
      </w:r>
      <w:r w:rsidR="002D25B7">
        <w:t xml:space="preserve"> products defined in the CRIS</w:t>
      </w:r>
      <w:r w:rsidR="00AA4C6F">
        <w:t xml:space="preserve"> </w:t>
      </w:r>
      <w:r w:rsidR="00AA4C6F" w:rsidRPr="00602E2A">
        <w:t>(small directional; small non-directional; planar, bat</w:t>
      </w:r>
      <w:r w:rsidR="00AA4C6F">
        <w:t>tens and troffers; and large)</w:t>
      </w:r>
      <w:r w:rsidR="002D25B7">
        <w:t xml:space="preserve"> will not be </w:t>
      </w:r>
      <w:r w:rsidR="00AA4C6F">
        <w:t>recommended</w:t>
      </w:r>
      <w:r w:rsidR="00E26A1E">
        <w:t xml:space="preserve"> for immediate commencement</w:t>
      </w:r>
      <w:r w:rsidR="00AA4C6F">
        <w:t xml:space="preserve"> </w:t>
      </w:r>
      <w:r w:rsidR="002D25B7">
        <w:t xml:space="preserve">in the </w:t>
      </w:r>
      <w:r w:rsidR="00D50CC1">
        <w:t>D</w:t>
      </w:r>
      <w:r w:rsidR="002D25B7">
        <w:t xml:space="preserve">RIS. </w:t>
      </w:r>
    </w:p>
    <w:p w14:paraId="0CFAD847" w14:textId="060B679E" w:rsidR="00C51C90" w:rsidRDefault="006A0E14" w:rsidP="00AE4F4A">
      <w:pPr>
        <w:pStyle w:val="E3BodyText"/>
      </w:pPr>
      <w:r>
        <w:t>T</w:t>
      </w:r>
      <w:r w:rsidR="00E0716E">
        <w:t>he DRIS will recommend the staging of MEPS on LED lighting products, starting with LED lamps. It will specify that a</w:t>
      </w:r>
      <w:r w:rsidR="008548D6">
        <w:t xml:space="preserve">s part of the GEMS Legislative review, </w:t>
      </w:r>
      <w:r w:rsidR="00C66B33">
        <w:t>(</w:t>
      </w:r>
      <w:r w:rsidR="002631CB">
        <w:t>commencing in 2017</w:t>
      </w:r>
      <w:r w:rsidR="00C66B33">
        <w:t>),</w:t>
      </w:r>
      <w:r w:rsidR="002631CB">
        <w:t xml:space="preserve"> the </w:t>
      </w:r>
      <w:r w:rsidR="008548D6">
        <w:t>review consider changes to the GEMS Act to facilitate MEPS on integrated lighting products</w:t>
      </w:r>
      <w:r w:rsidR="002631CB">
        <w:t xml:space="preserve"> (</w:t>
      </w:r>
      <w:r w:rsidR="00E0716E">
        <w:t>by allowing greater flexibility to manage large numbers of models and customised/bespoke products to reduce compliance costs</w:t>
      </w:r>
      <w:r w:rsidR="002631CB">
        <w:t xml:space="preserve">) to </w:t>
      </w:r>
      <w:r w:rsidR="00C51C90">
        <w:t>allow the introduction of MEPS on integrated lighting products</w:t>
      </w:r>
      <w:r w:rsidR="00E311CD">
        <w:t>.</w:t>
      </w:r>
    </w:p>
    <w:p w14:paraId="433D8598" w14:textId="50932082" w:rsidR="008D06A2" w:rsidRDefault="003747C2" w:rsidP="00AE4F4A">
      <w:pPr>
        <w:pStyle w:val="E3BodyText"/>
      </w:pPr>
      <w:r>
        <w:t>Following the CRIS stakeholder feedback, t</w:t>
      </w:r>
      <w:r w:rsidR="006302F9">
        <w:t xml:space="preserve">he Department sought to negotiate a reduced scope for integrated luminaires to focus on recessed </w:t>
      </w:r>
      <w:r w:rsidR="00C66B33">
        <w:t xml:space="preserve">integrated </w:t>
      </w:r>
      <w:r w:rsidR="006302F9">
        <w:t xml:space="preserve">downlights which are a direct replacement for halogen downlights. Introduction of MEPS on these products, in addition to downlight lamps, would then </w:t>
      </w:r>
      <w:r>
        <w:t>facilitate</w:t>
      </w:r>
      <w:r w:rsidR="006302F9">
        <w:t xml:space="preserve"> the </w:t>
      </w:r>
      <w:r w:rsidR="00D50CC1">
        <w:t>phase out</w:t>
      </w:r>
      <w:r w:rsidR="006302F9">
        <w:t xml:space="preserve"> of halogen</w:t>
      </w:r>
      <w:r>
        <w:t xml:space="preserve"> downlights</w:t>
      </w:r>
      <w:r w:rsidR="006302F9">
        <w:t xml:space="preserve"> in Australia. Whilst the Department sought to provide greater flexibility to reduce supplier costs</w:t>
      </w:r>
      <w:r w:rsidR="003D74D9">
        <w:t xml:space="preserve"> (such as a broader definition of family of models for registration purposes)</w:t>
      </w:r>
      <w:r w:rsidR="006302F9">
        <w:t>,</w:t>
      </w:r>
      <w:r w:rsidR="003D74D9">
        <w:t xml:space="preserve"> </w:t>
      </w:r>
      <w:r w:rsidR="0006073D">
        <w:t xml:space="preserve">some </w:t>
      </w:r>
      <w:r w:rsidR="003D74D9">
        <w:t>s</w:t>
      </w:r>
      <w:r w:rsidR="006302F9">
        <w:t>takeholders considered that the compliance burden of thi</w:t>
      </w:r>
      <w:r w:rsidR="008D06A2">
        <w:t xml:space="preserve">s proposal remained high, due to the </w:t>
      </w:r>
      <w:r w:rsidR="003D74D9">
        <w:t xml:space="preserve">large number of products </w:t>
      </w:r>
      <w:r w:rsidR="00AE4F4A">
        <w:t>in-scope</w:t>
      </w:r>
      <w:r w:rsidR="003D74D9">
        <w:t xml:space="preserve"> and </w:t>
      </w:r>
      <w:r w:rsidR="008D06A2">
        <w:t>complexity involved</w:t>
      </w:r>
      <w:r w:rsidR="006302F9">
        <w:t xml:space="preserve"> in registration and </w:t>
      </w:r>
      <w:r w:rsidR="008D06A2">
        <w:t>compliance activities</w:t>
      </w:r>
      <w:r w:rsidR="003D74D9">
        <w:t>.</w:t>
      </w:r>
      <w:r w:rsidR="008D06A2">
        <w:t xml:space="preserve">  </w:t>
      </w:r>
    </w:p>
    <w:p w14:paraId="7123497B" w14:textId="37530A32" w:rsidR="006A0E14" w:rsidRDefault="006A0E14" w:rsidP="00AE4F4A">
      <w:pPr>
        <w:pStyle w:val="E3BodyText"/>
      </w:pPr>
      <w:r>
        <w:t xml:space="preserve">The </w:t>
      </w:r>
      <w:r w:rsidR="00BC5E14">
        <w:t>GEMS Act requires</w:t>
      </w:r>
      <w:r>
        <w:t xml:space="preserve"> product </w:t>
      </w:r>
      <w:r w:rsidR="00AA6B53">
        <w:t xml:space="preserve">model </w:t>
      </w:r>
      <w:r>
        <w:t xml:space="preserve">level registration, including specifying all models </w:t>
      </w:r>
      <w:r w:rsidR="00AA6B53">
        <w:t xml:space="preserve">where a </w:t>
      </w:r>
      <w:r>
        <w:t>family registration</w:t>
      </w:r>
      <w:r w:rsidR="00AA6B53">
        <w:t xml:space="preserve"> is used</w:t>
      </w:r>
      <w:r>
        <w:t>.</w:t>
      </w:r>
      <w:r w:rsidR="00BC5E14" w:rsidRPr="00BC5E14">
        <w:t xml:space="preserve"> </w:t>
      </w:r>
      <w:r w:rsidR="00BC5E14">
        <w:t xml:space="preserve">This creates </w:t>
      </w:r>
      <w:r w:rsidR="00AA6B53">
        <w:t>a particular</w:t>
      </w:r>
      <w:r w:rsidR="00BC5E14">
        <w:t xml:space="preserve"> compliance burden f</w:t>
      </w:r>
      <w:r>
        <w:t xml:space="preserve">or suppliers who are offering a large </w:t>
      </w:r>
      <w:r w:rsidR="00AA6B53">
        <w:t>range of</w:t>
      </w:r>
      <w:r>
        <w:t xml:space="preserve"> models for sale</w:t>
      </w:r>
      <w:r w:rsidR="00AA6B53">
        <w:t>,</w:t>
      </w:r>
      <w:r>
        <w:t xml:space="preserve"> or providing customised products to order</w:t>
      </w:r>
      <w:r w:rsidR="00BC5E14">
        <w:t xml:space="preserve">. </w:t>
      </w:r>
      <w:r w:rsidR="00BC5E14" w:rsidRPr="00254880">
        <w:t>Some commercial lighting suppliers have differentiated themselves by providing custom made products to order, assembled and dispatched in Australia to the customer within 4 weeks (often at low volume). Requiring upfront model registration would be costly to these businesses</w:t>
      </w:r>
      <w:r w:rsidR="00AA6B53">
        <w:t xml:space="preserve"> in terms of administrative costs</w:t>
      </w:r>
      <w:r w:rsidR="00BC5E14" w:rsidRPr="00254880">
        <w:t>.</w:t>
      </w:r>
      <w:r w:rsidR="00254880" w:rsidRPr="00254880">
        <w:t xml:space="preserve">  Whilst </w:t>
      </w:r>
      <w:r w:rsidR="00AA6B53">
        <w:t xml:space="preserve">providing for the registration of </w:t>
      </w:r>
      <w:r w:rsidR="00254880" w:rsidRPr="00254880">
        <w:t>large families</w:t>
      </w:r>
      <w:r w:rsidR="00AA6B53">
        <w:t xml:space="preserve"> and allowing a simplified registration of products with limited supply are both</w:t>
      </w:r>
      <w:r w:rsidR="00254880" w:rsidRPr="00254880">
        <w:t xml:space="preserve"> means to reduce compliance costs, this does introduce a</w:t>
      </w:r>
      <w:r w:rsidR="00AA6B53">
        <w:t xml:space="preserve">n added level </w:t>
      </w:r>
      <w:r w:rsidR="00254880" w:rsidRPr="00254880">
        <w:t xml:space="preserve">of complexity for both suppliers, in determining family groupings, and the regulator in assessing if these groupings are valid. Large families also introduce complexity in compliance </w:t>
      </w:r>
      <w:r w:rsidR="00AA6B53">
        <w:t xml:space="preserve">and enforcement </w:t>
      </w:r>
      <w:r w:rsidR="00254880" w:rsidRPr="00254880">
        <w:t>activities.</w:t>
      </w:r>
    </w:p>
    <w:p w14:paraId="26702EE0" w14:textId="2554A61D" w:rsidR="00BC460D" w:rsidRDefault="00BC460D" w:rsidP="00AE4F4A">
      <w:pPr>
        <w:pStyle w:val="E3BodyText"/>
      </w:pPr>
      <w:r>
        <w:t xml:space="preserve">A further proposal is to make available voluntary registration for </w:t>
      </w:r>
      <w:r w:rsidR="0006073D">
        <w:t xml:space="preserve">integrated </w:t>
      </w:r>
      <w:r w:rsidRPr="00BC460D">
        <w:t>luminaires</w:t>
      </w:r>
      <w:r w:rsidR="00E0716E">
        <w:t xml:space="preserve"> </w:t>
      </w:r>
      <w:r w:rsidRPr="00BC460D">
        <w:t>(</w:t>
      </w:r>
      <w:r w:rsidR="003747C2">
        <w:t xml:space="preserve">downlights, </w:t>
      </w:r>
      <w:r w:rsidRPr="00BC460D">
        <w:t>high bay, low bay, planar, battens and troffers</w:t>
      </w:r>
      <w:r w:rsidR="00E0716E">
        <w:t>)</w:t>
      </w:r>
      <w:r>
        <w:t>.  This may be of value to some suppliers concerned about quality in the broader market, and may also serve as a one-stop registration for state based whi</w:t>
      </w:r>
      <w:r w:rsidR="00670C02">
        <w:t>t</w:t>
      </w:r>
      <w:r>
        <w:t xml:space="preserve">e certificate programs if supported by relevant state programs. This will be discussed further with relevant state and territory </w:t>
      </w:r>
      <w:r w:rsidR="00AE4F4A">
        <w:t>governments</w:t>
      </w:r>
      <w:r>
        <w:t xml:space="preserve"> pri</w:t>
      </w:r>
      <w:r w:rsidR="00670C02">
        <w:t>o</w:t>
      </w:r>
      <w:r>
        <w:t xml:space="preserve">r to the </w:t>
      </w:r>
      <w:r w:rsidR="002631CB">
        <w:t>DRIS</w:t>
      </w:r>
      <w:r>
        <w:t>.</w:t>
      </w:r>
      <w:r w:rsidR="00C66B33">
        <w:t xml:space="preserve"> Stakeholder feedback on the value of this option is also invited.</w:t>
      </w:r>
      <w:r w:rsidR="00BC5E14">
        <w:t xml:space="preserve"> </w:t>
      </w:r>
    </w:p>
    <w:p w14:paraId="5AC20771" w14:textId="77777777" w:rsidR="00580B83" w:rsidRPr="002D25B7" w:rsidRDefault="00580B83" w:rsidP="002D25B7">
      <w:pPr>
        <w:spacing w:line="276" w:lineRule="auto"/>
        <w:rPr>
          <w:rFonts w:ascii="Calibri" w:hAnsi="Calibri"/>
          <w:sz w:val="24"/>
        </w:rPr>
      </w:pPr>
    </w:p>
    <w:p w14:paraId="0ACF5610" w14:textId="72D53DD9" w:rsidR="00E07D8E" w:rsidRPr="00343437" w:rsidRDefault="00E07D8E" w:rsidP="00E07D8E">
      <w:pPr>
        <w:pStyle w:val="E3Heading2"/>
        <w:rPr>
          <w:lang w:val="en-AU"/>
        </w:rPr>
      </w:pPr>
      <w:bookmarkStart w:id="10" w:name="_Toc493159041"/>
      <w:r w:rsidRPr="00343437">
        <w:rPr>
          <w:lang w:val="en-AU"/>
        </w:rPr>
        <w:t xml:space="preserve">2. </w:t>
      </w:r>
      <w:r>
        <w:rPr>
          <w:lang w:val="en-AU"/>
        </w:rPr>
        <w:t>Introduce MEPS for non-integrated commercial luminaires</w:t>
      </w:r>
      <w:bookmarkEnd w:id="10"/>
    </w:p>
    <w:p w14:paraId="4F2568AC" w14:textId="77777777" w:rsidR="00E07D8E" w:rsidRPr="00343437" w:rsidRDefault="00E07D8E" w:rsidP="00E07D8E">
      <w:pPr>
        <w:pStyle w:val="E3Heading3"/>
        <w:rPr>
          <w:lang w:val="en-AU"/>
        </w:rPr>
      </w:pPr>
      <w:r w:rsidRPr="00343437">
        <w:rPr>
          <w:lang w:val="en-AU"/>
        </w:rPr>
        <w:t>Feedback:</w:t>
      </w:r>
    </w:p>
    <w:p w14:paraId="692D658D" w14:textId="77777777" w:rsidR="00B2783F" w:rsidRPr="00AF1EC2" w:rsidRDefault="0061708C" w:rsidP="00AE4F4A">
      <w:pPr>
        <w:pStyle w:val="E3BodyText"/>
      </w:pPr>
      <w:r w:rsidRPr="00AF1EC2">
        <w:t>Stakeholders were generally of the view that non-integrated commercial luminaires will be gradually removed from the mark</w:t>
      </w:r>
      <w:r w:rsidR="00B2783F" w:rsidRPr="00AF1EC2">
        <w:t>et over the next several years.</w:t>
      </w:r>
    </w:p>
    <w:p w14:paraId="0D9DAE9D" w14:textId="5BD33E7B" w:rsidR="0061708C" w:rsidRPr="00AF1EC2" w:rsidRDefault="0061708C" w:rsidP="00AE4F4A">
      <w:pPr>
        <w:pStyle w:val="E3BodyText"/>
      </w:pPr>
      <w:r w:rsidRPr="00AF1EC2">
        <w:t>Some stakeholders agreed that there may be a case for a simple MEPS level to be introduced to accelerate this removal and to also prevent some backwash into cheaper, lower quality non-integrated products at the lower end of the commercial building market</w:t>
      </w:r>
      <w:r w:rsidR="00BC460D">
        <w:t xml:space="preserve"> if MEPS was introduced for LED alte</w:t>
      </w:r>
      <w:r w:rsidR="0006073D">
        <w:t>rnatives</w:t>
      </w:r>
      <w:r w:rsidR="00BC460D">
        <w:t xml:space="preserve"> (such as planar lumi</w:t>
      </w:r>
      <w:r w:rsidR="0006073D">
        <w:t>naires</w:t>
      </w:r>
      <w:r w:rsidR="00BC460D">
        <w:t>)</w:t>
      </w:r>
      <w:r w:rsidRPr="00AF1EC2">
        <w:t xml:space="preserve">, locking in inefficient lighting in these buildings for years to come.  </w:t>
      </w:r>
    </w:p>
    <w:p w14:paraId="75406F16" w14:textId="04B8176D" w:rsidR="0061708C" w:rsidRPr="00AF1EC2" w:rsidRDefault="0061708C" w:rsidP="00AE4F4A">
      <w:pPr>
        <w:pStyle w:val="E3BodyText"/>
      </w:pPr>
      <w:r w:rsidRPr="00AF1EC2">
        <w:t>Lighting Council Australia</w:t>
      </w:r>
      <w:r w:rsidR="00580B83">
        <w:t xml:space="preserve"> (LCA)</w:t>
      </w:r>
      <w:r w:rsidRPr="00AF1EC2">
        <w:t xml:space="preserve"> </w:t>
      </w:r>
      <w:r w:rsidR="00B2783F" w:rsidRPr="00AF1EC2">
        <w:t>did</w:t>
      </w:r>
      <w:r w:rsidRPr="00AF1EC2">
        <w:t xml:space="preserve"> not support the introduction of MEPS for these products</w:t>
      </w:r>
      <w:r w:rsidR="00B2783F" w:rsidRPr="00AF1EC2">
        <w:t xml:space="preserve">. </w:t>
      </w:r>
      <w:r w:rsidRPr="00AF1EC2">
        <w:t xml:space="preserve"> </w:t>
      </w:r>
    </w:p>
    <w:p w14:paraId="43F285B8" w14:textId="4B4DE22A" w:rsidR="0061708C" w:rsidRPr="00AF1EC2" w:rsidRDefault="00580B83" w:rsidP="00AE4F4A">
      <w:pPr>
        <w:pStyle w:val="E3BodyText"/>
      </w:pPr>
      <w:r>
        <w:t>LCNZ</w:t>
      </w:r>
      <w:r w:rsidR="0061708C" w:rsidRPr="00AF1EC2">
        <w:t xml:space="preserve"> argued against the introduction of MEPS for non-integrated commercial luminaires in New Zealand on the basis that the updating of the lighting design energy performance standard NZS4243:</w:t>
      </w:r>
      <w:r w:rsidR="00CF6EA7">
        <w:t xml:space="preserve"> </w:t>
      </w:r>
      <w:r w:rsidR="0061708C" w:rsidRPr="00AF1EC2">
        <w:t>Part 2:2007 and building code energy limits for commercial and industrial buildings is a higher priority in this area.</w:t>
      </w:r>
      <w:r w:rsidR="006B0D40">
        <w:t xml:space="preserve">  There is a project underway to </w:t>
      </w:r>
      <w:r w:rsidR="0006073D">
        <w:t>update</w:t>
      </w:r>
      <w:r w:rsidR="006B0D40">
        <w:t xml:space="preserve"> NZS4243.</w:t>
      </w:r>
    </w:p>
    <w:p w14:paraId="4A00BEE2" w14:textId="77777777" w:rsidR="00B2783F" w:rsidRPr="00AF1EC2" w:rsidRDefault="00B2783F" w:rsidP="00AE4F4A">
      <w:pPr>
        <w:pStyle w:val="E3BodyText"/>
      </w:pPr>
      <w:r w:rsidRPr="00AF1EC2">
        <w:t>This option was presented to serve a dual purpose of achieving energy savings in the lower end of the commercial market where there is no incentive for the agent to install efficient luminaires, as well as addressing a potential regulatory imbalance if MEPS is applied only to LED integrated luminaires.</w:t>
      </w:r>
    </w:p>
    <w:p w14:paraId="50751E54" w14:textId="2AEF1E40" w:rsidR="00AF1EC2" w:rsidRPr="00AF1EC2" w:rsidRDefault="00B2783F" w:rsidP="00AE4F4A">
      <w:pPr>
        <w:pStyle w:val="E3BodyText"/>
      </w:pPr>
      <w:r w:rsidRPr="00AF1EC2">
        <w:t xml:space="preserve">The latter rationale is no longer applicable for the </w:t>
      </w:r>
      <w:r w:rsidR="0006073D">
        <w:t>DRIS</w:t>
      </w:r>
      <w:r w:rsidRPr="00AF1EC2">
        <w:t>, with LED MEPS not being proposed on LED</w:t>
      </w:r>
      <w:r w:rsidRPr="00CF6EA7">
        <w:rPr>
          <w:lang w:val="en-AU"/>
        </w:rPr>
        <w:t xml:space="preserve"> planars</w:t>
      </w:r>
      <w:r w:rsidRPr="00AF1EC2">
        <w:t xml:space="preserve"> etc. until further investigation is carried out</w:t>
      </w:r>
      <w:r w:rsidR="00C66B33">
        <w:t xml:space="preserve"> to address the regulatory issues</w:t>
      </w:r>
      <w:r w:rsidRPr="00AF1EC2">
        <w:t>.</w:t>
      </w:r>
      <w:r w:rsidR="00590718" w:rsidRPr="00AF1EC2">
        <w:t xml:space="preserve"> </w:t>
      </w:r>
    </w:p>
    <w:p w14:paraId="4DAE4285" w14:textId="77777777" w:rsidR="00E07D8E" w:rsidRPr="00343437" w:rsidRDefault="00E07D8E" w:rsidP="00FA455D">
      <w:pPr>
        <w:pStyle w:val="E3Heading3"/>
        <w:rPr>
          <w:lang w:val="en-AU"/>
        </w:rPr>
      </w:pPr>
      <w:r w:rsidRPr="00343437">
        <w:rPr>
          <w:lang w:val="en-AU"/>
        </w:rPr>
        <w:t>Position:</w:t>
      </w:r>
    </w:p>
    <w:p w14:paraId="313AC0CF" w14:textId="0F6F61BF" w:rsidR="00B2783F" w:rsidRDefault="00B2783F" w:rsidP="00AE4F4A">
      <w:pPr>
        <w:pStyle w:val="E3BodyText"/>
      </w:pPr>
      <w:r>
        <w:t xml:space="preserve">In the absence of strong evidence to support the need to regulate these products out of the market, this policy proposal will not be </w:t>
      </w:r>
      <w:r w:rsidR="00580B83">
        <w:t xml:space="preserve">recommended </w:t>
      </w:r>
      <w:r>
        <w:t xml:space="preserve">in the </w:t>
      </w:r>
      <w:r w:rsidR="002631CB">
        <w:t>DRIS</w:t>
      </w:r>
      <w:r>
        <w:t>. Sales trends will be reviewed in 2019 to reassess if there is a need for regulation.</w:t>
      </w:r>
    </w:p>
    <w:p w14:paraId="36038C88" w14:textId="77777777" w:rsidR="00E07D8E" w:rsidRDefault="00E07D8E" w:rsidP="002F6383">
      <w:pPr>
        <w:pStyle w:val="E3BodyText"/>
      </w:pPr>
    </w:p>
    <w:p w14:paraId="19307739" w14:textId="4E2D5988" w:rsidR="00537796" w:rsidRPr="00343437" w:rsidRDefault="00726B4F" w:rsidP="00523963">
      <w:pPr>
        <w:pStyle w:val="E3Heading2"/>
        <w:rPr>
          <w:lang w:val="en-AU"/>
        </w:rPr>
      </w:pPr>
      <w:bookmarkStart w:id="11" w:name="_Toc493159042"/>
      <w:r w:rsidRPr="00343437">
        <w:rPr>
          <w:lang w:val="en-AU"/>
        </w:rPr>
        <w:t>3.</w:t>
      </w:r>
      <w:r w:rsidR="004F1569">
        <w:rPr>
          <w:lang w:val="en-AU"/>
        </w:rPr>
        <w:t xml:space="preserve"> </w:t>
      </w:r>
      <w:r w:rsidR="00AF1EC2">
        <w:rPr>
          <w:lang w:val="en-AU"/>
        </w:rPr>
        <w:t>Increase incandescent and halogen MEPS (Australia only) to remove the most inefficient lamps</w:t>
      </w:r>
      <w:bookmarkEnd w:id="11"/>
    </w:p>
    <w:p w14:paraId="722CA321" w14:textId="77777777" w:rsidR="00537796" w:rsidRPr="00343437" w:rsidRDefault="00537796" w:rsidP="00523963">
      <w:pPr>
        <w:pStyle w:val="E3Heading3"/>
        <w:rPr>
          <w:lang w:val="en-AU" w:eastAsia="en-AU"/>
        </w:rPr>
      </w:pPr>
      <w:r w:rsidRPr="00343437">
        <w:rPr>
          <w:lang w:val="en-AU" w:eastAsia="en-AU"/>
        </w:rPr>
        <w:t>Feedback:</w:t>
      </w:r>
    </w:p>
    <w:p w14:paraId="361B35F1" w14:textId="1B6AF88B" w:rsidR="00977D32" w:rsidRPr="00633649" w:rsidRDefault="00AF1EC2" w:rsidP="00AE4F4A">
      <w:pPr>
        <w:pStyle w:val="E3BodyText"/>
      </w:pPr>
      <w:r w:rsidRPr="00633649">
        <w:t xml:space="preserve">There was broad support for the </w:t>
      </w:r>
      <w:r w:rsidR="00D50CC1">
        <w:t>phase out</w:t>
      </w:r>
      <w:r w:rsidRPr="00633649">
        <w:t xml:space="preserve"> of incandescent and halogen lighting.  Some submissions have raised concern with the availability of LED replacements for particular incandescent and halogen lamp types.  </w:t>
      </w:r>
    </w:p>
    <w:p w14:paraId="4CC4EC0A" w14:textId="77777777" w:rsidR="00537796" w:rsidRPr="00343437" w:rsidRDefault="00537796" w:rsidP="00FA455D">
      <w:pPr>
        <w:pStyle w:val="E3Heading3"/>
        <w:rPr>
          <w:lang w:val="en-AU"/>
        </w:rPr>
      </w:pPr>
      <w:r w:rsidRPr="00343437">
        <w:rPr>
          <w:lang w:val="en-AU"/>
        </w:rPr>
        <w:t>Position:</w:t>
      </w:r>
    </w:p>
    <w:p w14:paraId="2F66B476" w14:textId="7B7E6298" w:rsidR="002631CB" w:rsidRDefault="00537796" w:rsidP="00AE4F4A">
      <w:pPr>
        <w:pStyle w:val="E3BodyText"/>
      </w:pPr>
      <w:r w:rsidRPr="00343437">
        <w:t xml:space="preserve">This proposal will be </w:t>
      </w:r>
      <w:r w:rsidR="00AF1EC2">
        <w:t>recommended in the D</w:t>
      </w:r>
      <w:r w:rsidR="002631CB">
        <w:t xml:space="preserve">RIS, excluding the </w:t>
      </w:r>
      <w:r w:rsidR="00C66B33">
        <w:t xml:space="preserve">immediate </w:t>
      </w:r>
      <w:r w:rsidR="00D50CC1">
        <w:t>phase out</w:t>
      </w:r>
      <w:r w:rsidR="002631CB">
        <w:t xml:space="preserve"> of halogen downlights</w:t>
      </w:r>
      <w:r w:rsidRPr="00343437">
        <w:t xml:space="preserve">. </w:t>
      </w:r>
    </w:p>
    <w:p w14:paraId="0FA6EF4B" w14:textId="2B01698D" w:rsidR="007D40C4" w:rsidRDefault="00537796" w:rsidP="00AE4F4A">
      <w:pPr>
        <w:pStyle w:val="E3BodyText"/>
      </w:pPr>
      <w:r w:rsidRPr="00343437">
        <w:t xml:space="preserve">This recommendation </w:t>
      </w:r>
      <w:r w:rsidR="002631CB">
        <w:t>takes</w:t>
      </w:r>
      <w:r w:rsidRPr="00343437">
        <w:t xml:space="preserve"> account of the feedback received from stakeholders on </w:t>
      </w:r>
      <w:r w:rsidR="00AF1EC2">
        <w:t xml:space="preserve">exemptions or delayed introduction of the </w:t>
      </w:r>
      <w:r w:rsidR="00D50CC1">
        <w:t>phase out</w:t>
      </w:r>
      <w:r w:rsidR="00580B83">
        <w:t xml:space="preserve"> for some product types, as well as consideration of compatibility issues.</w:t>
      </w:r>
      <w:r w:rsidR="00597D98">
        <w:t xml:space="preserve"> </w:t>
      </w:r>
    </w:p>
    <w:p w14:paraId="31243E64" w14:textId="1A0F7873" w:rsidR="000F1FE6" w:rsidRPr="007D40C4" w:rsidRDefault="000F1FE6" w:rsidP="00AE4F4A">
      <w:pPr>
        <w:pStyle w:val="E3BodyText"/>
      </w:pPr>
      <w:r>
        <w:t xml:space="preserve">Refer to </w:t>
      </w:r>
      <w:hyperlink w:anchor="Attachment_H" w:history="1">
        <w:r w:rsidRPr="00AB710B">
          <w:rPr>
            <w:rStyle w:val="Hyperlink"/>
          </w:rPr>
          <w:t>Attachment H</w:t>
        </w:r>
      </w:hyperlink>
      <w:r w:rsidR="007D40C4">
        <w:t xml:space="preserve"> for </w:t>
      </w:r>
      <w:r w:rsidR="00D50CC1">
        <w:t>phase out</w:t>
      </w:r>
      <w:r w:rsidR="007D40C4">
        <w:t xml:space="preserve"> details and </w:t>
      </w:r>
      <w:hyperlink w:anchor="Attachment_E" w:history="1">
        <w:r w:rsidR="007D40C4" w:rsidRPr="00AB710B">
          <w:rPr>
            <w:rStyle w:val="Hyperlink"/>
          </w:rPr>
          <w:t>Attachment E</w:t>
        </w:r>
      </w:hyperlink>
      <w:r w:rsidR="007D40C4">
        <w:t xml:space="preserve"> for cost benefit modelling for the proposed </w:t>
      </w:r>
      <w:r w:rsidR="00D50CC1">
        <w:t>phase out</w:t>
      </w:r>
      <w:r w:rsidR="007D40C4">
        <w:t>.</w:t>
      </w:r>
    </w:p>
    <w:p w14:paraId="1113472E" w14:textId="4BE4F067" w:rsidR="002631CB" w:rsidRDefault="002631CB" w:rsidP="00AE4F4A">
      <w:pPr>
        <w:pStyle w:val="E3BodyText"/>
      </w:pPr>
      <w:r>
        <w:t xml:space="preserve">The </w:t>
      </w:r>
      <w:r w:rsidR="00D50CC1">
        <w:t>phase out</w:t>
      </w:r>
      <w:r>
        <w:t xml:space="preserve"> of </w:t>
      </w:r>
      <w:r w:rsidR="00DA66E3">
        <w:t xml:space="preserve">mains voltage and extra low voltage </w:t>
      </w:r>
      <w:r>
        <w:t xml:space="preserve">halogen downlights </w:t>
      </w:r>
      <w:r w:rsidR="005B672F">
        <w:t>(</w:t>
      </w:r>
      <w:r w:rsidR="005B672F" w:rsidRPr="005B672F">
        <w:t>MR11 shape or MR16 shape or GU10 cap</w:t>
      </w:r>
      <w:r w:rsidR="005B672F">
        <w:t xml:space="preserve">) </w:t>
      </w:r>
      <w:r>
        <w:t>has been deferred in the absence of LED MEPS on integrated recessed downlights</w:t>
      </w:r>
      <w:r w:rsidR="005B672F">
        <w:t xml:space="preserve">. </w:t>
      </w:r>
      <w:r>
        <w:t xml:space="preserve">LED </w:t>
      </w:r>
      <w:r w:rsidR="00DA66E3">
        <w:t xml:space="preserve">downlight </w:t>
      </w:r>
      <w:r>
        <w:t>lamp</w:t>
      </w:r>
      <w:r w:rsidR="005B672F">
        <w:t>s</w:t>
      </w:r>
      <w:r>
        <w:t xml:space="preserve"> </w:t>
      </w:r>
      <w:r w:rsidR="005B672F">
        <w:t xml:space="preserve">and LED integrated </w:t>
      </w:r>
      <w:r>
        <w:t>downlight</w:t>
      </w:r>
      <w:r w:rsidR="00752F3D">
        <w:t xml:space="preserve"> luminai</w:t>
      </w:r>
      <w:r w:rsidR="005B672F">
        <w:t>res</w:t>
      </w:r>
      <w:r>
        <w:t xml:space="preserve"> are </w:t>
      </w:r>
      <w:r w:rsidR="005B672F">
        <w:t xml:space="preserve">both </w:t>
      </w:r>
      <w:r>
        <w:t>direct replacement product</w:t>
      </w:r>
      <w:r w:rsidR="005B672F">
        <w:t>s for halogen downlights</w:t>
      </w:r>
      <w:r>
        <w:t xml:space="preserve">. The integrated </w:t>
      </w:r>
      <w:r w:rsidR="005B672F">
        <w:t xml:space="preserve">LED downlight luminaire </w:t>
      </w:r>
      <w:r>
        <w:t xml:space="preserve">products are </w:t>
      </w:r>
      <w:r w:rsidR="005B672F">
        <w:t xml:space="preserve">already </w:t>
      </w:r>
      <w:r>
        <w:t xml:space="preserve">mainstream in retail and trade outlets and heavily promoted by trades. </w:t>
      </w:r>
      <w:r w:rsidR="005B672F">
        <w:t xml:space="preserve">While some consumers are already choosing to voluntarily convert to either LED lamps or integrated downlight luminaires, the </w:t>
      </w:r>
      <w:r w:rsidR="00D50CC1">
        <w:t>phase out</w:t>
      </w:r>
      <w:r w:rsidR="005B672F">
        <w:t xml:space="preserve"> of halogen downlights would result in all remaining households converting to one of the LED alternatives. </w:t>
      </w:r>
      <w:r w:rsidR="00597D98">
        <w:t>The reputational risk for Government in p</w:t>
      </w:r>
      <w:r>
        <w:t xml:space="preserve">hasing out halogen downlights without having </w:t>
      </w:r>
      <w:r w:rsidR="00597D98">
        <w:t>minimum quality standards</w:t>
      </w:r>
      <w:r>
        <w:t xml:space="preserve"> in place for all replacement products was considered too high</w:t>
      </w:r>
      <w:r w:rsidR="00597D98">
        <w:t xml:space="preserve">.  With no regulation on </w:t>
      </w:r>
      <w:r w:rsidR="005B672F">
        <w:t>LED integrated luminaires</w:t>
      </w:r>
      <w:r w:rsidR="00597D98">
        <w:t>, consumers could be exposed to purchasing inferior LED product in the absence of being able to purchase halogen light bulbs and the benefits to the community in terms of electricity and replacement savings could not be assured.</w:t>
      </w:r>
      <w:r w:rsidR="00C66B33">
        <w:t xml:space="preserve"> Delaying the </w:t>
      </w:r>
      <w:r w:rsidR="00D50CC1">
        <w:t>phase out</w:t>
      </w:r>
      <w:r w:rsidR="00C66B33">
        <w:t xml:space="preserve"> of low voltage halogen downlights will also allow technology improvements to reduce the incidence of compatibility problems with the legacy installed stock of transformers.</w:t>
      </w:r>
    </w:p>
    <w:p w14:paraId="30F612F2" w14:textId="6F5A0B74" w:rsidR="00537796" w:rsidRPr="00343437" w:rsidRDefault="008D2792" w:rsidP="008D2792">
      <w:pPr>
        <w:pStyle w:val="E3Heading2"/>
        <w:rPr>
          <w:lang w:val="en-AU"/>
        </w:rPr>
      </w:pPr>
      <w:bookmarkStart w:id="12" w:name="_Toc493159043"/>
      <w:r w:rsidRPr="00343437">
        <w:rPr>
          <w:lang w:val="en-AU"/>
        </w:rPr>
        <w:t xml:space="preserve">4. </w:t>
      </w:r>
      <w:r w:rsidR="00633649">
        <w:rPr>
          <w:lang w:val="en-AU"/>
        </w:rPr>
        <w:t>Mandatory labelling</w:t>
      </w:r>
      <w:bookmarkEnd w:id="12"/>
    </w:p>
    <w:p w14:paraId="4D2A12B0" w14:textId="77777777" w:rsidR="00537796" w:rsidRPr="00343437" w:rsidRDefault="00537796" w:rsidP="008D2792">
      <w:pPr>
        <w:pStyle w:val="E3Heading3"/>
        <w:rPr>
          <w:lang w:val="en-AU"/>
        </w:rPr>
      </w:pPr>
      <w:r w:rsidRPr="00343437">
        <w:rPr>
          <w:lang w:val="en-AU"/>
        </w:rPr>
        <w:t>Feedback:</w:t>
      </w:r>
    </w:p>
    <w:p w14:paraId="24ECA382" w14:textId="55798FBF" w:rsidR="00633649" w:rsidRPr="00633649" w:rsidRDefault="00633649" w:rsidP="00AE4F4A">
      <w:pPr>
        <w:pStyle w:val="E3BodyText"/>
      </w:pPr>
      <w:r w:rsidRPr="00633649">
        <w:t xml:space="preserve">The proposal for a mandatory label for lighting products </w:t>
      </w:r>
      <w:r>
        <w:t>was not</w:t>
      </w:r>
      <w:r w:rsidRPr="00633649">
        <w:t xml:space="preserve"> supported by LCA, LCNZ and most other submissions.  The inclusion of the mandatory label option in the </w:t>
      </w:r>
      <w:r>
        <w:t>C</w:t>
      </w:r>
      <w:r w:rsidRPr="00633649">
        <w:t>RIS was in the c</w:t>
      </w:r>
      <w:r>
        <w:t xml:space="preserve">ontext of a fall back option in the absence of the </w:t>
      </w:r>
      <w:r w:rsidRPr="00633649">
        <w:t xml:space="preserve">halogen </w:t>
      </w:r>
      <w:r w:rsidR="00D50CC1">
        <w:t>phase out</w:t>
      </w:r>
      <w:r w:rsidRPr="00633649">
        <w:t xml:space="preserve">.  </w:t>
      </w:r>
    </w:p>
    <w:p w14:paraId="05092A7F" w14:textId="77777777" w:rsidR="00537796" w:rsidRPr="00343437" w:rsidRDefault="00537796" w:rsidP="00FA455D">
      <w:pPr>
        <w:pStyle w:val="E3Heading3"/>
        <w:rPr>
          <w:lang w:val="en-AU"/>
        </w:rPr>
      </w:pPr>
      <w:r w:rsidRPr="00343437">
        <w:rPr>
          <w:lang w:val="en-AU"/>
        </w:rPr>
        <w:t>Position:</w:t>
      </w:r>
    </w:p>
    <w:p w14:paraId="7951D287" w14:textId="64BA235E" w:rsidR="00633649" w:rsidRDefault="00633649" w:rsidP="00AE4F4A">
      <w:pPr>
        <w:pStyle w:val="E3BodyText"/>
      </w:pPr>
      <w:r>
        <w:t>This proposal will not be recommended in the DRIS</w:t>
      </w:r>
      <w:r w:rsidRPr="00633649">
        <w:t>.</w:t>
      </w:r>
      <w:r>
        <w:t xml:space="preserve"> </w:t>
      </w:r>
      <w:r w:rsidR="00C66B33">
        <w:t>As noted above, it is proposed that the LED MEPS include mandatory product and package marking requirements.</w:t>
      </w:r>
    </w:p>
    <w:p w14:paraId="2D1A45B9" w14:textId="05FCDF73" w:rsidR="008F6945" w:rsidRDefault="003F5778" w:rsidP="002F6383">
      <w:pPr>
        <w:pStyle w:val="E3BodyText"/>
      </w:pPr>
      <w:r>
        <w:t xml:space="preserve"> </w:t>
      </w:r>
    </w:p>
    <w:p w14:paraId="1243FF7D" w14:textId="73FED617" w:rsidR="00C11DB6" w:rsidRDefault="00633649" w:rsidP="00F90C38">
      <w:pPr>
        <w:pStyle w:val="E3Heading2"/>
        <w:rPr>
          <w:lang w:val="en-AU"/>
        </w:rPr>
      </w:pPr>
      <w:bookmarkStart w:id="13" w:name="_Toc493159044"/>
      <w:r>
        <w:rPr>
          <w:lang w:val="en-AU"/>
        </w:rPr>
        <w:t>Other comments</w:t>
      </w:r>
      <w:bookmarkEnd w:id="13"/>
    </w:p>
    <w:p w14:paraId="55AD1D46" w14:textId="77777777" w:rsidR="00F90C38" w:rsidRDefault="00F90C38" w:rsidP="00F90C38">
      <w:pPr>
        <w:pStyle w:val="E3Heading3"/>
        <w:rPr>
          <w:lang w:val="en-AU"/>
        </w:rPr>
      </w:pPr>
      <w:r w:rsidRPr="00F90C38">
        <w:rPr>
          <w:lang w:val="en-AU"/>
        </w:rPr>
        <w:t>Feedback:</w:t>
      </w:r>
    </w:p>
    <w:p w14:paraId="1ABC288E" w14:textId="77777777" w:rsidR="006B62B8" w:rsidRPr="006B62B8" w:rsidRDefault="006B62B8" w:rsidP="00AE4F4A">
      <w:pPr>
        <w:pStyle w:val="E3Heading4"/>
      </w:pPr>
      <w:r w:rsidRPr="006B62B8">
        <w:t xml:space="preserve">Consultation </w:t>
      </w:r>
    </w:p>
    <w:p w14:paraId="7E240427" w14:textId="77777777" w:rsidR="00FA455D" w:rsidRDefault="006B62B8" w:rsidP="006B62B8">
      <w:pPr>
        <w:spacing w:line="276" w:lineRule="auto"/>
        <w:rPr>
          <w:rFonts w:ascii="Calibri" w:hAnsi="Calibri"/>
          <w:sz w:val="24"/>
        </w:rPr>
      </w:pPr>
      <w:r w:rsidRPr="006B62B8">
        <w:rPr>
          <w:rFonts w:ascii="Calibri" w:hAnsi="Calibri"/>
          <w:sz w:val="24"/>
        </w:rPr>
        <w:t xml:space="preserve">Some submissions, in particular from the lighting designer fraternity, were concerned that there had been inadequate consultation on this proposal, despite the three month consultation period.  </w:t>
      </w:r>
    </w:p>
    <w:p w14:paraId="5C5DF1BD" w14:textId="493D27C7" w:rsidR="00FA455D" w:rsidRPr="00FA455D" w:rsidRDefault="00FA455D" w:rsidP="00FA455D">
      <w:pPr>
        <w:pStyle w:val="E3Heading3"/>
        <w:rPr>
          <w:lang w:val="en-AU"/>
        </w:rPr>
      </w:pPr>
      <w:r w:rsidRPr="00343437">
        <w:rPr>
          <w:lang w:val="en-AU"/>
        </w:rPr>
        <w:t>Position:</w:t>
      </w:r>
    </w:p>
    <w:p w14:paraId="2D99832C" w14:textId="12548AB8" w:rsidR="006B62B8" w:rsidRPr="006B62B8" w:rsidRDefault="006B62B8" w:rsidP="006B62B8">
      <w:pPr>
        <w:spacing w:line="276" w:lineRule="auto"/>
        <w:rPr>
          <w:rFonts w:ascii="Calibri" w:hAnsi="Calibri"/>
          <w:sz w:val="24"/>
        </w:rPr>
      </w:pPr>
      <w:r w:rsidRPr="006B62B8">
        <w:rPr>
          <w:rFonts w:ascii="Calibri" w:hAnsi="Calibri"/>
          <w:sz w:val="24"/>
        </w:rPr>
        <w:t xml:space="preserve">Notifications regarding the </w:t>
      </w:r>
      <w:r w:rsidR="00FA455D">
        <w:rPr>
          <w:rFonts w:ascii="Calibri" w:hAnsi="Calibri"/>
          <w:sz w:val="24"/>
        </w:rPr>
        <w:t>CRIS</w:t>
      </w:r>
      <w:r w:rsidRPr="006B62B8">
        <w:rPr>
          <w:rFonts w:ascii="Calibri" w:hAnsi="Calibri"/>
          <w:sz w:val="24"/>
        </w:rPr>
        <w:t xml:space="preserve"> were sent out in the following ways:</w:t>
      </w:r>
    </w:p>
    <w:p w14:paraId="7549FEDB" w14:textId="7D2BB4B2" w:rsidR="006B62B8" w:rsidRPr="006B62B8" w:rsidRDefault="006B62B8" w:rsidP="00AE4F4A">
      <w:pPr>
        <w:pStyle w:val="E3Bullets"/>
      </w:pPr>
      <w:r w:rsidRPr="006B62B8">
        <w:t xml:space="preserve">IESANZ, as a leading lighting professional association, has been kept informed of our work including the </w:t>
      </w:r>
      <w:r w:rsidR="0006073D">
        <w:t>C</w:t>
      </w:r>
      <w:r w:rsidRPr="006B62B8">
        <w:t>RIS and previous LED product profile released in 2015. A nominated representative of IESANZS has participated in our LED technical working group and we unders</w:t>
      </w:r>
      <w:r w:rsidR="0006073D">
        <w:t>tand that reminders about the C</w:t>
      </w:r>
      <w:r w:rsidRPr="006B62B8">
        <w:t>RIS have been included in numerous updates t</w:t>
      </w:r>
      <w:r w:rsidR="0006073D">
        <w:t>hat IES has sent out to members.</w:t>
      </w:r>
    </w:p>
    <w:p w14:paraId="32C30987" w14:textId="77777777" w:rsidR="006B62B8" w:rsidRPr="006B62B8" w:rsidRDefault="006B62B8" w:rsidP="00AE4F4A">
      <w:pPr>
        <w:pStyle w:val="E3Bullets"/>
      </w:pPr>
      <w:r w:rsidRPr="006B62B8">
        <w:t xml:space="preserve">Lighting Councils in Australia and New Zealand – we asked each organisation to send announcements to their members. We understand that LCA sent several updates on the RIS out to members including all CEOs of member organisations as well as about 200 technical level contacts. We have also presented to several LCA meetings over the last few years. </w:t>
      </w:r>
    </w:p>
    <w:p w14:paraId="7F513E28" w14:textId="492BC499" w:rsidR="006B62B8" w:rsidRPr="006B62B8" w:rsidRDefault="006B62B8" w:rsidP="00AE4F4A">
      <w:pPr>
        <w:pStyle w:val="E3Bullets"/>
      </w:pPr>
      <w:r w:rsidRPr="006B62B8">
        <w:t>We also understand that China Association of Lighting Industry notified their members</w:t>
      </w:r>
      <w:r w:rsidR="00C66B33">
        <w:t xml:space="preserve"> at our request</w:t>
      </w:r>
      <w:r w:rsidRPr="006B62B8">
        <w:t>.</w:t>
      </w:r>
    </w:p>
    <w:p w14:paraId="6ACA749F" w14:textId="00736F43" w:rsidR="006B62B8" w:rsidRPr="006B62B8" w:rsidRDefault="006B62B8" w:rsidP="00AE4F4A">
      <w:pPr>
        <w:pStyle w:val="E3Bullets"/>
      </w:pPr>
      <w:r w:rsidRPr="006B62B8">
        <w:t xml:space="preserve">Information </w:t>
      </w:r>
      <w:r w:rsidR="00C66B33">
        <w:t xml:space="preserve">was </w:t>
      </w:r>
      <w:r w:rsidRPr="006B62B8">
        <w:t>sent to a number of trade and specialist media outlets, which has resulted in some articles</w:t>
      </w:r>
      <w:r w:rsidR="0006073D">
        <w:t xml:space="preserve"> covering the release of the C</w:t>
      </w:r>
      <w:r w:rsidRPr="006B62B8">
        <w:t xml:space="preserve">RIS </w:t>
      </w:r>
    </w:p>
    <w:p w14:paraId="73E8EDC5" w14:textId="472B380E" w:rsidR="006B62B8" w:rsidRPr="006B62B8" w:rsidRDefault="006B62B8" w:rsidP="00AE4F4A">
      <w:pPr>
        <w:pStyle w:val="E3Bullets"/>
      </w:pPr>
      <w:r w:rsidRPr="006B62B8">
        <w:t>Article include</w:t>
      </w:r>
      <w:r w:rsidR="00D50CC1">
        <w:t>d</w:t>
      </w:r>
      <w:r w:rsidRPr="006B62B8">
        <w:t xml:space="preserve"> in the lites.asia newsletter</w:t>
      </w:r>
    </w:p>
    <w:p w14:paraId="49F6A211" w14:textId="6B4CB06C" w:rsidR="006B62B8" w:rsidRPr="006B62B8" w:rsidRDefault="006B62B8" w:rsidP="00AE4F4A">
      <w:pPr>
        <w:pStyle w:val="E3Bullets"/>
      </w:pPr>
      <w:r w:rsidRPr="006B62B8">
        <w:t xml:space="preserve">All </w:t>
      </w:r>
      <w:r w:rsidR="0006073D">
        <w:t>lighting suppliers</w:t>
      </w:r>
      <w:r w:rsidRPr="006B62B8">
        <w:t xml:space="preserve"> registered under the GEMS Act</w:t>
      </w:r>
      <w:r w:rsidR="0006073D">
        <w:t xml:space="preserve"> were notified via email</w:t>
      </w:r>
    </w:p>
    <w:p w14:paraId="15B437A0" w14:textId="3CB0506A" w:rsidR="006B62B8" w:rsidRPr="006B62B8" w:rsidRDefault="006B62B8" w:rsidP="00AE4F4A">
      <w:pPr>
        <w:pStyle w:val="E3Bullets"/>
      </w:pPr>
      <w:r w:rsidRPr="006B62B8">
        <w:t xml:space="preserve">A range of other lighting stakeholders we have previously had contact with </w:t>
      </w:r>
      <w:r w:rsidR="0006073D">
        <w:t>were notified</w:t>
      </w:r>
      <w:r w:rsidRPr="006B62B8">
        <w:t>.</w:t>
      </w:r>
    </w:p>
    <w:p w14:paraId="0BCB7044" w14:textId="77777777" w:rsidR="006B62B8" w:rsidRDefault="006B62B8" w:rsidP="00AE4F4A">
      <w:pPr>
        <w:pStyle w:val="E3Bullets"/>
      </w:pPr>
      <w:r w:rsidRPr="006B62B8">
        <w:t xml:space="preserve">Notification on the Energy Rating </w:t>
      </w:r>
      <w:hyperlink r:id="rId23" w:history="1">
        <w:r w:rsidRPr="006B62B8">
          <w:rPr>
            <w:rStyle w:val="Hyperlink"/>
          </w:rPr>
          <w:t>website</w:t>
        </w:r>
      </w:hyperlink>
      <w:r w:rsidRPr="006B62B8">
        <w:t xml:space="preserve"> and our </w:t>
      </w:r>
      <w:hyperlink r:id="rId24" w:history="1">
        <w:r w:rsidRPr="006B62B8">
          <w:rPr>
            <w:rStyle w:val="Hyperlink"/>
          </w:rPr>
          <w:t>newsletter</w:t>
        </w:r>
      </w:hyperlink>
      <w:r w:rsidRPr="006B62B8">
        <w:rPr>
          <w:rStyle w:val="Hyperlink"/>
        </w:rPr>
        <w:t>, the Efficiency Standard</w:t>
      </w:r>
      <w:r w:rsidRPr="006B62B8">
        <w:t xml:space="preserve"> </w:t>
      </w:r>
    </w:p>
    <w:p w14:paraId="4215032C" w14:textId="5309C168" w:rsidR="006B0D40" w:rsidRPr="006B62B8" w:rsidRDefault="006B0D40" w:rsidP="00AE4F4A">
      <w:pPr>
        <w:pStyle w:val="E3Bullets"/>
      </w:pPr>
      <w:r>
        <w:t>Further EECA put a notice in the EECA January products news which was distributed to 300 subscribers, posted a notice on their website that consultation was open and sent several emails to all known stakeholders advising that consultation was open on the CRIS and upcoming workshops and webinar.</w:t>
      </w:r>
    </w:p>
    <w:p w14:paraId="169E84F9" w14:textId="55A98707" w:rsidR="006B62B8" w:rsidRPr="00FA455D" w:rsidRDefault="00FA455D" w:rsidP="00FA455D">
      <w:pPr>
        <w:pStyle w:val="E3Heading3"/>
        <w:rPr>
          <w:lang w:val="en-AU"/>
        </w:rPr>
      </w:pPr>
      <w:r w:rsidRPr="00F90C38">
        <w:rPr>
          <w:lang w:val="en-AU"/>
        </w:rPr>
        <w:t>Feedback:</w:t>
      </w:r>
    </w:p>
    <w:p w14:paraId="2E38E330" w14:textId="33FDC792" w:rsidR="006B62B8" w:rsidRPr="006B62B8" w:rsidRDefault="006B62B8" w:rsidP="00AE4F4A">
      <w:pPr>
        <w:pStyle w:val="E3Heading4"/>
      </w:pPr>
      <w:r w:rsidRPr="006B62B8">
        <w:t xml:space="preserve">Test facilities </w:t>
      </w:r>
    </w:p>
    <w:p w14:paraId="29DDF6E5" w14:textId="77777777" w:rsidR="006B62B8" w:rsidRDefault="006B62B8" w:rsidP="00AE4F4A">
      <w:pPr>
        <w:pStyle w:val="E3BodyText"/>
      </w:pPr>
      <w:r w:rsidRPr="006B62B8">
        <w:t xml:space="preserve">There was some concern relating to the availability of test laboratories to undertake the required performance testing.  </w:t>
      </w:r>
    </w:p>
    <w:p w14:paraId="09CA7672" w14:textId="4C00AE8F" w:rsidR="00FA455D" w:rsidRDefault="00FA455D" w:rsidP="00FA455D">
      <w:pPr>
        <w:pStyle w:val="E3Heading3"/>
        <w:rPr>
          <w:lang w:val="en-AU"/>
        </w:rPr>
      </w:pPr>
      <w:r>
        <w:rPr>
          <w:lang w:val="en-AU"/>
        </w:rPr>
        <w:t>Position</w:t>
      </w:r>
      <w:r w:rsidRPr="00F90C38">
        <w:rPr>
          <w:lang w:val="en-AU"/>
        </w:rPr>
        <w:t>:</w:t>
      </w:r>
    </w:p>
    <w:p w14:paraId="57707756" w14:textId="5CBE59EF" w:rsidR="006B62B8" w:rsidRPr="006B62B8" w:rsidRDefault="00FA455D" w:rsidP="00FA455D">
      <w:pPr>
        <w:pStyle w:val="ListBullet"/>
        <w:tabs>
          <w:tab w:val="clear" w:pos="360"/>
        </w:tabs>
        <w:ind w:left="0" w:firstLine="0"/>
        <w:rPr>
          <w:rFonts w:ascii="Calibri" w:hAnsi="Calibri"/>
          <w:sz w:val="24"/>
        </w:rPr>
      </w:pPr>
      <w:r>
        <w:rPr>
          <w:rFonts w:ascii="Calibri" w:hAnsi="Calibri"/>
          <w:sz w:val="24"/>
        </w:rPr>
        <w:t>E3 consider that</w:t>
      </w:r>
      <w:r w:rsidR="006B62B8" w:rsidRPr="006B62B8">
        <w:rPr>
          <w:rFonts w:ascii="Calibri" w:hAnsi="Calibri"/>
          <w:sz w:val="24"/>
        </w:rPr>
        <w:t xml:space="preserve"> this has been addressed by:</w:t>
      </w:r>
    </w:p>
    <w:p w14:paraId="3BC1843A" w14:textId="24711E7D" w:rsidR="009719B0" w:rsidRDefault="009719B0" w:rsidP="00AE4F4A">
      <w:pPr>
        <w:pStyle w:val="E3Bullets"/>
      </w:pPr>
      <w:r>
        <w:t xml:space="preserve">Twelve month lead-in </w:t>
      </w:r>
      <w:r w:rsidR="0006073D">
        <w:t>to LED MEPS coming in to effect</w:t>
      </w:r>
    </w:p>
    <w:p w14:paraId="3F29DD95" w14:textId="13A24FB8" w:rsidR="006B62B8" w:rsidRPr="006B62B8" w:rsidRDefault="006B62B8" w:rsidP="00AE4F4A">
      <w:pPr>
        <w:pStyle w:val="E3Bullets"/>
      </w:pPr>
      <w:r w:rsidRPr="006B62B8">
        <w:t>Not requiring the use of third party and/or accredited test laboratories for product registration</w:t>
      </w:r>
      <w:r w:rsidR="00C66B33">
        <w:t>. Us</w:t>
      </w:r>
      <w:r w:rsidR="0006073D">
        <w:t>e of overseas labs also allowed</w:t>
      </w:r>
    </w:p>
    <w:p w14:paraId="44268162" w14:textId="3BCB7E78" w:rsidR="006B62B8" w:rsidRDefault="006B62B8" w:rsidP="00AE4F4A">
      <w:pPr>
        <w:pStyle w:val="E3Bullets"/>
      </w:pPr>
      <w:r w:rsidRPr="006B62B8">
        <w:t xml:space="preserve">Allowing registration in large product families and only requiring </w:t>
      </w:r>
      <w:r w:rsidR="00D87BB2">
        <w:t>one product to be tested</w:t>
      </w:r>
      <w:r w:rsidRPr="006B62B8">
        <w:t xml:space="preserve"> </w:t>
      </w:r>
      <w:r w:rsidR="00D87BB2">
        <w:t>per family</w:t>
      </w:r>
    </w:p>
    <w:p w14:paraId="6EF62A66" w14:textId="2237B663" w:rsidR="00C66B33" w:rsidRPr="00C66B33" w:rsidRDefault="00C66B33" w:rsidP="00AE4F4A">
      <w:pPr>
        <w:pStyle w:val="E3Bullets"/>
      </w:pPr>
      <w:r>
        <w:t>The staggered approach to introduction of LED MEPS (lamps first) will reduce th</w:t>
      </w:r>
      <w:r w:rsidR="0006073D">
        <w:t>e pressure on test laboratories</w:t>
      </w:r>
    </w:p>
    <w:p w14:paraId="143E67CB" w14:textId="77777777" w:rsidR="006B62B8" w:rsidRPr="006B62B8" w:rsidRDefault="006B62B8" w:rsidP="00AE4F4A">
      <w:pPr>
        <w:pStyle w:val="E3Bullets"/>
      </w:pPr>
      <w:r w:rsidRPr="006B62B8">
        <w:t>Providing training opportunities for test laboratories via the IEA 4E SSL Annex Interlaboratory comparison exercises</w:t>
      </w:r>
    </w:p>
    <w:p w14:paraId="39208C65" w14:textId="589551EA" w:rsidR="006B62B8" w:rsidRDefault="006B62B8" w:rsidP="00AE4F4A">
      <w:pPr>
        <w:pStyle w:val="E3Bullets"/>
      </w:pPr>
      <w:r w:rsidRPr="006B62B8">
        <w:t>Referencing international test standards wherever possible</w:t>
      </w:r>
      <w:r w:rsidR="00D87BB2">
        <w:t>, in many cases with</w:t>
      </w:r>
      <w:r w:rsidR="0006073D">
        <w:t xml:space="preserve"> multiple test methods accepted</w:t>
      </w:r>
    </w:p>
    <w:p w14:paraId="0A83DB5E" w14:textId="6B4256EF" w:rsidR="00D87BB2" w:rsidRPr="006B62B8" w:rsidRDefault="00D87BB2" w:rsidP="00AE4F4A">
      <w:pPr>
        <w:pStyle w:val="E3Bullets"/>
      </w:pPr>
      <w:r>
        <w:t>Allowing submission of LED module/package and driver test data for some parameters.</w:t>
      </w:r>
    </w:p>
    <w:p w14:paraId="60DFD06D" w14:textId="77777777" w:rsidR="00FA455D" w:rsidRPr="00FA455D" w:rsidRDefault="00FA455D" w:rsidP="00FA455D">
      <w:pPr>
        <w:pStyle w:val="E3Heading3"/>
        <w:rPr>
          <w:lang w:val="en-AU"/>
        </w:rPr>
      </w:pPr>
      <w:r w:rsidRPr="00F90C38">
        <w:rPr>
          <w:lang w:val="en-AU"/>
        </w:rPr>
        <w:t>Feedback:</w:t>
      </w:r>
    </w:p>
    <w:p w14:paraId="586C8C98" w14:textId="0E2CF85A" w:rsidR="006B62B8" w:rsidRPr="006B62B8" w:rsidRDefault="006B62B8" w:rsidP="00AE4F4A">
      <w:pPr>
        <w:pStyle w:val="E3Heading4"/>
      </w:pPr>
      <w:r w:rsidRPr="006B62B8">
        <w:t>Compliance</w:t>
      </w:r>
    </w:p>
    <w:p w14:paraId="45543BEE" w14:textId="6E404E03" w:rsidR="006B62B8" w:rsidRPr="006B62B8" w:rsidRDefault="006B62B8" w:rsidP="00AE4F4A">
      <w:pPr>
        <w:pStyle w:val="E3BodyText"/>
      </w:pPr>
      <w:r w:rsidRPr="006B62B8">
        <w:t xml:space="preserve">Submissions such as LCA and LCNZ also expressed concerns about the cost of product registration (including registration fees) as well as urging that more compliance and enforcement activity needs to be undertaken if compliant companies are to be subject to a regulatory burden.  </w:t>
      </w:r>
    </w:p>
    <w:p w14:paraId="55D6020E" w14:textId="0631012D" w:rsidR="006B62B8" w:rsidRPr="006B62B8" w:rsidRDefault="006B62B8" w:rsidP="00AE4F4A">
      <w:pPr>
        <w:pStyle w:val="E3BodyText"/>
      </w:pPr>
      <w:r w:rsidRPr="006B62B8">
        <w:t xml:space="preserve">Submissions are concerned that while compliant companies will spend money on product design, testing and registration, other suppliers may choose to avoid registration and continue to sell non-compliant products – without a comprehensive compliance program they will flourish due to low prices. </w:t>
      </w:r>
    </w:p>
    <w:p w14:paraId="09931734" w14:textId="2106E082" w:rsidR="006B62B8" w:rsidRPr="006B62B8" w:rsidRDefault="006B62B8" w:rsidP="00AE4F4A">
      <w:pPr>
        <w:pStyle w:val="E3BodyText"/>
      </w:pPr>
      <w:r w:rsidRPr="006B62B8">
        <w:t xml:space="preserve">LCA is also of the view that given the large numbers of LED luminaires on the market (as opposed to lamps), it would be impractical to put in place a compliance regime with sufficient resources required to ensure compliance.  </w:t>
      </w:r>
    </w:p>
    <w:p w14:paraId="44989BB7" w14:textId="6B51DEA8" w:rsidR="006B62B8" w:rsidRDefault="006B62B8" w:rsidP="00AE4F4A">
      <w:pPr>
        <w:pStyle w:val="E3BodyText"/>
      </w:pPr>
      <w:r w:rsidRPr="006B62B8">
        <w:t xml:space="preserve">The short market life of individual LED products (meaning that often a product will no longer be on the market by the time non-compliance is picked up through testing) means that the Regulator will have to more often step up to </w:t>
      </w:r>
      <w:r w:rsidR="006B00C9">
        <w:t xml:space="preserve">more stringent activity in the first instance. This may include </w:t>
      </w:r>
      <w:r w:rsidRPr="006B62B8">
        <w:t>the imposition of penalties in place of warnings</w:t>
      </w:r>
      <w:r w:rsidR="006B00C9">
        <w:t xml:space="preserve"> in Australia,</w:t>
      </w:r>
      <w:r w:rsidRPr="006B62B8">
        <w:t xml:space="preserve"> and instructions to remove </w:t>
      </w:r>
      <w:r w:rsidR="0006073D">
        <w:t xml:space="preserve">non-compliant products </w:t>
      </w:r>
      <w:r w:rsidRPr="006B62B8">
        <w:t>from</w:t>
      </w:r>
      <w:r w:rsidR="0006073D">
        <w:t xml:space="preserve"> the</w:t>
      </w:r>
      <w:r w:rsidRPr="006B62B8">
        <w:t xml:space="preserve"> market. </w:t>
      </w:r>
    </w:p>
    <w:p w14:paraId="25E9DAE2" w14:textId="77777777" w:rsidR="00FA455D" w:rsidRDefault="00FA455D" w:rsidP="00FA455D">
      <w:pPr>
        <w:pStyle w:val="E3Heading3"/>
        <w:rPr>
          <w:lang w:val="en-AU"/>
        </w:rPr>
      </w:pPr>
      <w:r>
        <w:rPr>
          <w:lang w:val="en-AU"/>
        </w:rPr>
        <w:t>Position</w:t>
      </w:r>
      <w:r w:rsidRPr="00F90C38">
        <w:rPr>
          <w:lang w:val="en-AU"/>
        </w:rPr>
        <w:t>:</w:t>
      </w:r>
    </w:p>
    <w:p w14:paraId="6D34B978" w14:textId="6BD1C4D1" w:rsidR="006B62B8" w:rsidRDefault="006B62B8" w:rsidP="00AE4F4A">
      <w:pPr>
        <w:pStyle w:val="E3BodyText"/>
      </w:pPr>
      <w:r w:rsidRPr="006B62B8">
        <w:t xml:space="preserve">The </w:t>
      </w:r>
      <w:r w:rsidR="006B00C9">
        <w:t xml:space="preserve">GEMS </w:t>
      </w:r>
      <w:r w:rsidRPr="006B62B8">
        <w:t xml:space="preserve">compliance team have commenced the development of an LED compliance strategy which </w:t>
      </w:r>
      <w:r w:rsidR="00C66B33">
        <w:t xml:space="preserve">addresses these concerns and </w:t>
      </w:r>
      <w:r w:rsidRPr="006B62B8">
        <w:t>will also be linked with raising industry awareness around the introduction of LED MEPS.  Trial product testing against the draft LED MEPS is also commencing.</w:t>
      </w:r>
    </w:p>
    <w:p w14:paraId="0FF08BEF" w14:textId="44E76B00" w:rsidR="00F90C38" w:rsidRDefault="005933B0" w:rsidP="00AE4F4A">
      <w:pPr>
        <w:pStyle w:val="E3BodyText"/>
      </w:pPr>
      <w:hyperlink w:anchor="Attachment_D" w:history="1">
        <w:r w:rsidR="0006073D" w:rsidRPr="00AB710B">
          <w:rPr>
            <w:rStyle w:val="Hyperlink"/>
          </w:rPr>
          <w:t>Attachment D</w:t>
        </w:r>
      </w:hyperlink>
      <w:r w:rsidR="00FA455D">
        <w:t xml:space="preserve"> provides information on the compliance approach for LED MEPS.</w:t>
      </w:r>
      <w:r w:rsidR="00F90C38" w:rsidRPr="006B62B8">
        <w:t xml:space="preserve"> </w:t>
      </w:r>
    </w:p>
    <w:p w14:paraId="56010BD0" w14:textId="77777777" w:rsidR="005A01CF" w:rsidRDefault="005A01CF" w:rsidP="00DE3A80">
      <w:pPr>
        <w:spacing w:line="276" w:lineRule="auto"/>
        <w:rPr>
          <w:sz w:val="24"/>
        </w:rPr>
      </w:pPr>
    </w:p>
    <w:p w14:paraId="4EF1E9E7" w14:textId="77777777" w:rsidR="005A01CF" w:rsidRDefault="005A01CF" w:rsidP="005A01CF">
      <w:pPr>
        <w:pStyle w:val="E3Heading1"/>
      </w:pPr>
      <w:bookmarkStart w:id="14" w:name="_Toc493159045"/>
      <w:r>
        <w:t>International Context</w:t>
      </w:r>
      <w:bookmarkEnd w:id="14"/>
    </w:p>
    <w:p w14:paraId="75C47097" w14:textId="77777777" w:rsidR="005A01CF" w:rsidRPr="005A01CF" w:rsidRDefault="005A01CF" w:rsidP="00AE4F4A">
      <w:pPr>
        <w:pStyle w:val="E3BodyText"/>
      </w:pPr>
      <w:r w:rsidRPr="005A01CF">
        <w:t xml:space="preserve">China, EU, Malaysia, USA and Singapore have MEPS in place for some LED lamps.  </w:t>
      </w:r>
    </w:p>
    <w:p w14:paraId="0C204885" w14:textId="06A8D214" w:rsidR="005A01CF" w:rsidRPr="005A01CF" w:rsidRDefault="005A01CF" w:rsidP="00AE4F4A">
      <w:pPr>
        <w:pStyle w:val="E3BodyText"/>
      </w:pPr>
      <w:r w:rsidRPr="005A01CF">
        <w:t>The proposed LED MEPS refers to international test standards wherever possible.  Where these are not available we have defaulted to available regional standards. Minimum performance levels are not included in international lighting standards.  The proposed MEPS levels have been based on performance requirements developed by a group of nine countries under the IEA Solid State Lighting Annex (including experts from Australia,</w:t>
      </w:r>
      <w:r w:rsidR="00CF6EA7">
        <w:t xml:space="preserve"> USA, UK, France, China, Sweden and</w:t>
      </w:r>
      <w:r w:rsidRPr="005A01CF">
        <w:t xml:space="preserve"> South Korea).  Revisions have then been made in response to comments during the stakeholder consultation process.</w:t>
      </w:r>
    </w:p>
    <w:p w14:paraId="5A3250E5" w14:textId="38A60BA6" w:rsidR="008A638C" w:rsidRDefault="008A638C" w:rsidP="00AE4F4A">
      <w:pPr>
        <w:pStyle w:val="E3BodyText"/>
      </w:pPr>
      <w:r>
        <w:t xml:space="preserve">Internationally there is a move to further transition to efficient lighting through the </w:t>
      </w:r>
      <w:r w:rsidR="00D50CC1">
        <w:t>phase out</w:t>
      </w:r>
      <w:r>
        <w:t xml:space="preserve"> of incandescent and halogen lamps.  Several countries including Australia, the EU, China, Hong Kong, South Korea, Malaysia, Mexico, Singapore and the USA have phased out some or all incandescent lighting. The European Union (EU) has commenced a phased approach with mains voltage halogen reflector lamps phased out in 2016. </w:t>
      </w:r>
      <w:r w:rsidRPr="005A01CF">
        <w:t>Korea has phased out non</w:t>
      </w:r>
      <w:r>
        <w:t xml:space="preserve">-directional halogen lamps. The E3 Program understands that the US plans to </w:t>
      </w:r>
      <w:r w:rsidR="00D50CC1">
        <w:t>phase out</w:t>
      </w:r>
      <w:r>
        <w:t xml:space="preserve"> most halogens in 2020, China is currently considering some halogen lamp types, while the Japanese Top Runner program is expected to effectively remove most halogens from the market between 2017-2020.</w:t>
      </w:r>
    </w:p>
    <w:p w14:paraId="03170FEE" w14:textId="6CCFE42F" w:rsidR="005A01CF" w:rsidRPr="005A01CF" w:rsidRDefault="005A01CF" w:rsidP="00AE4F4A">
      <w:pPr>
        <w:pStyle w:val="E3BodyText"/>
      </w:pPr>
      <w:r w:rsidRPr="005A01CF">
        <w:t>No MEPS are currently known to apply to LED Luminaires. The EU is revising lighting MEPS with a proposal</w:t>
      </w:r>
      <w:r w:rsidR="009B5DC1">
        <w:t xml:space="preserve"> first </w:t>
      </w:r>
      <w:r w:rsidR="00AE4F4A">
        <w:t>released</w:t>
      </w:r>
      <w:r w:rsidR="009B5DC1">
        <w:t xml:space="preserve"> in late 2015</w:t>
      </w:r>
      <w:r w:rsidRPr="005A01CF">
        <w:t xml:space="preserve"> to apply one MEP</w:t>
      </w:r>
      <w:r w:rsidR="009B5DC1">
        <w:t>S level to all light sources, potentially applying to integrated luminaires</w:t>
      </w:r>
      <w:r w:rsidRPr="005A01CF">
        <w:t xml:space="preserve">.  </w:t>
      </w:r>
      <w:r w:rsidR="009B5DC1">
        <w:t xml:space="preserve">The broad MEPS would </w:t>
      </w:r>
      <w:r w:rsidRPr="005A01CF">
        <w:t>also apply to halogen and fluorescent lamps as well as other technologies such as metal halide that Australia has not regulated, along with a much broader range of LED luminaires than is proposed in Australia.  The Department is in contact with the consultants working for the European Commission and are working to align requirements where possible, noting that the significant differe</w:t>
      </w:r>
      <w:r w:rsidR="008A638C">
        <w:t>nce in approach</w:t>
      </w:r>
      <w:r w:rsidRPr="005A01CF">
        <w:t xml:space="preserve"> makes 100 per cent alignment impractical. </w:t>
      </w:r>
    </w:p>
    <w:p w14:paraId="233B707C" w14:textId="77777777" w:rsidR="005A01CF" w:rsidRDefault="005A01CF" w:rsidP="00DE3A80">
      <w:pPr>
        <w:spacing w:line="276" w:lineRule="auto"/>
        <w:rPr>
          <w:rFonts w:ascii="Calibri" w:hAnsi="Calibri"/>
          <w:sz w:val="24"/>
        </w:rPr>
      </w:pPr>
    </w:p>
    <w:p w14:paraId="40DA0E14" w14:textId="77777777" w:rsidR="008A638C" w:rsidRPr="005A01CF" w:rsidRDefault="008A638C" w:rsidP="00DE3A80">
      <w:pPr>
        <w:spacing w:line="276" w:lineRule="auto"/>
        <w:rPr>
          <w:rFonts w:ascii="Calibri" w:hAnsi="Calibri"/>
          <w:sz w:val="24"/>
        </w:rPr>
        <w:sectPr w:rsidR="008A638C" w:rsidRPr="005A01CF" w:rsidSect="004A314E">
          <w:type w:val="continuous"/>
          <w:pgSz w:w="11907" w:h="16840" w:code="9"/>
          <w:pgMar w:top="1134" w:right="1134" w:bottom="1418" w:left="1134" w:header="709" w:footer="709" w:gutter="0"/>
          <w:cols w:space="720"/>
          <w:titlePg/>
          <w:docGrid w:linePitch="360"/>
        </w:sectPr>
      </w:pPr>
    </w:p>
    <w:p w14:paraId="1A34FDFC" w14:textId="265E0883" w:rsidR="00414D80" w:rsidRPr="00343437" w:rsidRDefault="00BF480E" w:rsidP="00BF480E">
      <w:pPr>
        <w:pStyle w:val="E3ChapterTitle"/>
      </w:pPr>
      <w:bookmarkStart w:id="15" w:name="Attachment_A"/>
      <w:bookmarkStart w:id="16" w:name="_Toc493159046"/>
      <w:bookmarkEnd w:id="15"/>
      <w:r>
        <w:t xml:space="preserve">Attachment A: </w:t>
      </w:r>
      <w:r w:rsidR="002733FC">
        <w:t>Proposed LED MEPS</w:t>
      </w:r>
      <w:r w:rsidR="003E5BCC">
        <w:t xml:space="preserve"> Lamps</w:t>
      </w:r>
      <w:bookmarkEnd w:id="16"/>
    </w:p>
    <w:p w14:paraId="7E005BD3" w14:textId="77777777" w:rsidR="00B547C4" w:rsidRDefault="00B547C4" w:rsidP="00B547C4">
      <w:pPr>
        <w:pStyle w:val="E3Heading1"/>
      </w:pPr>
      <w:bookmarkStart w:id="17" w:name="_Toc493159047"/>
      <w:r>
        <w:t>Introduction</w:t>
      </w:r>
      <w:bookmarkEnd w:id="17"/>
    </w:p>
    <w:p w14:paraId="23C6443E" w14:textId="3C9EE4A6" w:rsidR="007A2DE1" w:rsidRDefault="00B44A8E" w:rsidP="00AE4F4A">
      <w:pPr>
        <w:pStyle w:val="E3BodyText"/>
      </w:pPr>
      <w:r>
        <w:t>The scope, performance parameters and marking requirements are defined in the ‘Draft Minimum Energy Performa</w:t>
      </w:r>
      <w:r w:rsidR="003E5BCC">
        <w:t>nce Standards for LED Lighting</w:t>
      </w:r>
      <w:r w:rsidR="00D50CC1">
        <w:t>’</w:t>
      </w:r>
      <w:r w:rsidR="003E5BCC">
        <w:t xml:space="preserve"> </w:t>
      </w:r>
      <w:r w:rsidR="00D955B6">
        <w:t>(</w:t>
      </w:r>
      <w:hyperlink w:anchor="Attachment_J" w:history="1">
        <w:r w:rsidR="00AB710B">
          <w:rPr>
            <w:rStyle w:val="Hyperlink"/>
          </w:rPr>
          <w:t>Attachment J</w:t>
        </w:r>
      </w:hyperlink>
      <w:r w:rsidR="007B0E2F">
        <w:t>)</w:t>
      </w:r>
      <w:r>
        <w:t>.</w:t>
      </w:r>
      <w:r w:rsidR="007A2DE1">
        <w:t xml:space="preserve"> </w:t>
      </w:r>
    </w:p>
    <w:p w14:paraId="2ED963CA" w14:textId="739EA2D0" w:rsidR="006E0BF2" w:rsidRPr="00D50CC1" w:rsidRDefault="006E0BF2" w:rsidP="00AE4F4A">
      <w:pPr>
        <w:pStyle w:val="E3BodyText"/>
      </w:pPr>
      <w:r w:rsidRPr="00D50CC1">
        <w:t xml:space="preserve">The draft MEPS has been developed in consultation with a technical working group of stakeholders from lighting and control supply, government programs and test laboratories, and was issued for stakeholder comment in July 2016 and November 2016 (as part of the CRIS). Further revisions have been made after consideration of comments on the CRIS. </w:t>
      </w:r>
      <w:hyperlink r:id="rId25" w:history="1"/>
    </w:p>
    <w:p w14:paraId="62DC1CED" w14:textId="6897BBEE" w:rsidR="007A2DE1" w:rsidRDefault="007A2DE1" w:rsidP="00AE4F4A">
      <w:pPr>
        <w:pStyle w:val="E3BodyText"/>
      </w:pPr>
      <w:r w:rsidRPr="007A2DE1">
        <w:t xml:space="preserve">The E3 program requests stakeholders to consider the LED MEPS on lamps and provide specific feedback on any amendments required including rationale for change and alterative approach, with supporting evidence.  </w:t>
      </w:r>
    </w:p>
    <w:p w14:paraId="7A13BAB5" w14:textId="16C51453" w:rsidR="00A0378E" w:rsidRDefault="007B0E2F" w:rsidP="00AE4F4A">
      <w:pPr>
        <w:pStyle w:val="E3BodyText"/>
      </w:pPr>
      <w:r>
        <w:t>Following comments from stakeholders on the supplementary paper, the LED MEPS Technical Working Group will meet to finalise parameters and test methods</w:t>
      </w:r>
      <w:r w:rsidR="007A2DE1">
        <w:t xml:space="preserve"> for lamps</w:t>
      </w:r>
      <w:r>
        <w:t xml:space="preserve">. </w:t>
      </w:r>
      <w:r w:rsidR="00FA4E90">
        <w:t xml:space="preserve">Stakeholders will have the opportunity to comment on the draft determination prior to </w:t>
      </w:r>
      <w:r w:rsidR="008A638C">
        <w:t>approval</w:t>
      </w:r>
      <w:r w:rsidR="00FA4E90">
        <w:t xml:space="preserve"> by the</w:t>
      </w:r>
      <w:r w:rsidR="008A638C">
        <w:t xml:space="preserve"> Energy Ministers</w:t>
      </w:r>
      <w:r w:rsidR="00FA4E90">
        <w:t xml:space="preserve"> (expected by March 2018). </w:t>
      </w:r>
    </w:p>
    <w:p w14:paraId="0CF709E4" w14:textId="07974508" w:rsidR="00D955B6" w:rsidRPr="00DC6F41" w:rsidRDefault="00D955B6" w:rsidP="00DC6F41">
      <w:pPr>
        <w:pStyle w:val="E3Heading1"/>
      </w:pPr>
      <w:bookmarkStart w:id="18" w:name="_Toc493159048"/>
      <w:bookmarkStart w:id="19" w:name="_Toc466447118"/>
      <w:r w:rsidRPr="00DC6F41">
        <w:t>Scope (extract from draft MEPS for LED lighting)</w:t>
      </w:r>
      <w:bookmarkEnd w:id="18"/>
    </w:p>
    <w:p w14:paraId="5E5CC5D6" w14:textId="6BDBB5C1" w:rsidR="003E5BCC" w:rsidRPr="003E5BCC" w:rsidRDefault="003E5BCC" w:rsidP="00C96C27">
      <w:pPr>
        <w:pStyle w:val="E3Heading4"/>
        <w:rPr>
          <w:lang w:eastAsia="en-AU"/>
        </w:rPr>
      </w:pPr>
      <w:bookmarkStart w:id="20" w:name="_Toc491354903"/>
      <w:r w:rsidRPr="003E5BCC">
        <w:rPr>
          <w:lang w:eastAsia="en-AU"/>
        </w:rPr>
        <w:t xml:space="preserve">Non-directional LED lamps </w:t>
      </w:r>
      <w:bookmarkEnd w:id="20"/>
    </w:p>
    <w:p w14:paraId="281E7ED5" w14:textId="77777777" w:rsidR="003E5BCC" w:rsidRPr="00C96C27" w:rsidRDefault="003E5BCC" w:rsidP="00C96C27">
      <w:pPr>
        <w:pStyle w:val="E3BodyText"/>
      </w:pPr>
      <w:r w:rsidRPr="00C96C27">
        <w:t>Lamps with LED light sources of all shapes with lamp caps B15, B22, E14, E27, E39, E40, GU5.3, GU10, GX10, GU24, GX53, G9 and ELV lamp bi-pin caps G4, that emit ≥ 100 lm.</w:t>
      </w:r>
    </w:p>
    <w:p w14:paraId="34F46DEC" w14:textId="2695251A" w:rsidR="003E5BCC" w:rsidRPr="003E5BCC" w:rsidRDefault="003E5BCC" w:rsidP="00C96C27">
      <w:pPr>
        <w:pStyle w:val="E3Heading4"/>
        <w:rPr>
          <w:lang w:eastAsia="en-AU"/>
        </w:rPr>
      </w:pPr>
      <w:bookmarkStart w:id="21" w:name="_Toc491354904"/>
      <w:r w:rsidRPr="003E5BCC">
        <w:rPr>
          <w:lang w:eastAsia="en-AU"/>
        </w:rPr>
        <w:t xml:space="preserve">Directional LED lamps </w:t>
      </w:r>
      <w:bookmarkEnd w:id="21"/>
    </w:p>
    <w:p w14:paraId="2029C796" w14:textId="77777777" w:rsidR="003E5BCC" w:rsidRPr="003E5BCC" w:rsidRDefault="003E5BCC" w:rsidP="00AE4F4A">
      <w:pPr>
        <w:pStyle w:val="E3BodyText"/>
      </w:pPr>
      <w:r w:rsidRPr="003E5BCC">
        <w:t xml:space="preserve">Lamps with LED light sources of all shapes with lamp caps B15, B22, E14, E27, E39, E40, GU10, G9 and R7, and ELV lamp bi-pin caps GU5.3, GX5.3, G6.35, GX53, that emit  ≥ 100  lm. </w:t>
      </w:r>
    </w:p>
    <w:p w14:paraId="7DDA7897" w14:textId="54971BFD" w:rsidR="003E5BCC" w:rsidRPr="008A638C" w:rsidRDefault="003E5BCC" w:rsidP="00C96C27">
      <w:pPr>
        <w:pStyle w:val="E3Heading4"/>
        <w:rPr>
          <w:lang w:eastAsia="en-AU"/>
        </w:rPr>
      </w:pPr>
      <w:bookmarkStart w:id="22" w:name="_Toc491354905"/>
      <w:r w:rsidRPr="008A638C">
        <w:rPr>
          <w:lang w:eastAsia="en-AU"/>
        </w:rPr>
        <w:t xml:space="preserve">Linear LED lamps </w:t>
      </w:r>
      <w:bookmarkEnd w:id="22"/>
    </w:p>
    <w:p w14:paraId="4151346A" w14:textId="77777777" w:rsidR="003E5BCC" w:rsidRPr="003E5BCC" w:rsidRDefault="003E5BCC" w:rsidP="00AE4F4A">
      <w:pPr>
        <w:pStyle w:val="E3BodyText"/>
      </w:pPr>
      <w:r w:rsidRPr="003E5BCC">
        <w:t>Linear LED lamps double-capped LED lamps including G5 and G13 caps, intended for replacing fluorescent lamps (as defined in IEC 60081) with the same caps (as defined in IEC 60081) or caps specific for double-capped linear LED lamps (related to IEC 60838-2-3) with a nominal length of 550 mm to 1500 mm.</w:t>
      </w:r>
    </w:p>
    <w:p w14:paraId="550F22EB" w14:textId="40BB7121" w:rsidR="00A0378E" w:rsidRPr="00A0378E" w:rsidRDefault="00A0378E" w:rsidP="00C96C27">
      <w:pPr>
        <w:pStyle w:val="E3Heading4"/>
        <w:rPr>
          <w:lang w:eastAsia="en-AU"/>
        </w:rPr>
      </w:pPr>
      <w:r w:rsidRPr="00A0378E">
        <w:rPr>
          <w:lang w:eastAsia="en-AU"/>
        </w:rPr>
        <w:t>Family of models definition</w:t>
      </w:r>
    </w:p>
    <w:p w14:paraId="0E267112" w14:textId="778D53E8" w:rsidR="00A0378E" w:rsidRDefault="00055F5E" w:rsidP="00AE4F4A">
      <w:pPr>
        <w:pStyle w:val="E3BodyText"/>
      </w:pPr>
      <w:r>
        <w:t>To reduce regulatory costs, a</w:t>
      </w:r>
      <w:r w:rsidR="00A0378E">
        <w:t xml:space="preserve"> broad definition of family models for l</w:t>
      </w:r>
      <w:r w:rsidR="00C66B33">
        <w:t>amps</w:t>
      </w:r>
      <w:r w:rsidR="00A0378E">
        <w:t xml:space="preserve"> is proposed, allowing up to</w:t>
      </w:r>
      <w:r w:rsidR="00C66B33">
        <w:t xml:space="preserve"> 75 </w:t>
      </w:r>
      <w:r w:rsidR="00A0378E">
        <w:t>models in a</w:t>
      </w:r>
      <w:r w:rsidR="00C66B33">
        <w:t xml:space="preserve"> LED lamp</w:t>
      </w:r>
      <w:r w:rsidR="00A0378E">
        <w:t xml:space="preserve"> family.</w:t>
      </w:r>
    </w:p>
    <w:p w14:paraId="5570058B" w14:textId="7A365341" w:rsidR="00443230" w:rsidRPr="00443230" w:rsidRDefault="00443230" w:rsidP="00443230">
      <w:pPr>
        <w:pStyle w:val="E3Heading1"/>
      </w:pPr>
      <w:bookmarkStart w:id="23" w:name="_Toc493159049"/>
      <w:r w:rsidRPr="00443230">
        <w:t>Timing</w:t>
      </w:r>
      <w:bookmarkEnd w:id="23"/>
    </w:p>
    <w:p w14:paraId="64875841" w14:textId="2F16A1B5" w:rsidR="00443230" w:rsidRDefault="00443230" w:rsidP="00C96C27">
      <w:pPr>
        <w:pStyle w:val="E3BodyText"/>
      </w:pPr>
      <w:r>
        <w:t xml:space="preserve">If approved the regulation is planned to commence in March 2019, with the Australian determination, and the test standard to be published twelve months prior to provide time for industry to implement this change. New Zealand will implement the MEPS by incorporation into the </w:t>
      </w:r>
      <w:r w:rsidRPr="00AE4F4A">
        <w:rPr>
          <w:i/>
        </w:rPr>
        <w:t>Energy Efficiency (Energy Using Products) Regulations</w:t>
      </w:r>
      <w:r>
        <w:t xml:space="preserve"> around this time.</w:t>
      </w:r>
    </w:p>
    <w:p w14:paraId="5200CE3D" w14:textId="4513BBC3" w:rsidR="00443230" w:rsidRPr="00A9114E" w:rsidRDefault="00A613A1" w:rsidP="00A613A1">
      <w:pPr>
        <w:pStyle w:val="Caption"/>
      </w:pPr>
      <w:bookmarkStart w:id="24" w:name="_Toc493158334"/>
      <w:bookmarkStart w:id="25" w:name="_Toc467059908"/>
      <w:r>
        <w:t xml:space="preserve">Table </w:t>
      </w:r>
      <w:r>
        <w:fldChar w:fldCharType="begin"/>
      </w:r>
      <w:r>
        <w:instrText xml:space="preserve"> SEQ Table \* ARABIC </w:instrText>
      </w:r>
      <w:r>
        <w:fldChar w:fldCharType="separate"/>
      </w:r>
      <w:r w:rsidR="005933B0">
        <w:t>2</w:t>
      </w:r>
      <w:r>
        <w:fldChar w:fldCharType="end"/>
      </w:r>
      <w:r w:rsidR="00443230" w:rsidRPr="00A9114E">
        <w:t>: Timeline for LED MEPS and Efficacy Levels</w:t>
      </w:r>
      <w:bookmarkEnd w:id="24"/>
      <w:r w:rsidR="00443230" w:rsidRPr="00A9114E">
        <w:t xml:space="preserve"> </w:t>
      </w:r>
      <w:bookmarkEnd w:id="25"/>
    </w:p>
    <w:tbl>
      <w:tblPr>
        <w:tblStyle w:val="TableGrid"/>
        <w:tblW w:w="9629" w:type="dxa"/>
        <w:tblLayout w:type="fixed"/>
        <w:tblLook w:val="04A0" w:firstRow="1" w:lastRow="0" w:firstColumn="1" w:lastColumn="0" w:noHBand="0" w:noVBand="1"/>
        <w:tblCaption w:val="Timeline for LED MEPS and Efficacy Levels "/>
        <w:tblDescription w:val="Timeline for LED MEPS and Efficacy Levels from 2018 to 2023"/>
      </w:tblPr>
      <w:tblGrid>
        <w:gridCol w:w="2689"/>
        <w:gridCol w:w="1388"/>
        <w:gridCol w:w="1388"/>
        <w:gridCol w:w="1388"/>
        <w:gridCol w:w="1388"/>
        <w:gridCol w:w="1388"/>
      </w:tblGrid>
      <w:tr w:rsidR="00453F48" w14:paraId="42FA0BE0" w14:textId="77777777" w:rsidTr="00453F48">
        <w:trPr>
          <w:trHeight w:val="216"/>
          <w:tblHeader/>
        </w:trPr>
        <w:tc>
          <w:tcPr>
            <w:tcW w:w="2689" w:type="dxa"/>
            <w:shd w:val="clear" w:color="auto" w:fill="000000" w:themeFill="text1"/>
          </w:tcPr>
          <w:p w14:paraId="03F4EBE8" w14:textId="77777777" w:rsidR="00443230" w:rsidRPr="00B40702" w:rsidRDefault="00443230" w:rsidP="00B40702">
            <w:pPr>
              <w:pStyle w:val="E3TableHeading"/>
              <w:rPr>
                <w:rFonts w:ascii="Georgia" w:hAnsi="Georgia"/>
                <w:sz w:val="20"/>
                <w:szCs w:val="20"/>
              </w:rPr>
            </w:pPr>
            <w:r w:rsidRPr="00B40702">
              <w:rPr>
                <w:rFonts w:ascii="Georgia" w:hAnsi="Georgia"/>
                <w:sz w:val="20"/>
                <w:szCs w:val="20"/>
              </w:rPr>
              <w:t>Product Scope</w:t>
            </w:r>
          </w:p>
        </w:tc>
        <w:tc>
          <w:tcPr>
            <w:tcW w:w="1388" w:type="dxa"/>
            <w:shd w:val="clear" w:color="auto" w:fill="000000" w:themeFill="text1"/>
          </w:tcPr>
          <w:p w14:paraId="660ACC6A" w14:textId="0B0E7BA9" w:rsidR="00443230" w:rsidRPr="00B40702" w:rsidRDefault="00443230" w:rsidP="00B40702">
            <w:pPr>
              <w:pStyle w:val="E3TableHeading"/>
              <w:jc w:val="center"/>
              <w:rPr>
                <w:rFonts w:ascii="Georgia" w:hAnsi="Georgia"/>
                <w:sz w:val="20"/>
                <w:szCs w:val="20"/>
              </w:rPr>
            </w:pPr>
            <w:r w:rsidRPr="00B40702">
              <w:rPr>
                <w:rFonts w:ascii="Georgia" w:hAnsi="Georgia"/>
                <w:sz w:val="20"/>
                <w:szCs w:val="20"/>
              </w:rPr>
              <w:t>2019</w:t>
            </w:r>
          </w:p>
        </w:tc>
        <w:tc>
          <w:tcPr>
            <w:tcW w:w="1388" w:type="dxa"/>
            <w:shd w:val="clear" w:color="auto" w:fill="000000" w:themeFill="text1"/>
          </w:tcPr>
          <w:p w14:paraId="4750F3FF" w14:textId="07229539" w:rsidR="00443230" w:rsidRPr="00B40702" w:rsidRDefault="00443230" w:rsidP="00B40702">
            <w:pPr>
              <w:pStyle w:val="E3TableHeading"/>
              <w:jc w:val="center"/>
              <w:rPr>
                <w:rFonts w:ascii="Georgia" w:hAnsi="Georgia"/>
                <w:sz w:val="20"/>
                <w:szCs w:val="20"/>
              </w:rPr>
            </w:pPr>
            <w:r w:rsidRPr="00B40702">
              <w:rPr>
                <w:rFonts w:ascii="Georgia" w:hAnsi="Georgia"/>
                <w:sz w:val="20"/>
                <w:szCs w:val="20"/>
              </w:rPr>
              <w:t>2020</w:t>
            </w:r>
          </w:p>
        </w:tc>
        <w:tc>
          <w:tcPr>
            <w:tcW w:w="1388" w:type="dxa"/>
            <w:shd w:val="clear" w:color="auto" w:fill="000000" w:themeFill="text1"/>
          </w:tcPr>
          <w:p w14:paraId="07AD5049" w14:textId="1CC06EA2" w:rsidR="00443230" w:rsidRPr="00B40702" w:rsidRDefault="00443230" w:rsidP="00B40702">
            <w:pPr>
              <w:pStyle w:val="E3TableHeading"/>
              <w:jc w:val="center"/>
              <w:rPr>
                <w:rFonts w:ascii="Georgia" w:hAnsi="Georgia"/>
                <w:sz w:val="20"/>
                <w:szCs w:val="20"/>
              </w:rPr>
            </w:pPr>
            <w:r w:rsidRPr="00B40702">
              <w:rPr>
                <w:rFonts w:ascii="Georgia" w:hAnsi="Georgia"/>
                <w:sz w:val="20"/>
                <w:szCs w:val="20"/>
              </w:rPr>
              <w:t>2021</w:t>
            </w:r>
          </w:p>
        </w:tc>
        <w:tc>
          <w:tcPr>
            <w:tcW w:w="1388" w:type="dxa"/>
            <w:shd w:val="clear" w:color="auto" w:fill="000000" w:themeFill="text1"/>
          </w:tcPr>
          <w:p w14:paraId="1EEDC169" w14:textId="077D6E7E" w:rsidR="00443230" w:rsidRPr="00B40702" w:rsidRDefault="00443230" w:rsidP="00B40702">
            <w:pPr>
              <w:pStyle w:val="E3TableHeading"/>
              <w:jc w:val="center"/>
              <w:rPr>
                <w:rFonts w:ascii="Georgia" w:hAnsi="Georgia"/>
                <w:sz w:val="20"/>
                <w:szCs w:val="20"/>
              </w:rPr>
            </w:pPr>
            <w:r w:rsidRPr="00B40702">
              <w:rPr>
                <w:rFonts w:ascii="Georgia" w:hAnsi="Georgia"/>
                <w:sz w:val="20"/>
                <w:szCs w:val="20"/>
              </w:rPr>
              <w:t>2022</w:t>
            </w:r>
          </w:p>
        </w:tc>
        <w:tc>
          <w:tcPr>
            <w:tcW w:w="1388" w:type="dxa"/>
            <w:shd w:val="clear" w:color="auto" w:fill="000000" w:themeFill="text1"/>
          </w:tcPr>
          <w:p w14:paraId="7DD72D84" w14:textId="77777777" w:rsidR="00443230" w:rsidRPr="00B40702" w:rsidRDefault="00443230" w:rsidP="00B40702">
            <w:pPr>
              <w:pStyle w:val="E3TableHeading"/>
              <w:jc w:val="center"/>
              <w:rPr>
                <w:rFonts w:ascii="Georgia" w:hAnsi="Georgia"/>
                <w:sz w:val="20"/>
                <w:szCs w:val="20"/>
              </w:rPr>
            </w:pPr>
            <w:r w:rsidRPr="00B40702">
              <w:rPr>
                <w:rFonts w:ascii="Georgia" w:hAnsi="Georgia"/>
                <w:sz w:val="20"/>
                <w:szCs w:val="20"/>
              </w:rPr>
              <w:t>2023</w:t>
            </w:r>
          </w:p>
        </w:tc>
      </w:tr>
      <w:tr w:rsidR="00453F48" w14:paraId="3C41DCAA" w14:textId="77777777" w:rsidTr="00453F48">
        <w:trPr>
          <w:trHeight w:val="355"/>
        </w:trPr>
        <w:tc>
          <w:tcPr>
            <w:tcW w:w="2689" w:type="dxa"/>
          </w:tcPr>
          <w:p w14:paraId="0DA67203" w14:textId="77777777" w:rsidR="00443230" w:rsidRDefault="00443230" w:rsidP="00C96C27">
            <w:pPr>
              <w:pStyle w:val="E3Tabletext"/>
              <w:spacing w:line="240" w:lineRule="auto"/>
              <w:ind w:left="34"/>
            </w:pPr>
            <w:r>
              <w:t>Lamp Non Directional</w:t>
            </w:r>
          </w:p>
        </w:tc>
        <w:tc>
          <w:tcPr>
            <w:tcW w:w="1388" w:type="dxa"/>
            <w:shd w:val="clear" w:color="auto" w:fill="92D050"/>
          </w:tcPr>
          <w:p w14:paraId="45708434" w14:textId="435EC054" w:rsidR="00443230" w:rsidRDefault="00F660D1" w:rsidP="00C96C27">
            <w:pPr>
              <w:pStyle w:val="E3Tabletext"/>
              <w:spacing w:line="240" w:lineRule="auto"/>
              <w:ind w:left="34"/>
            </w:pPr>
            <w:r>
              <w:t>80</w:t>
            </w:r>
            <w:r w:rsidR="00443230" w:rsidRPr="00476614">
              <w:t xml:space="preserve"> lm/W</w:t>
            </w:r>
          </w:p>
        </w:tc>
        <w:tc>
          <w:tcPr>
            <w:tcW w:w="1388" w:type="dxa"/>
          </w:tcPr>
          <w:p w14:paraId="088C91B1" w14:textId="77777777" w:rsidR="00443230" w:rsidRDefault="00443230" w:rsidP="00C96C27">
            <w:pPr>
              <w:pStyle w:val="E3Tabletext"/>
              <w:spacing w:line="240" w:lineRule="auto"/>
              <w:ind w:left="34"/>
            </w:pPr>
          </w:p>
        </w:tc>
        <w:tc>
          <w:tcPr>
            <w:tcW w:w="1388" w:type="dxa"/>
          </w:tcPr>
          <w:p w14:paraId="13BDDBC4" w14:textId="7AD961DB" w:rsidR="00443230" w:rsidRPr="00443230" w:rsidRDefault="00F660D1" w:rsidP="00C96C27">
            <w:pPr>
              <w:pStyle w:val="E3Tabletext"/>
              <w:spacing w:line="240" w:lineRule="auto"/>
              <w:ind w:left="34"/>
              <w:rPr>
                <w:highlight w:val="yellow"/>
              </w:rPr>
            </w:pPr>
            <w:r>
              <w:rPr>
                <w:highlight w:val="yellow"/>
              </w:rPr>
              <w:t>90</w:t>
            </w:r>
            <w:r w:rsidR="00443230" w:rsidRPr="00443230">
              <w:rPr>
                <w:highlight w:val="yellow"/>
              </w:rPr>
              <w:t xml:space="preserve"> lm/W</w:t>
            </w:r>
          </w:p>
        </w:tc>
        <w:tc>
          <w:tcPr>
            <w:tcW w:w="1388" w:type="dxa"/>
          </w:tcPr>
          <w:p w14:paraId="75A4A4F9" w14:textId="77777777" w:rsidR="00443230" w:rsidRPr="00443230" w:rsidRDefault="00443230" w:rsidP="00C96C27">
            <w:pPr>
              <w:pStyle w:val="E3Tabletext"/>
              <w:spacing w:line="240" w:lineRule="auto"/>
              <w:ind w:left="34"/>
              <w:rPr>
                <w:highlight w:val="yellow"/>
              </w:rPr>
            </w:pPr>
          </w:p>
        </w:tc>
        <w:tc>
          <w:tcPr>
            <w:tcW w:w="1388" w:type="dxa"/>
            <w:tcBorders>
              <w:top w:val="single" w:sz="12" w:space="0" w:color="auto"/>
            </w:tcBorders>
          </w:tcPr>
          <w:p w14:paraId="3A6127D5" w14:textId="77777777" w:rsidR="00443230" w:rsidRPr="00443230" w:rsidRDefault="00443230" w:rsidP="00C96C27">
            <w:pPr>
              <w:pStyle w:val="E3Tabletext"/>
              <w:spacing w:line="240" w:lineRule="auto"/>
              <w:ind w:left="34"/>
              <w:rPr>
                <w:highlight w:val="yellow"/>
              </w:rPr>
            </w:pPr>
            <w:r w:rsidRPr="00443230">
              <w:rPr>
                <w:highlight w:val="yellow"/>
              </w:rPr>
              <w:t>100 lm/W</w:t>
            </w:r>
          </w:p>
        </w:tc>
      </w:tr>
      <w:tr w:rsidR="00453F48" w14:paraId="593A384D" w14:textId="77777777" w:rsidTr="00453F48">
        <w:trPr>
          <w:trHeight w:val="355"/>
        </w:trPr>
        <w:tc>
          <w:tcPr>
            <w:tcW w:w="2689" w:type="dxa"/>
          </w:tcPr>
          <w:p w14:paraId="45BB27C5" w14:textId="77777777" w:rsidR="00443230" w:rsidRDefault="00443230" w:rsidP="00C96C27">
            <w:pPr>
              <w:pStyle w:val="E3Tabletext"/>
              <w:spacing w:line="240" w:lineRule="auto"/>
              <w:ind w:left="34"/>
            </w:pPr>
            <w:r>
              <w:t>Lamp Directional</w:t>
            </w:r>
          </w:p>
        </w:tc>
        <w:tc>
          <w:tcPr>
            <w:tcW w:w="1388" w:type="dxa"/>
            <w:shd w:val="clear" w:color="auto" w:fill="92D050"/>
          </w:tcPr>
          <w:p w14:paraId="37F18B61" w14:textId="6E4A49C7" w:rsidR="00443230" w:rsidRDefault="00F660D1" w:rsidP="00C96C27">
            <w:pPr>
              <w:pStyle w:val="E3Tabletext"/>
              <w:spacing w:line="240" w:lineRule="auto"/>
              <w:ind w:left="34"/>
            </w:pPr>
            <w:r>
              <w:t>80</w:t>
            </w:r>
            <w:r w:rsidR="00443230" w:rsidRPr="00476614">
              <w:t xml:space="preserve"> lm/W</w:t>
            </w:r>
          </w:p>
        </w:tc>
        <w:tc>
          <w:tcPr>
            <w:tcW w:w="1388" w:type="dxa"/>
          </w:tcPr>
          <w:p w14:paraId="487CE7C6" w14:textId="77777777" w:rsidR="00443230" w:rsidRDefault="00443230" w:rsidP="00C96C27">
            <w:pPr>
              <w:pStyle w:val="E3Tabletext"/>
              <w:spacing w:line="240" w:lineRule="auto"/>
              <w:ind w:left="34"/>
            </w:pPr>
          </w:p>
        </w:tc>
        <w:tc>
          <w:tcPr>
            <w:tcW w:w="1388" w:type="dxa"/>
          </w:tcPr>
          <w:p w14:paraId="7AD4611B" w14:textId="27D169E0" w:rsidR="00443230" w:rsidRPr="00443230" w:rsidRDefault="00F660D1" w:rsidP="00C96C27">
            <w:pPr>
              <w:pStyle w:val="E3Tabletext"/>
              <w:spacing w:line="240" w:lineRule="auto"/>
              <w:ind w:left="34"/>
              <w:rPr>
                <w:highlight w:val="yellow"/>
              </w:rPr>
            </w:pPr>
            <w:r>
              <w:rPr>
                <w:highlight w:val="yellow"/>
              </w:rPr>
              <w:t>90</w:t>
            </w:r>
            <w:r w:rsidR="00443230" w:rsidRPr="00443230">
              <w:rPr>
                <w:highlight w:val="yellow"/>
              </w:rPr>
              <w:t xml:space="preserve"> lm/W</w:t>
            </w:r>
          </w:p>
        </w:tc>
        <w:tc>
          <w:tcPr>
            <w:tcW w:w="1388" w:type="dxa"/>
          </w:tcPr>
          <w:p w14:paraId="409E4245" w14:textId="77777777" w:rsidR="00443230" w:rsidRPr="00443230" w:rsidRDefault="00443230" w:rsidP="00C96C27">
            <w:pPr>
              <w:pStyle w:val="E3Tabletext"/>
              <w:spacing w:line="240" w:lineRule="auto"/>
              <w:ind w:left="34"/>
              <w:rPr>
                <w:highlight w:val="yellow"/>
              </w:rPr>
            </w:pPr>
          </w:p>
        </w:tc>
        <w:tc>
          <w:tcPr>
            <w:tcW w:w="1388" w:type="dxa"/>
          </w:tcPr>
          <w:p w14:paraId="3181BCF1" w14:textId="77777777" w:rsidR="00443230" w:rsidRPr="00443230" w:rsidRDefault="00443230" w:rsidP="00C96C27">
            <w:pPr>
              <w:pStyle w:val="E3Tabletext"/>
              <w:spacing w:line="240" w:lineRule="auto"/>
              <w:ind w:left="34"/>
              <w:rPr>
                <w:highlight w:val="yellow"/>
              </w:rPr>
            </w:pPr>
            <w:r w:rsidRPr="00443230">
              <w:rPr>
                <w:highlight w:val="yellow"/>
              </w:rPr>
              <w:t>100 lm/W</w:t>
            </w:r>
          </w:p>
        </w:tc>
      </w:tr>
      <w:tr w:rsidR="00453F48" w14:paraId="2BE6FC71" w14:textId="77777777" w:rsidTr="00453F48">
        <w:trPr>
          <w:trHeight w:val="355"/>
        </w:trPr>
        <w:tc>
          <w:tcPr>
            <w:tcW w:w="2689" w:type="dxa"/>
          </w:tcPr>
          <w:p w14:paraId="298EB824" w14:textId="77777777" w:rsidR="00443230" w:rsidRDefault="00443230" w:rsidP="00C96C27">
            <w:pPr>
              <w:pStyle w:val="E3Tabletext"/>
              <w:spacing w:line="240" w:lineRule="auto"/>
              <w:ind w:left="34"/>
            </w:pPr>
            <w:r>
              <w:t>Lamp Linear</w:t>
            </w:r>
          </w:p>
        </w:tc>
        <w:tc>
          <w:tcPr>
            <w:tcW w:w="1388" w:type="dxa"/>
            <w:shd w:val="clear" w:color="auto" w:fill="92D050"/>
          </w:tcPr>
          <w:p w14:paraId="633B1292" w14:textId="77777777" w:rsidR="00443230" w:rsidRDefault="00443230" w:rsidP="00C96C27">
            <w:pPr>
              <w:pStyle w:val="E3Tabletext"/>
              <w:spacing w:line="240" w:lineRule="auto"/>
              <w:ind w:left="34"/>
            </w:pPr>
            <w:r w:rsidRPr="0056334A">
              <w:t>100  lm/W</w:t>
            </w:r>
          </w:p>
        </w:tc>
        <w:tc>
          <w:tcPr>
            <w:tcW w:w="1388" w:type="dxa"/>
          </w:tcPr>
          <w:p w14:paraId="6C444E8B" w14:textId="77777777" w:rsidR="00443230" w:rsidRDefault="00443230" w:rsidP="00C96C27">
            <w:pPr>
              <w:pStyle w:val="E3Tabletext"/>
              <w:spacing w:line="240" w:lineRule="auto"/>
              <w:ind w:left="34"/>
            </w:pPr>
          </w:p>
        </w:tc>
        <w:tc>
          <w:tcPr>
            <w:tcW w:w="1388" w:type="dxa"/>
          </w:tcPr>
          <w:p w14:paraId="13860CBB" w14:textId="77777777" w:rsidR="00443230" w:rsidRPr="00443230" w:rsidRDefault="00443230" w:rsidP="00C96C27">
            <w:pPr>
              <w:pStyle w:val="E3Tabletext"/>
              <w:spacing w:line="240" w:lineRule="auto"/>
              <w:ind w:left="34"/>
              <w:rPr>
                <w:highlight w:val="yellow"/>
              </w:rPr>
            </w:pPr>
            <w:r w:rsidRPr="00443230">
              <w:rPr>
                <w:highlight w:val="yellow"/>
              </w:rPr>
              <w:t xml:space="preserve">110  lm/W </w:t>
            </w:r>
          </w:p>
        </w:tc>
        <w:tc>
          <w:tcPr>
            <w:tcW w:w="1388" w:type="dxa"/>
          </w:tcPr>
          <w:p w14:paraId="18A31A82" w14:textId="77777777" w:rsidR="00443230" w:rsidRPr="00443230" w:rsidRDefault="00443230" w:rsidP="00C96C27">
            <w:pPr>
              <w:pStyle w:val="E3Tabletext"/>
              <w:spacing w:line="240" w:lineRule="auto"/>
              <w:ind w:left="34"/>
              <w:rPr>
                <w:highlight w:val="yellow"/>
              </w:rPr>
            </w:pPr>
          </w:p>
        </w:tc>
        <w:tc>
          <w:tcPr>
            <w:tcW w:w="1388" w:type="dxa"/>
          </w:tcPr>
          <w:p w14:paraId="65BA01E1" w14:textId="77777777" w:rsidR="00443230" w:rsidRPr="00443230" w:rsidRDefault="00443230" w:rsidP="00C96C27">
            <w:pPr>
              <w:pStyle w:val="E3Tabletext"/>
              <w:spacing w:line="240" w:lineRule="auto"/>
              <w:ind w:left="34"/>
              <w:rPr>
                <w:highlight w:val="yellow"/>
              </w:rPr>
            </w:pPr>
            <w:r w:rsidRPr="00443230">
              <w:rPr>
                <w:highlight w:val="yellow"/>
              </w:rPr>
              <w:t>120  lm/W</w:t>
            </w:r>
          </w:p>
        </w:tc>
      </w:tr>
    </w:tbl>
    <w:p w14:paraId="03EAA39C" w14:textId="77777777" w:rsidR="00443230" w:rsidRDefault="00443230" w:rsidP="00CF5F31">
      <w:pPr>
        <w:spacing w:after="0" w:line="240" w:lineRule="auto"/>
        <w:rPr>
          <w:rFonts w:ascii="Calibri" w:eastAsia="Times New Roman" w:hAnsi="Calibri"/>
          <w:color w:val="000000"/>
          <w:sz w:val="24"/>
          <w:lang w:eastAsia="en-AU"/>
        </w:rPr>
      </w:pPr>
    </w:p>
    <w:p w14:paraId="48766825" w14:textId="4A30BC54" w:rsidR="00973480" w:rsidRDefault="00973480" w:rsidP="00AF3C6C">
      <w:pPr>
        <w:pStyle w:val="E3BodyText"/>
      </w:pPr>
      <w:r>
        <w:t xml:space="preserve">Note: non-directional and directional lamp efficacy levels have been increased since the CRIS on the basis of a 12 month delay in commencement date and analysis of </w:t>
      </w:r>
      <w:r w:rsidR="0045625A">
        <w:t xml:space="preserve">recent </w:t>
      </w:r>
      <w:r>
        <w:t xml:space="preserve">data that supports that the initially proposed levels were too low.  </w:t>
      </w:r>
      <w:r w:rsidR="00F660D1">
        <w:t xml:space="preserve">Concessions are now proposed for directional lamps, narrow beam angle, high CRI and ≤ 3000K colour temperature. </w:t>
      </w:r>
      <w:r>
        <w:t xml:space="preserve">Refer to </w:t>
      </w:r>
      <w:hyperlink w:anchor="Attachment_C" w:history="1">
        <w:r w:rsidRPr="00AB710B">
          <w:rPr>
            <w:rStyle w:val="Hyperlink"/>
          </w:rPr>
          <w:t>Attachment C</w:t>
        </w:r>
      </w:hyperlink>
      <w:r>
        <w:t xml:space="preserve"> for further details.</w:t>
      </w:r>
    </w:p>
    <w:p w14:paraId="38DA2BF4" w14:textId="2CBA5BDA" w:rsidR="00CF5F31" w:rsidRPr="00CF5F31" w:rsidRDefault="00C96C27" w:rsidP="009B1796">
      <w:pPr>
        <w:pStyle w:val="E3Heading1"/>
      </w:pPr>
      <w:bookmarkStart w:id="26" w:name="_Toc493159050"/>
      <w:r>
        <w:t>Simplified r</w:t>
      </w:r>
      <w:r w:rsidR="00CF5F31" w:rsidRPr="00CF5F31">
        <w:t>egistration for small volumes</w:t>
      </w:r>
      <w:bookmarkEnd w:id="26"/>
    </w:p>
    <w:p w14:paraId="2FCE54D4" w14:textId="540F8718" w:rsidR="00CF5F31" w:rsidRDefault="00D834F6" w:rsidP="00AF3C6C">
      <w:pPr>
        <w:pStyle w:val="E3BodyText"/>
      </w:pPr>
      <w:r w:rsidRPr="00CF5F31">
        <w:t xml:space="preserve">For </w:t>
      </w:r>
      <w:r w:rsidR="00880122">
        <w:t>lamp models</w:t>
      </w:r>
      <w:r w:rsidRPr="00CF5F31">
        <w:t xml:space="preserve"> which have low volume sales of up to </w:t>
      </w:r>
      <w:r>
        <w:t>2</w:t>
      </w:r>
      <w:r w:rsidR="00880122">
        <w:t>0</w:t>
      </w:r>
      <w:r>
        <w:t>0 annual units</w:t>
      </w:r>
      <w:r w:rsidR="00CF5F31" w:rsidRPr="00CF5F31">
        <w:t>, a simplified registration may be submitted, including supply of manufacturer’s datasheet, without demonstration of full compliance with MEPS</w:t>
      </w:r>
      <w:r w:rsidR="00CF5F31" w:rsidRPr="00CF5F31">
        <w:rPr>
          <w:rStyle w:val="FootnoteReference"/>
          <w:color w:val="000000"/>
        </w:rPr>
        <w:footnoteReference w:id="2"/>
      </w:r>
      <w:r w:rsidR="00CF5F31" w:rsidRPr="00CF5F31">
        <w:t xml:space="preserve">. </w:t>
      </w:r>
      <w:r w:rsidR="00597B01">
        <w:t>This would be for individual models only (as opposed to a family).</w:t>
      </w:r>
    </w:p>
    <w:p w14:paraId="7360E5E1" w14:textId="77777777" w:rsidR="00AF3C6C" w:rsidRDefault="00CF5F31" w:rsidP="00AF3C6C">
      <w:pPr>
        <w:pStyle w:val="E3BodyText"/>
      </w:pPr>
      <w:r w:rsidRPr="00CF5F31">
        <w:t xml:space="preserve">Import/production volumes to be provided annually for duration of registration. </w:t>
      </w:r>
    </w:p>
    <w:p w14:paraId="3163FDCE" w14:textId="675FED49" w:rsidR="00CF5F31" w:rsidRDefault="00CF5F31" w:rsidP="00AF3C6C">
      <w:pPr>
        <w:pStyle w:val="E3BodyText"/>
        <w:rPr>
          <w:color w:val="000000"/>
        </w:rPr>
      </w:pPr>
      <w:r w:rsidRPr="00CF5F31">
        <w:rPr>
          <w:color w:val="000000"/>
        </w:rPr>
        <w:t xml:space="preserve">Where this upper sales limit is exceeded, the supplier may either withdraw the product from sale; or alternately complete product testing and a full product registration (demonstrating compliance with MEPS). </w:t>
      </w:r>
    </w:p>
    <w:p w14:paraId="2E1735DC" w14:textId="3114AA83" w:rsidR="00772C83" w:rsidRDefault="00B778AE" w:rsidP="009B1796">
      <w:pPr>
        <w:pStyle w:val="E3Heading1"/>
      </w:pPr>
      <w:bookmarkStart w:id="27" w:name="_Toc493159051"/>
      <w:r w:rsidRPr="0077141A">
        <w:t xml:space="preserve">Key </w:t>
      </w:r>
      <w:r w:rsidR="00321165">
        <w:t>parameters</w:t>
      </w:r>
      <w:bookmarkEnd w:id="19"/>
      <w:r>
        <w:t xml:space="preserve"> </w:t>
      </w:r>
      <w:r w:rsidR="00D955B6">
        <w:t>and tests</w:t>
      </w:r>
      <w:bookmarkEnd w:id="27"/>
    </w:p>
    <w:p w14:paraId="0F25EA9B" w14:textId="75774589" w:rsidR="00D955B6" w:rsidRPr="00D955B6" w:rsidRDefault="00D955B6" w:rsidP="00AF3C6C">
      <w:pPr>
        <w:pStyle w:val="E3BodyText"/>
      </w:pPr>
      <w:r w:rsidRPr="00D955B6">
        <w:t>The proposed performance requirements for MEPS on lamps includes:</w:t>
      </w:r>
    </w:p>
    <w:p w14:paraId="3CA60883" w14:textId="25B7D4B9" w:rsidR="00D955B6" w:rsidRPr="00D955B6" w:rsidRDefault="00D834F6" w:rsidP="00AF3C6C">
      <w:pPr>
        <w:pStyle w:val="E3Bullets"/>
      </w:pPr>
      <w:r>
        <w:t>13</w:t>
      </w:r>
      <w:r w:rsidR="00D955B6" w:rsidRPr="00D955B6">
        <w:t xml:space="preserve"> mandatory perfo</w:t>
      </w:r>
      <w:r w:rsidR="00AF3C6C">
        <w:t>rmance parameters that involve seven</w:t>
      </w:r>
      <w:r w:rsidR="00D955B6" w:rsidRPr="00D955B6">
        <w:t xml:space="preserve"> tests</w:t>
      </w:r>
      <w:r>
        <w:t xml:space="preserve"> (note that some of these param</w:t>
      </w:r>
      <w:r w:rsidR="00597B01">
        <w:t>e</w:t>
      </w:r>
      <w:r>
        <w:t>ters only apply to certain lamp types).</w:t>
      </w:r>
    </w:p>
    <w:p w14:paraId="48A16484" w14:textId="3B271ADF" w:rsidR="00D955B6" w:rsidRPr="00D955B6" w:rsidRDefault="00AF3C6C" w:rsidP="00AF3C6C">
      <w:pPr>
        <w:pStyle w:val="E3Bullets"/>
      </w:pPr>
      <w:r>
        <w:t>Of the seven tests, at least five</w:t>
      </w:r>
      <w:r w:rsidR="00D955B6" w:rsidRPr="00D955B6">
        <w:t xml:space="preserve"> are understood to already be undertaken by reputable suppliers. It is also likely that tests for the other two parameters (photo biological safety and flicker) will be required by other regulators overseas. </w:t>
      </w:r>
    </w:p>
    <w:p w14:paraId="7299F2B8" w14:textId="6D184A85" w:rsidR="00D955B6" w:rsidRPr="00D955B6" w:rsidRDefault="009409DC" w:rsidP="00AF3C6C">
      <w:pPr>
        <w:pStyle w:val="E3BodyText"/>
      </w:pPr>
      <w:r>
        <w:t xml:space="preserve">Below is a summary of the </w:t>
      </w:r>
      <w:r w:rsidR="00AF3C6C">
        <w:t>four</w:t>
      </w:r>
      <w:r w:rsidR="00D955B6" w:rsidRPr="00D955B6">
        <w:t xml:space="preserve"> tests proposed that some suppliers may not currently include in their usual set of tests. </w:t>
      </w:r>
      <w:r w:rsidR="00597B01">
        <w:t xml:space="preserve">We expect that reputable suppliers will already have access to data for lumen maintenance and endurance (please advise if this assumption is incorrect). </w:t>
      </w:r>
      <w:r w:rsidR="00D955B6" w:rsidRPr="00D955B6">
        <w:t xml:space="preserve">Costs are based on completing testing through a third party test lab. Thus, actual costs are likely to be lower for many suppliers who are undertaking in-house testing. </w:t>
      </w:r>
    </w:p>
    <w:p w14:paraId="170163B9" w14:textId="41335586" w:rsidR="00D955B6" w:rsidRPr="00D955B6" w:rsidRDefault="00D955B6" w:rsidP="00AF3C6C">
      <w:pPr>
        <w:pStyle w:val="E3BodyText"/>
      </w:pPr>
      <w:r w:rsidRPr="00D955B6">
        <w:t xml:space="preserve">Third party accreditation testing is not required. Where the use of module, LED package or driver test data is allowed, this must be from an accredited (but not necessarily third party) laboratory. </w:t>
      </w:r>
    </w:p>
    <w:p w14:paraId="2B5B72D2" w14:textId="75041151" w:rsidR="00D955B6" w:rsidRDefault="00D955B6" w:rsidP="00AF3C6C">
      <w:pPr>
        <w:pStyle w:val="E3BodyText"/>
      </w:pPr>
      <w:r w:rsidRPr="00CB7857">
        <w:t xml:space="preserve">Test results for registration will only be required for the model with the lowest energy efficiency in the proposed family. </w:t>
      </w:r>
    </w:p>
    <w:p w14:paraId="46CB5720" w14:textId="6DF749C0" w:rsidR="007B5A04" w:rsidRDefault="00ED6E17" w:rsidP="00AF3C6C">
      <w:pPr>
        <w:pStyle w:val="E3BodyText"/>
        <w:rPr>
          <w:u w:val="single"/>
        </w:rPr>
      </w:pPr>
      <w:r w:rsidRPr="00D955B6">
        <w:t xml:space="preserve">The Department welcomes feedback from suppliers </w:t>
      </w:r>
      <w:r>
        <w:t xml:space="preserve">on test costs </w:t>
      </w:r>
      <w:r w:rsidRPr="00D955B6">
        <w:t>to further inform industry compliance costs.</w:t>
      </w:r>
      <w:r w:rsidR="00951B58">
        <w:t xml:space="preserve">  </w:t>
      </w:r>
      <w:r w:rsidR="00951B58" w:rsidRPr="00CF5F31">
        <w:t xml:space="preserve">Further cost estimates to comply with the regulation </w:t>
      </w:r>
      <w:r w:rsidR="00951B58">
        <w:t>are</w:t>
      </w:r>
      <w:r w:rsidR="00951B58" w:rsidRPr="00CF5F31">
        <w:t xml:space="preserve"> included </w:t>
      </w:r>
      <w:r w:rsidR="00951B58">
        <w:t xml:space="preserve">at </w:t>
      </w:r>
      <w:hyperlink w:anchor="Attachment_F" w:history="1">
        <w:r w:rsidR="00951B58" w:rsidRPr="00AB710B">
          <w:rPr>
            <w:rStyle w:val="Hyperlink"/>
          </w:rPr>
          <w:t>Attachment F</w:t>
        </w:r>
      </w:hyperlink>
      <w:r w:rsidR="00951B58">
        <w:rPr>
          <w:u w:val="single"/>
        </w:rPr>
        <w:t>.</w:t>
      </w:r>
    </w:p>
    <w:p w14:paraId="75D510E7" w14:textId="77777777" w:rsidR="00991F9F" w:rsidRPr="00AB710B" w:rsidRDefault="00387C55" w:rsidP="00AF3C6C">
      <w:pPr>
        <w:pStyle w:val="E3BodyText"/>
      </w:pPr>
      <w:r w:rsidRPr="00CB7857">
        <w:t xml:space="preserve">Dominant light modulation frequency (including flicker effects) is a parameter where there is currently no one agreed international test standard. The requirements currently included in the MEPS document is based on the IEEE 1789:2015 test method, however following stakeholder feedback, the proposed threshold values have been adjusted.  </w:t>
      </w:r>
      <w:r w:rsidR="007B5A04">
        <w:t xml:space="preserve">Further discussions will be held with the </w:t>
      </w:r>
      <w:r w:rsidR="007B5A04" w:rsidRPr="007B5A04">
        <w:t>LED MEPS Technical Working Group</w:t>
      </w:r>
      <w:r w:rsidR="007B5A04">
        <w:t xml:space="preserve"> to review</w:t>
      </w:r>
      <w:r w:rsidRPr="00CB7857">
        <w:t xml:space="preserve"> the available methodologies </w:t>
      </w:r>
      <w:r w:rsidR="007B5A04">
        <w:t>and agree on the</w:t>
      </w:r>
      <w:r w:rsidRPr="00CB7857">
        <w:t xml:space="preserve"> most appropriate option for this parameter in terms of testing and threshold requirements. </w:t>
      </w:r>
      <w:r w:rsidR="007B5A04" w:rsidRPr="007B5A04">
        <w:t>Stakeholders will have the opportunity to comment on the draft determination prior to approval.</w:t>
      </w:r>
      <w:r w:rsidR="00991F9F" w:rsidRPr="00AB710B">
        <w:t xml:space="preserve"> </w:t>
      </w:r>
    </w:p>
    <w:p w14:paraId="566E95DE" w14:textId="26632087" w:rsidR="00387C55" w:rsidRDefault="00387C55" w:rsidP="00AF3C6C">
      <w:pPr>
        <w:pStyle w:val="E3BodyText"/>
      </w:pPr>
      <w:r w:rsidRPr="00CB7857">
        <w:t xml:space="preserve">A lumen maintenance requirement is included to prevent consumers from being exposed to products where the light output significantly degrades (below 70%) over the expected life of the product and thus unable to </w:t>
      </w:r>
      <w:r w:rsidRPr="00ED6E17">
        <w:t xml:space="preserve">provide the expected lighting service.  The MEPS allows the use of an abbreviated test methodology including ISTMT junction temperature tests and module/package test reports which is significantly less onerous than 6,000 hr test required for CFLs.  </w:t>
      </w:r>
      <w:hyperlink w:anchor="Attachment_I" w:history="1">
        <w:r w:rsidRPr="00AB710B">
          <w:rPr>
            <w:rStyle w:val="Hyperlink"/>
          </w:rPr>
          <w:t xml:space="preserve">Attachment </w:t>
        </w:r>
        <w:r w:rsidR="00991F9F" w:rsidRPr="00AB710B">
          <w:rPr>
            <w:rStyle w:val="Hyperlink"/>
          </w:rPr>
          <w:t>I</w:t>
        </w:r>
      </w:hyperlink>
      <w:r w:rsidRPr="00ED6E17">
        <w:t xml:space="preserve"> provides further b</w:t>
      </w:r>
      <w:r w:rsidR="00951B58">
        <w:t xml:space="preserve">ackground to the </w:t>
      </w:r>
      <w:r w:rsidRPr="00ED6E17">
        <w:t>approach to lumen maintenance testing.</w:t>
      </w:r>
    </w:p>
    <w:p w14:paraId="3963ADB0" w14:textId="663EB294" w:rsidR="00991F9F" w:rsidRDefault="00991F9F">
      <w:pPr>
        <w:spacing w:after="0" w:line="240" w:lineRule="auto"/>
        <w:rPr>
          <w:b/>
          <w:bCs/>
          <w:color w:val="C1001A" w:themeColor="accent1"/>
          <w:sz w:val="18"/>
          <w:szCs w:val="18"/>
        </w:rPr>
      </w:pPr>
    </w:p>
    <w:p w14:paraId="6E50A81F" w14:textId="117B11B9" w:rsidR="00D955B6" w:rsidRPr="00B64E90" w:rsidRDefault="0012172E" w:rsidP="0012172E">
      <w:pPr>
        <w:pStyle w:val="Caption"/>
      </w:pPr>
      <w:bookmarkStart w:id="28" w:name="_Toc493158335"/>
      <w:r>
        <w:t xml:space="preserve">Table </w:t>
      </w:r>
      <w:r>
        <w:fldChar w:fldCharType="begin"/>
      </w:r>
      <w:r>
        <w:instrText xml:space="preserve"> SEQ Table \* ARABIC </w:instrText>
      </w:r>
      <w:r>
        <w:fldChar w:fldCharType="separate"/>
      </w:r>
      <w:r w:rsidR="005933B0">
        <w:t>3</w:t>
      </w:r>
      <w:r>
        <w:fldChar w:fldCharType="end"/>
      </w:r>
      <w:r w:rsidR="00E10F2C" w:rsidRPr="00B64E90">
        <w:t xml:space="preserve">: </w:t>
      </w:r>
      <w:r w:rsidR="00D955B6" w:rsidRPr="00B64E90">
        <w:t>Summary of additional testing under LED MEPS</w:t>
      </w:r>
      <w:bookmarkEnd w:id="28"/>
    </w:p>
    <w:tbl>
      <w:tblPr>
        <w:tblW w:w="9639" w:type="dxa"/>
        <w:tblInd w:w="-5" w:type="dxa"/>
        <w:tblLayout w:type="fixed"/>
        <w:tblLook w:val="04A0" w:firstRow="1" w:lastRow="0" w:firstColumn="1" w:lastColumn="0" w:noHBand="0" w:noVBand="1"/>
      </w:tblPr>
      <w:tblGrid>
        <w:gridCol w:w="1701"/>
        <w:gridCol w:w="3402"/>
        <w:gridCol w:w="3402"/>
        <w:gridCol w:w="1134"/>
      </w:tblGrid>
      <w:tr w:rsidR="00D955B6" w:rsidRPr="00DC6F41" w14:paraId="0854E3BE" w14:textId="77777777" w:rsidTr="00453F48">
        <w:trPr>
          <w:trHeight w:val="600"/>
          <w:tblHeader/>
        </w:trPr>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tcPr>
          <w:p w14:paraId="274E9231" w14:textId="77777777" w:rsidR="00D955B6" w:rsidRPr="00DC6F41" w:rsidRDefault="00D955B6" w:rsidP="00732EF0">
            <w:pPr>
              <w:spacing w:after="0" w:line="240" w:lineRule="auto"/>
              <w:rPr>
                <w:rFonts w:ascii="Calibri" w:eastAsia="Times New Roman" w:hAnsi="Calibri"/>
                <w:b/>
                <w:color w:val="000000"/>
                <w:sz w:val="18"/>
                <w:szCs w:val="18"/>
                <w:lang w:eastAsia="en-AU"/>
              </w:rPr>
            </w:pPr>
            <w:r w:rsidRPr="00DC6F41">
              <w:rPr>
                <w:rFonts w:ascii="Calibri" w:eastAsia="Times New Roman" w:hAnsi="Calibri"/>
                <w:b/>
                <w:color w:val="000000"/>
                <w:sz w:val="18"/>
                <w:szCs w:val="18"/>
                <w:lang w:eastAsia="en-AU"/>
              </w:rPr>
              <w:t>New Tests</w:t>
            </w:r>
          </w:p>
        </w:tc>
        <w:tc>
          <w:tcPr>
            <w:tcW w:w="3402" w:type="dxa"/>
            <w:tcBorders>
              <w:top w:val="single" w:sz="4" w:space="0" w:color="auto"/>
              <w:left w:val="nil"/>
              <w:bottom w:val="single" w:sz="4" w:space="0" w:color="auto"/>
              <w:right w:val="single" w:sz="4" w:space="0" w:color="auto"/>
            </w:tcBorders>
            <w:shd w:val="clear" w:color="000000" w:fill="FFFFFF"/>
            <w:vAlign w:val="bottom"/>
          </w:tcPr>
          <w:p w14:paraId="0C4B2F0E" w14:textId="77777777" w:rsidR="00D955B6" w:rsidRPr="00DC6F41" w:rsidRDefault="00D955B6" w:rsidP="00732EF0">
            <w:pPr>
              <w:spacing w:after="0" w:line="240" w:lineRule="auto"/>
              <w:rPr>
                <w:rFonts w:ascii="Calibri" w:eastAsia="Times New Roman" w:hAnsi="Calibri"/>
                <w:b/>
                <w:color w:val="000000"/>
                <w:sz w:val="18"/>
                <w:szCs w:val="18"/>
                <w:lang w:eastAsia="en-AU"/>
              </w:rPr>
            </w:pPr>
            <w:r w:rsidRPr="00DC6F41">
              <w:rPr>
                <w:rFonts w:ascii="Calibri" w:eastAsia="Times New Roman" w:hAnsi="Calibri"/>
                <w:b/>
                <w:color w:val="000000"/>
                <w:sz w:val="18"/>
                <w:szCs w:val="18"/>
                <w:lang w:eastAsia="en-AU"/>
              </w:rPr>
              <w:t>Rationale</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tcPr>
          <w:p w14:paraId="3B58E9FA" w14:textId="77777777" w:rsidR="00D955B6" w:rsidRPr="00DC6F41" w:rsidRDefault="00D955B6" w:rsidP="00732EF0">
            <w:pPr>
              <w:spacing w:after="0" w:line="240" w:lineRule="auto"/>
              <w:rPr>
                <w:rFonts w:ascii="Calibri" w:eastAsia="Times New Roman" w:hAnsi="Calibri"/>
                <w:b/>
                <w:color w:val="000000"/>
                <w:sz w:val="18"/>
                <w:szCs w:val="18"/>
                <w:lang w:eastAsia="en-AU"/>
              </w:rPr>
            </w:pPr>
            <w:r w:rsidRPr="00DC6F41">
              <w:rPr>
                <w:rFonts w:ascii="Calibri" w:eastAsia="Times New Roman" w:hAnsi="Calibri"/>
                <w:b/>
                <w:color w:val="000000"/>
                <w:sz w:val="18"/>
                <w:szCs w:val="18"/>
                <w:lang w:eastAsia="en-AU"/>
              </w:rPr>
              <w:t>Comment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5D14F702" w14:textId="77777777" w:rsidR="00D955B6" w:rsidRPr="00DC6F41" w:rsidRDefault="00D955B6" w:rsidP="00732EF0">
            <w:pPr>
              <w:spacing w:after="0" w:line="240" w:lineRule="auto"/>
              <w:rPr>
                <w:rFonts w:ascii="Calibri" w:eastAsia="Times New Roman" w:hAnsi="Calibri"/>
                <w:b/>
                <w:color w:val="000000"/>
                <w:sz w:val="18"/>
                <w:szCs w:val="18"/>
                <w:lang w:eastAsia="en-AU"/>
              </w:rPr>
            </w:pPr>
            <w:r w:rsidRPr="00DC6F41">
              <w:rPr>
                <w:rFonts w:ascii="Calibri" w:eastAsia="Times New Roman" w:hAnsi="Calibri"/>
                <w:b/>
                <w:color w:val="000000"/>
                <w:sz w:val="18"/>
                <w:szCs w:val="18"/>
                <w:lang w:eastAsia="en-AU"/>
              </w:rPr>
              <w:t>Est third party lab test cost</w:t>
            </w:r>
          </w:p>
        </w:tc>
      </w:tr>
      <w:tr w:rsidR="00D955B6" w:rsidRPr="00DC6F41" w14:paraId="5F79877C" w14:textId="77777777" w:rsidTr="00C84DA1">
        <w:trPr>
          <w:trHeight w:val="600"/>
        </w:trPr>
        <w:tc>
          <w:tcPr>
            <w:tcW w:w="1701" w:type="dxa"/>
            <w:tcBorders>
              <w:top w:val="single" w:sz="4" w:space="0" w:color="auto"/>
              <w:left w:val="single" w:sz="4" w:space="0" w:color="auto"/>
              <w:bottom w:val="single" w:sz="4" w:space="0" w:color="auto"/>
              <w:right w:val="single" w:sz="4" w:space="0" w:color="auto"/>
            </w:tcBorders>
            <w:shd w:val="clear" w:color="000000" w:fill="FFFFFF"/>
            <w:hideMark/>
          </w:tcPr>
          <w:p w14:paraId="3BB1A599" w14:textId="77777777" w:rsidR="00D955B6" w:rsidRPr="00DC6F41" w:rsidRDefault="00D955B6" w:rsidP="00732EF0">
            <w:pPr>
              <w:spacing w:after="0" w:line="240" w:lineRule="auto"/>
              <w:rPr>
                <w:rFonts w:ascii="Calibri" w:eastAsia="Times New Roman" w:hAnsi="Calibri"/>
                <w:color w:val="000000"/>
                <w:sz w:val="18"/>
                <w:szCs w:val="18"/>
                <w:lang w:eastAsia="en-AU"/>
              </w:rPr>
            </w:pPr>
            <w:r w:rsidRPr="00DC6F41">
              <w:rPr>
                <w:rFonts w:ascii="Calibri" w:eastAsia="Times New Roman" w:hAnsi="Calibri"/>
                <w:color w:val="000000"/>
                <w:sz w:val="18"/>
                <w:szCs w:val="18"/>
                <w:lang w:eastAsia="en-AU"/>
              </w:rPr>
              <w:t xml:space="preserve">Photo-biological Safety </w:t>
            </w:r>
            <w:r w:rsidRPr="00DC6F41">
              <w:rPr>
                <w:rFonts w:ascii="Calibri" w:eastAsia="Times New Roman" w:hAnsi="Calibri"/>
                <w:color w:val="000000"/>
                <w:sz w:val="18"/>
                <w:szCs w:val="18"/>
                <w:lang w:eastAsia="en-AU"/>
              </w:rPr>
              <w:br/>
              <w:t>Blue Light hazard &amp; UV hazard</w:t>
            </w:r>
          </w:p>
        </w:tc>
        <w:tc>
          <w:tcPr>
            <w:tcW w:w="3402" w:type="dxa"/>
            <w:tcBorders>
              <w:top w:val="single" w:sz="4" w:space="0" w:color="auto"/>
              <w:left w:val="nil"/>
              <w:bottom w:val="single" w:sz="4" w:space="0" w:color="auto"/>
              <w:right w:val="single" w:sz="4" w:space="0" w:color="auto"/>
            </w:tcBorders>
            <w:shd w:val="clear" w:color="000000" w:fill="FFFFFF"/>
            <w:vAlign w:val="bottom"/>
          </w:tcPr>
          <w:p w14:paraId="292AB38D" w14:textId="77777777" w:rsidR="00D955B6" w:rsidRPr="00DC6F41" w:rsidRDefault="00D955B6" w:rsidP="00732EF0">
            <w:pPr>
              <w:spacing w:after="0" w:line="240" w:lineRule="auto"/>
              <w:rPr>
                <w:rFonts w:ascii="Calibri" w:eastAsia="Times New Roman" w:hAnsi="Calibri"/>
                <w:color w:val="000000"/>
                <w:sz w:val="18"/>
                <w:szCs w:val="18"/>
                <w:lang w:eastAsia="en-AU"/>
              </w:rPr>
            </w:pPr>
            <w:r w:rsidRPr="00DC6F41">
              <w:rPr>
                <w:rFonts w:ascii="Calibri" w:eastAsia="Times New Roman" w:hAnsi="Calibri"/>
                <w:color w:val="000000"/>
                <w:sz w:val="18"/>
                <w:szCs w:val="18"/>
                <w:lang w:eastAsia="en-AU"/>
              </w:rPr>
              <w:t>To prevent consumers from being exposed to harmful light (note: Excessive blue light causes retinal damage) and prevent UV exposure for vulnerable groups where a UV LED chip is used.</w:t>
            </w:r>
          </w:p>
          <w:p w14:paraId="6637014F" w14:textId="77777777" w:rsidR="00D955B6" w:rsidRPr="00DC6F41" w:rsidRDefault="00D955B6" w:rsidP="00732EF0">
            <w:pPr>
              <w:spacing w:after="0" w:line="240" w:lineRule="auto"/>
              <w:rPr>
                <w:rFonts w:ascii="Calibri" w:eastAsia="Times New Roman" w:hAnsi="Calibri"/>
                <w:color w:val="000000"/>
                <w:sz w:val="18"/>
                <w:szCs w:val="18"/>
                <w:lang w:eastAsia="en-AU"/>
              </w:rPr>
            </w:pPr>
          </w:p>
          <w:p w14:paraId="673A32C7" w14:textId="77777777" w:rsidR="00D955B6" w:rsidRPr="00DC6F41" w:rsidRDefault="00D955B6" w:rsidP="00732EF0">
            <w:pPr>
              <w:spacing w:after="0" w:line="240" w:lineRule="auto"/>
              <w:rPr>
                <w:rFonts w:ascii="Calibri" w:eastAsia="Times New Roman" w:hAnsi="Calibri"/>
                <w:color w:val="000000"/>
                <w:sz w:val="18"/>
                <w:szCs w:val="18"/>
                <w:lang w:eastAsia="en-AU"/>
              </w:rPr>
            </w:pP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bottom"/>
          </w:tcPr>
          <w:p w14:paraId="3EBAD888" w14:textId="77777777" w:rsidR="00D955B6" w:rsidRPr="00DC6F41" w:rsidRDefault="00D955B6" w:rsidP="00732EF0">
            <w:pPr>
              <w:spacing w:after="0" w:line="240" w:lineRule="auto"/>
              <w:rPr>
                <w:rFonts w:ascii="Calibri" w:eastAsia="Times New Roman" w:hAnsi="Calibri"/>
                <w:color w:val="000000"/>
                <w:sz w:val="18"/>
                <w:szCs w:val="18"/>
                <w:lang w:eastAsia="en-AU"/>
              </w:rPr>
            </w:pPr>
            <w:r w:rsidRPr="00DC6F41">
              <w:rPr>
                <w:rFonts w:ascii="Calibri" w:eastAsia="Times New Roman" w:hAnsi="Calibri"/>
                <w:color w:val="000000"/>
                <w:sz w:val="18"/>
                <w:szCs w:val="18"/>
                <w:lang w:eastAsia="en-AU"/>
              </w:rPr>
              <w:t>UV hazard test not required if the light source does not contain a UV LED chip</w:t>
            </w:r>
          </w:p>
          <w:p w14:paraId="2111A3E3" w14:textId="77777777" w:rsidR="00D955B6" w:rsidRPr="00DC6F41" w:rsidRDefault="00D955B6" w:rsidP="00732EF0">
            <w:pPr>
              <w:spacing w:after="0" w:line="240" w:lineRule="auto"/>
              <w:rPr>
                <w:rFonts w:ascii="Calibri" w:eastAsia="Times New Roman" w:hAnsi="Calibri"/>
                <w:color w:val="000000"/>
                <w:sz w:val="18"/>
                <w:szCs w:val="18"/>
                <w:lang w:eastAsia="en-AU"/>
              </w:rPr>
            </w:pPr>
            <w:r w:rsidRPr="00DC6F41">
              <w:rPr>
                <w:rFonts w:ascii="Calibri" w:eastAsia="Times New Roman" w:hAnsi="Calibri"/>
                <w:color w:val="000000"/>
                <w:sz w:val="18"/>
                <w:szCs w:val="18"/>
                <w:lang w:eastAsia="en-AU"/>
              </w:rPr>
              <w:t>Awaiting publication of  IEC 62471 update to see if test is necessary where light source is below 6500K</w:t>
            </w:r>
          </w:p>
          <w:p w14:paraId="3CC90412" w14:textId="77777777" w:rsidR="00D955B6" w:rsidRPr="00DC6F41" w:rsidRDefault="00D955B6" w:rsidP="00732EF0">
            <w:pPr>
              <w:spacing w:after="0" w:line="240" w:lineRule="auto"/>
              <w:rPr>
                <w:rFonts w:ascii="Calibri" w:eastAsia="Times New Roman" w:hAnsi="Calibri"/>
                <w:color w:val="000000"/>
                <w:sz w:val="18"/>
                <w:szCs w:val="18"/>
                <w:lang w:eastAsia="en-AU"/>
              </w:rPr>
            </w:pPr>
            <w:r w:rsidRPr="00DC6F41">
              <w:rPr>
                <w:rFonts w:ascii="Calibri" w:eastAsia="Times New Roman" w:hAnsi="Calibri"/>
                <w:color w:val="000000"/>
                <w:sz w:val="18"/>
                <w:szCs w:val="18"/>
                <w:lang w:eastAsia="en-AU"/>
              </w:rPr>
              <w:t>No additional equipment</w:t>
            </w:r>
          </w:p>
          <w:p w14:paraId="06AE00C2" w14:textId="77777777" w:rsidR="00D955B6" w:rsidRPr="00DC6F41" w:rsidRDefault="00D955B6" w:rsidP="00732EF0">
            <w:pPr>
              <w:spacing w:after="0" w:line="240" w:lineRule="auto"/>
              <w:rPr>
                <w:rFonts w:ascii="Calibri" w:eastAsia="Times New Roman" w:hAnsi="Calibri"/>
                <w:color w:val="000000"/>
                <w:sz w:val="18"/>
                <w:szCs w:val="18"/>
                <w:lang w:eastAsia="en-AU"/>
              </w:rPr>
            </w:pPr>
            <w:r w:rsidRPr="00DC6F41">
              <w:rPr>
                <w:rFonts w:ascii="Calibri" w:eastAsia="Times New Roman" w:hAnsi="Calibri"/>
                <w:color w:val="000000"/>
                <w:sz w:val="18"/>
                <w:szCs w:val="18"/>
                <w:lang w:eastAsia="en-AU"/>
              </w:rPr>
              <w:t>Test time: 2 hours</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14:paraId="56A0D267" w14:textId="110E9626" w:rsidR="00F549CC" w:rsidRPr="00DC6F41" w:rsidRDefault="00D955B6" w:rsidP="00C84DA1">
            <w:pPr>
              <w:spacing w:after="0" w:line="240" w:lineRule="auto"/>
              <w:rPr>
                <w:rFonts w:ascii="Calibri" w:eastAsia="Times New Roman" w:hAnsi="Calibri"/>
                <w:color w:val="000000"/>
                <w:sz w:val="18"/>
                <w:szCs w:val="18"/>
                <w:lang w:eastAsia="en-AU"/>
              </w:rPr>
            </w:pPr>
            <w:r w:rsidRPr="00DC6F41">
              <w:rPr>
                <w:rFonts w:ascii="Calibri" w:eastAsia="Times New Roman" w:hAnsi="Calibri"/>
                <w:color w:val="000000"/>
                <w:sz w:val="18"/>
                <w:szCs w:val="18"/>
                <w:lang w:eastAsia="en-AU"/>
              </w:rPr>
              <w:t xml:space="preserve"> $500 (for the required one sample)</w:t>
            </w:r>
          </w:p>
          <w:p w14:paraId="5C5FBA43" w14:textId="77777777" w:rsidR="00F549CC" w:rsidRPr="00DC6F41" w:rsidRDefault="00F549CC" w:rsidP="00C84DA1">
            <w:pPr>
              <w:spacing w:after="0" w:line="240" w:lineRule="auto"/>
              <w:rPr>
                <w:rFonts w:ascii="Calibri" w:eastAsia="Times New Roman" w:hAnsi="Calibri"/>
                <w:color w:val="000000"/>
                <w:sz w:val="18"/>
                <w:szCs w:val="18"/>
                <w:lang w:eastAsia="en-AU"/>
              </w:rPr>
            </w:pPr>
          </w:p>
        </w:tc>
      </w:tr>
      <w:tr w:rsidR="00D955B6" w:rsidRPr="00DC6F41" w14:paraId="3A67DAF5" w14:textId="77777777" w:rsidTr="00732EF0">
        <w:trPr>
          <w:trHeight w:val="300"/>
        </w:trPr>
        <w:tc>
          <w:tcPr>
            <w:tcW w:w="1701" w:type="dxa"/>
            <w:tcBorders>
              <w:top w:val="nil"/>
              <w:left w:val="single" w:sz="4" w:space="0" w:color="auto"/>
              <w:bottom w:val="single" w:sz="4" w:space="0" w:color="auto"/>
              <w:right w:val="single" w:sz="4" w:space="0" w:color="auto"/>
            </w:tcBorders>
            <w:shd w:val="clear" w:color="000000" w:fill="FFFFFF"/>
            <w:noWrap/>
            <w:hideMark/>
          </w:tcPr>
          <w:p w14:paraId="544F9682" w14:textId="77777777" w:rsidR="00D955B6" w:rsidRPr="00DC6F41" w:rsidRDefault="00D955B6" w:rsidP="00732EF0">
            <w:pPr>
              <w:spacing w:after="0" w:line="240" w:lineRule="auto"/>
              <w:rPr>
                <w:rFonts w:ascii="Calibri" w:eastAsia="Times New Roman" w:hAnsi="Calibri"/>
                <w:color w:val="000000"/>
                <w:sz w:val="18"/>
                <w:szCs w:val="18"/>
                <w:lang w:eastAsia="en-AU"/>
              </w:rPr>
            </w:pPr>
            <w:r w:rsidRPr="00DC6F41">
              <w:rPr>
                <w:rFonts w:ascii="Calibri" w:eastAsia="Times New Roman" w:hAnsi="Calibri"/>
                <w:color w:val="000000"/>
                <w:sz w:val="18"/>
                <w:szCs w:val="18"/>
                <w:lang w:eastAsia="en-AU"/>
              </w:rPr>
              <w:t>Dominant light modulation frequency (includes flicker effects)</w:t>
            </w:r>
          </w:p>
        </w:tc>
        <w:tc>
          <w:tcPr>
            <w:tcW w:w="3402" w:type="dxa"/>
            <w:tcBorders>
              <w:top w:val="single" w:sz="4" w:space="0" w:color="auto"/>
              <w:left w:val="nil"/>
              <w:bottom w:val="single" w:sz="4" w:space="0" w:color="auto"/>
              <w:right w:val="single" w:sz="4" w:space="0" w:color="auto"/>
            </w:tcBorders>
            <w:shd w:val="clear" w:color="000000" w:fill="FFFFFF"/>
            <w:vAlign w:val="bottom"/>
          </w:tcPr>
          <w:p w14:paraId="31BB7720" w14:textId="77777777" w:rsidR="00D955B6" w:rsidRPr="00DC6F41" w:rsidRDefault="00D955B6" w:rsidP="00732EF0">
            <w:pPr>
              <w:spacing w:after="0" w:line="240" w:lineRule="auto"/>
              <w:rPr>
                <w:rFonts w:ascii="Calibri" w:eastAsia="Times New Roman" w:hAnsi="Calibri"/>
                <w:color w:val="000000"/>
                <w:sz w:val="18"/>
                <w:szCs w:val="18"/>
                <w:lang w:eastAsia="en-AU"/>
              </w:rPr>
            </w:pPr>
            <w:r w:rsidRPr="00DC6F41">
              <w:rPr>
                <w:rFonts w:ascii="Calibri" w:eastAsia="Times New Roman" w:hAnsi="Calibri"/>
                <w:color w:val="000000"/>
                <w:sz w:val="18"/>
                <w:szCs w:val="18"/>
                <w:lang w:eastAsia="en-AU"/>
              </w:rPr>
              <w:t>To prevent consumers from being exposed to a level of flicker that can have adverse health effects or cause annoyance. (note: Some people have light sensitive</w:t>
            </w:r>
            <w:r w:rsidR="00D834F6" w:rsidRPr="00DC6F41">
              <w:rPr>
                <w:rFonts w:ascii="Calibri" w:eastAsia="Times New Roman" w:hAnsi="Calibri"/>
                <w:color w:val="000000"/>
                <w:sz w:val="18"/>
                <w:szCs w:val="18"/>
                <w:lang w:eastAsia="en-AU"/>
              </w:rPr>
              <w:t xml:space="preserve"> medical</w:t>
            </w:r>
            <w:r w:rsidRPr="00DC6F41">
              <w:rPr>
                <w:rFonts w:ascii="Calibri" w:eastAsia="Times New Roman" w:hAnsi="Calibri"/>
                <w:color w:val="000000"/>
                <w:sz w:val="18"/>
                <w:szCs w:val="18"/>
                <w:lang w:eastAsia="en-AU"/>
              </w:rPr>
              <w:t xml:space="preserve"> conditions)</w:t>
            </w:r>
          </w:p>
          <w:p w14:paraId="0C4DD9BD" w14:textId="41831FBC" w:rsidR="003E5BCC" w:rsidRPr="00DC6F41" w:rsidRDefault="003E5BCC" w:rsidP="00732EF0">
            <w:pPr>
              <w:spacing w:after="0" w:line="240" w:lineRule="auto"/>
              <w:rPr>
                <w:rFonts w:ascii="Calibri" w:eastAsia="Times New Roman" w:hAnsi="Calibri"/>
                <w:color w:val="000000"/>
                <w:sz w:val="18"/>
                <w:szCs w:val="18"/>
                <w:lang w:eastAsia="en-AU"/>
              </w:rPr>
            </w:pPr>
          </w:p>
        </w:tc>
        <w:tc>
          <w:tcPr>
            <w:tcW w:w="3402" w:type="dxa"/>
            <w:tcBorders>
              <w:top w:val="nil"/>
              <w:left w:val="single" w:sz="4" w:space="0" w:color="auto"/>
              <w:bottom w:val="single" w:sz="4" w:space="0" w:color="auto"/>
              <w:right w:val="single" w:sz="4" w:space="0" w:color="auto"/>
            </w:tcBorders>
            <w:shd w:val="clear" w:color="000000" w:fill="FFFFFF"/>
            <w:vAlign w:val="bottom"/>
          </w:tcPr>
          <w:p w14:paraId="21A6D957" w14:textId="77777777" w:rsidR="00D955B6" w:rsidRPr="00DC6F41" w:rsidRDefault="00D955B6" w:rsidP="00732EF0">
            <w:pPr>
              <w:spacing w:after="0" w:line="240" w:lineRule="auto"/>
              <w:rPr>
                <w:rFonts w:ascii="Calibri" w:eastAsia="Times New Roman" w:hAnsi="Calibri"/>
                <w:color w:val="000000"/>
                <w:sz w:val="18"/>
                <w:szCs w:val="18"/>
                <w:lang w:eastAsia="en-AU"/>
              </w:rPr>
            </w:pPr>
            <w:r w:rsidRPr="00DC6F41">
              <w:rPr>
                <w:rFonts w:ascii="Calibri" w:eastAsia="Times New Roman" w:hAnsi="Calibri"/>
                <w:color w:val="000000"/>
                <w:sz w:val="18"/>
                <w:szCs w:val="18"/>
                <w:lang w:eastAsia="en-AU"/>
              </w:rPr>
              <w:t xml:space="preserve">No additional equipment </w:t>
            </w:r>
          </w:p>
          <w:p w14:paraId="18ECA27E" w14:textId="77777777" w:rsidR="00D955B6" w:rsidRPr="00DC6F41" w:rsidRDefault="00D955B6" w:rsidP="00732EF0">
            <w:pPr>
              <w:spacing w:after="0" w:line="240" w:lineRule="auto"/>
              <w:rPr>
                <w:rFonts w:ascii="Calibri" w:eastAsia="Times New Roman" w:hAnsi="Calibri"/>
                <w:color w:val="000000"/>
                <w:sz w:val="18"/>
                <w:szCs w:val="18"/>
                <w:lang w:eastAsia="en-AU"/>
              </w:rPr>
            </w:pPr>
            <w:r w:rsidRPr="00DC6F41">
              <w:rPr>
                <w:rFonts w:ascii="Calibri" w:eastAsia="Times New Roman" w:hAnsi="Calibri"/>
                <w:color w:val="000000"/>
                <w:sz w:val="18"/>
                <w:szCs w:val="18"/>
                <w:lang w:eastAsia="en-AU"/>
              </w:rPr>
              <w:t xml:space="preserve">Test time: 2 hours </w:t>
            </w:r>
          </w:p>
          <w:p w14:paraId="0ADF4089" w14:textId="7FD5D8AB" w:rsidR="003E5BCC" w:rsidRPr="00DC6F41" w:rsidRDefault="003E5BCC" w:rsidP="00732EF0">
            <w:pPr>
              <w:spacing w:after="0" w:line="240" w:lineRule="auto"/>
              <w:rPr>
                <w:rFonts w:ascii="Calibri" w:eastAsia="Times New Roman" w:hAnsi="Calibri"/>
                <w:color w:val="000000"/>
                <w:sz w:val="18"/>
                <w:szCs w:val="18"/>
                <w:lang w:eastAsia="en-AU"/>
              </w:rPr>
            </w:pPr>
            <w:r w:rsidRPr="00DC6F41">
              <w:rPr>
                <w:rFonts w:ascii="Calibri" w:eastAsia="Times New Roman" w:hAnsi="Calibri"/>
                <w:color w:val="000000"/>
                <w:sz w:val="18"/>
                <w:szCs w:val="18"/>
                <w:lang w:eastAsia="en-AU"/>
              </w:rPr>
              <w:t>Test still under development</w:t>
            </w:r>
          </w:p>
          <w:p w14:paraId="492284FA" w14:textId="77777777" w:rsidR="00D955B6" w:rsidRPr="00DC6F41" w:rsidRDefault="00D955B6" w:rsidP="00732EF0">
            <w:pPr>
              <w:spacing w:after="0" w:line="240" w:lineRule="auto"/>
              <w:rPr>
                <w:rFonts w:ascii="Calibri" w:eastAsia="Times New Roman" w:hAnsi="Calibri"/>
                <w:color w:val="000000"/>
                <w:sz w:val="18"/>
                <w:szCs w:val="18"/>
                <w:lang w:eastAsia="en-AU"/>
              </w:rPr>
            </w:pPr>
          </w:p>
          <w:p w14:paraId="4C54566B" w14:textId="77777777" w:rsidR="00D955B6" w:rsidRPr="00DC6F41" w:rsidRDefault="00D955B6" w:rsidP="00732EF0">
            <w:pPr>
              <w:spacing w:after="0" w:line="240" w:lineRule="auto"/>
              <w:rPr>
                <w:rFonts w:ascii="Calibri" w:eastAsia="Times New Roman" w:hAnsi="Calibri"/>
                <w:color w:val="000000"/>
                <w:sz w:val="18"/>
                <w:szCs w:val="18"/>
                <w:lang w:eastAsia="en-AU"/>
              </w:rPr>
            </w:pPr>
          </w:p>
          <w:p w14:paraId="5A841A6A" w14:textId="77777777" w:rsidR="00D955B6" w:rsidRPr="00DC6F41" w:rsidRDefault="00D955B6" w:rsidP="00732EF0">
            <w:pPr>
              <w:spacing w:after="0" w:line="240" w:lineRule="auto"/>
              <w:rPr>
                <w:rFonts w:ascii="Calibri" w:eastAsia="Times New Roman" w:hAnsi="Calibri"/>
                <w:color w:val="000000"/>
                <w:sz w:val="18"/>
                <w:szCs w:val="18"/>
                <w:lang w:eastAsia="en-AU"/>
              </w:rPr>
            </w:pPr>
          </w:p>
        </w:tc>
        <w:tc>
          <w:tcPr>
            <w:tcW w:w="1134" w:type="dxa"/>
            <w:tcBorders>
              <w:top w:val="nil"/>
              <w:left w:val="single" w:sz="4" w:space="0" w:color="auto"/>
              <w:bottom w:val="single" w:sz="4" w:space="0" w:color="auto"/>
              <w:right w:val="single" w:sz="4" w:space="0" w:color="auto"/>
            </w:tcBorders>
            <w:shd w:val="clear" w:color="000000" w:fill="FFFFFF"/>
            <w:vAlign w:val="bottom"/>
          </w:tcPr>
          <w:p w14:paraId="33F29BF2" w14:textId="77777777" w:rsidR="00D955B6" w:rsidRDefault="00D955B6" w:rsidP="00732EF0">
            <w:pPr>
              <w:spacing w:after="0" w:line="240" w:lineRule="auto"/>
              <w:rPr>
                <w:rFonts w:ascii="Calibri" w:eastAsia="Times New Roman" w:hAnsi="Calibri"/>
                <w:color w:val="000000"/>
                <w:sz w:val="18"/>
                <w:szCs w:val="18"/>
                <w:lang w:eastAsia="en-AU"/>
              </w:rPr>
            </w:pPr>
            <w:r w:rsidRPr="00DC6F41">
              <w:rPr>
                <w:rFonts w:ascii="Calibri" w:eastAsia="Times New Roman" w:hAnsi="Calibri"/>
                <w:color w:val="000000"/>
                <w:sz w:val="18"/>
                <w:szCs w:val="18"/>
                <w:lang w:eastAsia="en-AU"/>
              </w:rPr>
              <w:t>$500 (for the required one sample)</w:t>
            </w:r>
          </w:p>
          <w:p w14:paraId="7D5569AD" w14:textId="77777777" w:rsidR="00951B58" w:rsidRDefault="00951B58" w:rsidP="00732EF0">
            <w:pPr>
              <w:spacing w:after="0" w:line="240" w:lineRule="auto"/>
              <w:rPr>
                <w:rFonts w:ascii="Calibri" w:eastAsia="Times New Roman" w:hAnsi="Calibri"/>
                <w:color w:val="000000"/>
                <w:sz w:val="18"/>
                <w:szCs w:val="18"/>
                <w:lang w:eastAsia="en-AU"/>
              </w:rPr>
            </w:pPr>
          </w:p>
          <w:p w14:paraId="50C41F16" w14:textId="77777777" w:rsidR="00951B58" w:rsidRDefault="00951B58" w:rsidP="00732EF0">
            <w:pPr>
              <w:spacing w:after="0" w:line="240" w:lineRule="auto"/>
              <w:rPr>
                <w:rFonts w:ascii="Calibri" w:eastAsia="Times New Roman" w:hAnsi="Calibri"/>
                <w:color w:val="000000"/>
                <w:sz w:val="18"/>
                <w:szCs w:val="18"/>
                <w:lang w:eastAsia="en-AU"/>
              </w:rPr>
            </w:pPr>
          </w:p>
          <w:p w14:paraId="18F642A8" w14:textId="77777777" w:rsidR="00951B58" w:rsidRPr="00DC6F41" w:rsidRDefault="00951B58" w:rsidP="00732EF0">
            <w:pPr>
              <w:spacing w:after="0" w:line="240" w:lineRule="auto"/>
              <w:rPr>
                <w:rFonts w:ascii="Calibri" w:eastAsia="Times New Roman" w:hAnsi="Calibri"/>
                <w:color w:val="000000"/>
                <w:sz w:val="18"/>
                <w:szCs w:val="18"/>
                <w:lang w:eastAsia="en-AU"/>
              </w:rPr>
            </w:pPr>
          </w:p>
        </w:tc>
      </w:tr>
      <w:tr w:rsidR="00D955B6" w:rsidRPr="00DC6F41" w14:paraId="0641513A" w14:textId="77777777" w:rsidTr="00C84DA1">
        <w:trPr>
          <w:trHeight w:val="300"/>
        </w:trPr>
        <w:tc>
          <w:tcPr>
            <w:tcW w:w="1701" w:type="dxa"/>
            <w:tcBorders>
              <w:top w:val="nil"/>
              <w:left w:val="single" w:sz="4" w:space="0" w:color="auto"/>
              <w:bottom w:val="single" w:sz="4" w:space="0" w:color="auto"/>
              <w:right w:val="single" w:sz="4" w:space="0" w:color="auto"/>
            </w:tcBorders>
            <w:shd w:val="clear" w:color="000000" w:fill="FFFFFF"/>
            <w:noWrap/>
            <w:hideMark/>
          </w:tcPr>
          <w:p w14:paraId="3D47BE1F" w14:textId="77777777" w:rsidR="00D955B6" w:rsidRPr="00DC6F41" w:rsidRDefault="00D955B6" w:rsidP="00732EF0">
            <w:pPr>
              <w:spacing w:after="0" w:line="240" w:lineRule="auto"/>
              <w:rPr>
                <w:rFonts w:ascii="Calibri" w:eastAsia="Times New Roman" w:hAnsi="Calibri"/>
                <w:color w:val="000000"/>
                <w:sz w:val="18"/>
                <w:szCs w:val="18"/>
                <w:lang w:eastAsia="en-AU"/>
              </w:rPr>
            </w:pPr>
            <w:r w:rsidRPr="00DC6F41">
              <w:rPr>
                <w:rFonts w:ascii="Calibri" w:eastAsia="Times New Roman" w:hAnsi="Calibri"/>
                <w:color w:val="000000"/>
                <w:sz w:val="18"/>
                <w:szCs w:val="18"/>
                <w:lang w:eastAsia="en-AU"/>
              </w:rPr>
              <w:t xml:space="preserve">Lumen maintenance </w:t>
            </w:r>
          </w:p>
        </w:tc>
        <w:tc>
          <w:tcPr>
            <w:tcW w:w="3402" w:type="dxa"/>
            <w:tcBorders>
              <w:top w:val="single" w:sz="4" w:space="0" w:color="auto"/>
              <w:left w:val="nil"/>
              <w:bottom w:val="single" w:sz="4" w:space="0" w:color="auto"/>
              <w:right w:val="single" w:sz="4" w:space="0" w:color="auto"/>
            </w:tcBorders>
            <w:shd w:val="clear" w:color="000000" w:fill="FFFFFF"/>
            <w:vAlign w:val="bottom"/>
          </w:tcPr>
          <w:p w14:paraId="38193894" w14:textId="77777777" w:rsidR="00D955B6" w:rsidRPr="00DC6F41" w:rsidRDefault="00D955B6" w:rsidP="00732EF0">
            <w:pPr>
              <w:spacing w:after="0" w:line="240" w:lineRule="auto"/>
              <w:rPr>
                <w:rFonts w:ascii="Calibri" w:eastAsia="Times New Roman" w:hAnsi="Calibri"/>
                <w:color w:val="000000"/>
                <w:sz w:val="18"/>
                <w:szCs w:val="18"/>
                <w:lang w:eastAsia="en-AU"/>
              </w:rPr>
            </w:pPr>
            <w:r w:rsidRPr="00DC6F41">
              <w:rPr>
                <w:rFonts w:ascii="Calibri" w:eastAsia="Times New Roman" w:hAnsi="Calibri"/>
                <w:color w:val="000000"/>
                <w:sz w:val="18"/>
                <w:szCs w:val="18"/>
                <w:lang w:eastAsia="en-AU"/>
              </w:rPr>
              <w:t>To prevent consumers from being exposed to products where the light output significantly degrades (below 70%) over the expected life of the product and thus unable to provide the expected lighting service.</w:t>
            </w:r>
          </w:p>
          <w:p w14:paraId="3A9C4BD3" w14:textId="77777777" w:rsidR="009409DC" w:rsidRPr="00DC6F41" w:rsidRDefault="009409DC" w:rsidP="00732EF0">
            <w:pPr>
              <w:spacing w:after="0" w:line="240" w:lineRule="auto"/>
              <w:rPr>
                <w:rFonts w:ascii="Calibri" w:eastAsia="Times New Roman" w:hAnsi="Calibri"/>
                <w:color w:val="000000"/>
                <w:sz w:val="18"/>
                <w:szCs w:val="18"/>
                <w:lang w:eastAsia="en-AU"/>
              </w:rPr>
            </w:pPr>
          </w:p>
          <w:p w14:paraId="0455924B" w14:textId="77777777" w:rsidR="009409DC" w:rsidRPr="00DC6F41" w:rsidRDefault="009409DC" w:rsidP="00732EF0">
            <w:pPr>
              <w:spacing w:after="0" w:line="240" w:lineRule="auto"/>
              <w:rPr>
                <w:rFonts w:ascii="Calibri" w:eastAsia="Times New Roman" w:hAnsi="Calibri"/>
                <w:color w:val="000000"/>
                <w:sz w:val="18"/>
                <w:szCs w:val="18"/>
                <w:lang w:eastAsia="en-AU"/>
              </w:rPr>
            </w:pPr>
          </w:p>
        </w:tc>
        <w:tc>
          <w:tcPr>
            <w:tcW w:w="3402" w:type="dxa"/>
            <w:tcBorders>
              <w:top w:val="nil"/>
              <w:left w:val="single" w:sz="4" w:space="0" w:color="auto"/>
              <w:bottom w:val="single" w:sz="4" w:space="0" w:color="auto"/>
              <w:right w:val="single" w:sz="4" w:space="0" w:color="auto"/>
            </w:tcBorders>
            <w:shd w:val="clear" w:color="000000" w:fill="FFFFFF"/>
            <w:vAlign w:val="bottom"/>
          </w:tcPr>
          <w:p w14:paraId="61D9F15B" w14:textId="77777777" w:rsidR="00D955B6" w:rsidRPr="00DC6F41" w:rsidRDefault="00D955B6" w:rsidP="00732EF0">
            <w:pPr>
              <w:spacing w:after="0" w:line="240" w:lineRule="auto"/>
              <w:rPr>
                <w:rFonts w:ascii="Calibri" w:eastAsia="Times New Roman" w:hAnsi="Calibri"/>
                <w:b/>
                <w:color w:val="000000"/>
                <w:sz w:val="18"/>
                <w:szCs w:val="18"/>
                <w:lang w:eastAsia="en-AU"/>
              </w:rPr>
            </w:pPr>
            <w:r w:rsidRPr="00DC6F41">
              <w:rPr>
                <w:rFonts w:ascii="Calibri" w:eastAsia="Times New Roman" w:hAnsi="Calibri"/>
                <w:color w:val="000000"/>
                <w:sz w:val="18"/>
                <w:szCs w:val="18"/>
                <w:lang w:eastAsia="en-AU"/>
              </w:rPr>
              <w:t>Use of ISTMT junction temperature tests and module/package test reports is significantly less onerous than 6,000 hr test required for CFLs.</w:t>
            </w:r>
            <w:r w:rsidRPr="00DC6F41">
              <w:rPr>
                <w:rFonts w:ascii="Calibri" w:hAnsi="Calibri"/>
                <w:sz w:val="18"/>
                <w:szCs w:val="18"/>
              </w:rPr>
              <w:t xml:space="preserve"> </w:t>
            </w:r>
            <w:r w:rsidRPr="00DC6F41">
              <w:rPr>
                <w:rFonts w:ascii="Calibri" w:eastAsia="Times New Roman" w:hAnsi="Calibri"/>
                <w:b/>
                <w:color w:val="000000"/>
                <w:sz w:val="18"/>
                <w:szCs w:val="18"/>
                <w:lang w:eastAsia="en-AU"/>
              </w:rPr>
              <w:t xml:space="preserve">We expect reputable suppliers would have this data. </w:t>
            </w:r>
          </w:p>
          <w:p w14:paraId="010D0D0C" w14:textId="0AE53960" w:rsidR="00D955B6" w:rsidRPr="00DC6F41" w:rsidRDefault="00951B58" w:rsidP="00732EF0">
            <w:pPr>
              <w:spacing w:after="0" w:line="240" w:lineRule="auto"/>
              <w:rPr>
                <w:rFonts w:ascii="Calibri" w:eastAsia="Times New Roman" w:hAnsi="Calibri"/>
                <w:color w:val="000000"/>
                <w:sz w:val="18"/>
                <w:szCs w:val="18"/>
                <w:lang w:eastAsia="en-AU"/>
              </w:rPr>
            </w:pPr>
            <w:r>
              <w:rPr>
                <w:rFonts w:ascii="Calibri" w:eastAsia="Times New Roman" w:hAnsi="Calibri"/>
                <w:color w:val="000000"/>
                <w:sz w:val="18"/>
                <w:szCs w:val="18"/>
                <w:lang w:eastAsia="en-AU"/>
              </w:rPr>
              <w:t>No additional e</w:t>
            </w:r>
            <w:r w:rsidR="00D955B6" w:rsidRPr="00DC6F41">
              <w:rPr>
                <w:rFonts w:ascii="Calibri" w:eastAsia="Times New Roman" w:hAnsi="Calibri"/>
                <w:color w:val="000000"/>
                <w:sz w:val="18"/>
                <w:szCs w:val="18"/>
                <w:lang w:eastAsia="en-AU"/>
              </w:rPr>
              <w:t>quipment.</w:t>
            </w:r>
          </w:p>
          <w:p w14:paraId="7868F8B7" w14:textId="77777777" w:rsidR="00D955B6" w:rsidRDefault="00D955B6" w:rsidP="00732EF0">
            <w:pPr>
              <w:spacing w:after="0" w:line="240" w:lineRule="auto"/>
              <w:rPr>
                <w:rFonts w:ascii="Calibri" w:eastAsia="Times New Roman" w:hAnsi="Calibri"/>
                <w:color w:val="000000"/>
                <w:sz w:val="18"/>
                <w:szCs w:val="18"/>
                <w:lang w:eastAsia="en-AU"/>
              </w:rPr>
            </w:pPr>
            <w:r w:rsidRPr="00DC6F41">
              <w:rPr>
                <w:rFonts w:ascii="Calibri" w:eastAsia="Times New Roman" w:hAnsi="Calibri"/>
                <w:color w:val="000000"/>
                <w:sz w:val="18"/>
                <w:szCs w:val="18"/>
                <w:lang w:eastAsia="en-AU"/>
              </w:rPr>
              <w:t>Time: 3.5 hours</w:t>
            </w:r>
          </w:p>
          <w:p w14:paraId="6CBA48CB" w14:textId="77777777" w:rsidR="00951B58" w:rsidRPr="00DC6F41" w:rsidRDefault="00951B58" w:rsidP="00732EF0">
            <w:pPr>
              <w:spacing w:after="0" w:line="240" w:lineRule="auto"/>
              <w:rPr>
                <w:rFonts w:ascii="Calibri" w:eastAsia="Times New Roman" w:hAnsi="Calibri"/>
                <w:color w:val="000000"/>
                <w:sz w:val="18"/>
                <w:szCs w:val="18"/>
                <w:lang w:eastAsia="en-AU"/>
              </w:rPr>
            </w:pPr>
          </w:p>
        </w:tc>
        <w:tc>
          <w:tcPr>
            <w:tcW w:w="1134" w:type="dxa"/>
            <w:tcBorders>
              <w:top w:val="nil"/>
              <w:left w:val="single" w:sz="4" w:space="0" w:color="auto"/>
              <w:bottom w:val="single" w:sz="4" w:space="0" w:color="auto"/>
              <w:right w:val="single" w:sz="4" w:space="0" w:color="auto"/>
            </w:tcBorders>
            <w:shd w:val="clear" w:color="000000" w:fill="FFFFFF"/>
          </w:tcPr>
          <w:p w14:paraId="634CA6A0" w14:textId="77A2E766" w:rsidR="00F549CC" w:rsidRPr="00DC6F41" w:rsidRDefault="00C84DA1" w:rsidP="00C84DA1">
            <w:pPr>
              <w:spacing w:after="0" w:line="240" w:lineRule="auto"/>
              <w:rPr>
                <w:rFonts w:ascii="Calibri" w:eastAsia="Times New Roman" w:hAnsi="Calibri"/>
                <w:color w:val="000000"/>
                <w:sz w:val="18"/>
                <w:szCs w:val="18"/>
                <w:lang w:eastAsia="en-AU"/>
              </w:rPr>
            </w:pPr>
            <w:r>
              <w:rPr>
                <w:rFonts w:ascii="Calibri" w:eastAsia="Times New Roman" w:hAnsi="Calibri"/>
                <w:color w:val="000000"/>
                <w:sz w:val="18"/>
                <w:szCs w:val="18"/>
                <w:lang w:eastAsia="en-AU"/>
              </w:rPr>
              <w:t xml:space="preserve"> $840</w:t>
            </w:r>
          </w:p>
          <w:p w14:paraId="41877FDE" w14:textId="77777777" w:rsidR="00F549CC" w:rsidRPr="00DC6F41" w:rsidRDefault="00F549CC" w:rsidP="00C84DA1">
            <w:pPr>
              <w:spacing w:after="0" w:line="240" w:lineRule="auto"/>
              <w:rPr>
                <w:rFonts w:ascii="Calibri" w:eastAsia="Times New Roman" w:hAnsi="Calibri"/>
                <w:color w:val="000000"/>
                <w:sz w:val="18"/>
                <w:szCs w:val="18"/>
                <w:lang w:eastAsia="en-AU"/>
              </w:rPr>
            </w:pPr>
          </w:p>
        </w:tc>
      </w:tr>
      <w:tr w:rsidR="0010791E" w:rsidRPr="00DC6F41" w14:paraId="0C4E144E" w14:textId="77777777" w:rsidTr="00FB2EC7">
        <w:trPr>
          <w:trHeight w:val="300"/>
        </w:trPr>
        <w:tc>
          <w:tcPr>
            <w:tcW w:w="1701" w:type="dxa"/>
            <w:tcBorders>
              <w:top w:val="nil"/>
              <w:left w:val="single" w:sz="4" w:space="0" w:color="auto"/>
              <w:bottom w:val="nil"/>
              <w:right w:val="single" w:sz="4" w:space="0" w:color="auto"/>
            </w:tcBorders>
            <w:shd w:val="clear" w:color="000000" w:fill="FFFFFF"/>
            <w:noWrap/>
            <w:hideMark/>
          </w:tcPr>
          <w:p w14:paraId="12D5CEED" w14:textId="77777777" w:rsidR="0010791E" w:rsidRPr="00DC6F41" w:rsidRDefault="0010791E" w:rsidP="00732EF0">
            <w:pPr>
              <w:spacing w:after="0" w:line="240" w:lineRule="auto"/>
              <w:rPr>
                <w:rFonts w:ascii="Calibri" w:eastAsia="Times New Roman" w:hAnsi="Calibri"/>
                <w:color w:val="000000"/>
                <w:sz w:val="18"/>
                <w:szCs w:val="18"/>
                <w:lang w:eastAsia="en-AU"/>
              </w:rPr>
            </w:pPr>
            <w:r w:rsidRPr="00DC6F41">
              <w:rPr>
                <w:rFonts w:ascii="Calibri" w:eastAsia="Times New Roman" w:hAnsi="Calibri"/>
                <w:color w:val="000000"/>
                <w:sz w:val="18"/>
                <w:szCs w:val="18"/>
                <w:lang w:eastAsia="en-AU"/>
              </w:rPr>
              <w:t>Endurance</w:t>
            </w:r>
          </w:p>
        </w:tc>
        <w:tc>
          <w:tcPr>
            <w:tcW w:w="3402" w:type="dxa"/>
            <w:vMerge w:val="restart"/>
            <w:tcBorders>
              <w:top w:val="single" w:sz="4" w:space="0" w:color="auto"/>
              <w:left w:val="nil"/>
              <w:right w:val="single" w:sz="4" w:space="0" w:color="auto"/>
            </w:tcBorders>
            <w:shd w:val="clear" w:color="000000" w:fill="FFFFFF"/>
          </w:tcPr>
          <w:p w14:paraId="2F701E0F" w14:textId="77777777" w:rsidR="0010791E" w:rsidRPr="00DC6F41" w:rsidRDefault="0010791E" w:rsidP="00732EF0">
            <w:pPr>
              <w:spacing w:after="0" w:line="240" w:lineRule="auto"/>
              <w:rPr>
                <w:rFonts w:ascii="Calibri" w:eastAsia="Times New Roman" w:hAnsi="Calibri"/>
                <w:color w:val="000000"/>
                <w:sz w:val="18"/>
                <w:szCs w:val="18"/>
                <w:lang w:eastAsia="en-AU"/>
              </w:rPr>
            </w:pPr>
            <w:r w:rsidRPr="00DC6F41">
              <w:rPr>
                <w:rFonts w:ascii="Calibri" w:eastAsia="Times New Roman" w:hAnsi="Calibri"/>
                <w:color w:val="000000"/>
                <w:sz w:val="18"/>
                <w:szCs w:val="18"/>
                <w:lang w:eastAsia="en-AU"/>
              </w:rPr>
              <w:t>Early failure test (mainly for the electronic components and solder), to ensure that lifetime benefits with phasing out halogen through reduced replacement costs are achieved.</w:t>
            </w:r>
          </w:p>
        </w:tc>
        <w:tc>
          <w:tcPr>
            <w:tcW w:w="3402" w:type="dxa"/>
            <w:tcBorders>
              <w:top w:val="nil"/>
              <w:left w:val="single" w:sz="4" w:space="0" w:color="auto"/>
              <w:bottom w:val="nil"/>
              <w:right w:val="single" w:sz="4" w:space="0" w:color="auto"/>
            </w:tcBorders>
            <w:shd w:val="clear" w:color="000000" w:fill="FFFFFF"/>
            <w:vAlign w:val="bottom"/>
          </w:tcPr>
          <w:p w14:paraId="7B3DF59F" w14:textId="77777777" w:rsidR="0010791E" w:rsidRPr="00DC6F41" w:rsidRDefault="0010791E" w:rsidP="00732EF0">
            <w:pPr>
              <w:spacing w:after="0" w:line="240" w:lineRule="auto"/>
              <w:rPr>
                <w:rFonts w:ascii="Calibri" w:eastAsia="Times New Roman" w:hAnsi="Calibri"/>
                <w:color w:val="000000"/>
                <w:sz w:val="18"/>
                <w:szCs w:val="18"/>
                <w:lang w:eastAsia="en-AU"/>
              </w:rPr>
            </w:pPr>
            <w:r w:rsidRPr="00DC6F41">
              <w:rPr>
                <w:rFonts w:ascii="Calibri" w:eastAsia="Times New Roman" w:hAnsi="Calibri"/>
                <w:color w:val="000000"/>
                <w:sz w:val="18"/>
                <w:szCs w:val="18"/>
                <w:lang w:eastAsia="en-AU"/>
              </w:rPr>
              <w:t xml:space="preserve">Test data from module and driver accepted </w:t>
            </w:r>
          </w:p>
          <w:p w14:paraId="1304BC3E" w14:textId="77777777" w:rsidR="0010791E" w:rsidRPr="00DC6F41" w:rsidRDefault="0010791E" w:rsidP="00732EF0">
            <w:pPr>
              <w:spacing w:after="0" w:line="240" w:lineRule="auto"/>
              <w:rPr>
                <w:rFonts w:ascii="Calibri" w:eastAsia="Times New Roman" w:hAnsi="Calibri"/>
                <w:color w:val="000000"/>
                <w:sz w:val="18"/>
                <w:szCs w:val="18"/>
                <w:lang w:eastAsia="en-AU"/>
              </w:rPr>
            </w:pPr>
            <w:r w:rsidRPr="00DC6F41">
              <w:rPr>
                <w:rFonts w:ascii="Calibri" w:eastAsia="Times New Roman" w:hAnsi="Calibri"/>
                <w:color w:val="000000"/>
                <w:sz w:val="18"/>
                <w:szCs w:val="18"/>
                <w:lang w:eastAsia="en-AU"/>
              </w:rPr>
              <w:t xml:space="preserve">Uses IEC 62612: 2013, and IEC 62717: 2014 - </w:t>
            </w:r>
            <w:r w:rsidRPr="00DC6F41">
              <w:rPr>
                <w:rFonts w:ascii="Calibri" w:eastAsia="Times New Roman" w:hAnsi="Calibri"/>
                <w:b/>
                <w:color w:val="000000"/>
                <w:sz w:val="18"/>
                <w:szCs w:val="18"/>
                <w:lang w:eastAsia="en-AU"/>
              </w:rPr>
              <w:t>we expect reputable suppliers would have this data.</w:t>
            </w:r>
            <w:r w:rsidRPr="00DC6F41">
              <w:rPr>
                <w:rFonts w:ascii="Calibri" w:eastAsia="Times New Roman" w:hAnsi="Calibri"/>
                <w:color w:val="000000"/>
                <w:sz w:val="18"/>
                <w:szCs w:val="18"/>
                <w:lang w:eastAsia="en-AU"/>
              </w:rPr>
              <w:t xml:space="preserve"> </w:t>
            </w:r>
          </w:p>
          <w:p w14:paraId="37B64428" w14:textId="77777777" w:rsidR="0010791E" w:rsidRPr="00DC6F41" w:rsidRDefault="0010791E" w:rsidP="00732EF0">
            <w:pPr>
              <w:spacing w:after="0" w:line="240" w:lineRule="auto"/>
              <w:rPr>
                <w:rFonts w:ascii="Calibri" w:eastAsia="Times New Roman" w:hAnsi="Calibri"/>
                <w:color w:val="000000"/>
                <w:sz w:val="18"/>
                <w:szCs w:val="18"/>
                <w:lang w:eastAsia="en-AU"/>
              </w:rPr>
            </w:pPr>
            <w:r w:rsidRPr="00DC6F41">
              <w:rPr>
                <w:rFonts w:ascii="Calibri" w:eastAsia="Times New Roman" w:hAnsi="Calibri"/>
                <w:color w:val="000000"/>
                <w:sz w:val="18"/>
                <w:szCs w:val="18"/>
                <w:lang w:eastAsia="en-AU"/>
              </w:rPr>
              <w:t xml:space="preserve">No additional equipment </w:t>
            </w:r>
          </w:p>
          <w:p w14:paraId="534C3DC9" w14:textId="63F90F34" w:rsidR="0010791E" w:rsidRPr="00DC6F41" w:rsidRDefault="0010791E" w:rsidP="00732EF0">
            <w:pPr>
              <w:spacing w:after="0" w:line="240" w:lineRule="auto"/>
              <w:rPr>
                <w:rFonts w:ascii="Calibri" w:eastAsia="Times New Roman" w:hAnsi="Calibri"/>
                <w:color w:val="000000"/>
                <w:sz w:val="18"/>
                <w:szCs w:val="18"/>
                <w:lang w:eastAsia="en-AU"/>
              </w:rPr>
            </w:pPr>
            <w:r>
              <w:rPr>
                <w:rFonts w:ascii="Calibri" w:eastAsia="Times New Roman" w:hAnsi="Calibri"/>
                <w:color w:val="000000"/>
                <w:sz w:val="18"/>
                <w:szCs w:val="18"/>
                <w:lang w:eastAsia="en-AU"/>
              </w:rPr>
              <w:t xml:space="preserve">Test time: 1000 hours </w:t>
            </w:r>
          </w:p>
        </w:tc>
        <w:tc>
          <w:tcPr>
            <w:tcW w:w="1134" w:type="dxa"/>
            <w:tcBorders>
              <w:top w:val="nil"/>
              <w:left w:val="single" w:sz="4" w:space="0" w:color="auto"/>
              <w:bottom w:val="nil"/>
              <w:right w:val="single" w:sz="4" w:space="0" w:color="auto"/>
            </w:tcBorders>
            <w:shd w:val="clear" w:color="000000" w:fill="FFFFFF"/>
          </w:tcPr>
          <w:p w14:paraId="72F3B68A" w14:textId="78B7238A" w:rsidR="0010791E" w:rsidRPr="00DC6F41" w:rsidRDefault="0010791E" w:rsidP="005A2E86">
            <w:pPr>
              <w:spacing w:after="0" w:line="240" w:lineRule="auto"/>
              <w:rPr>
                <w:rFonts w:ascii="Calibri" w:eastAsia="Times New Roman" w:hAnsi="Calibri"/>
                <w:color w:val="000000"/>
                <w:sz w:val="18"/>
                <w:szCs w:val="18"/>
                <w:lang w:eastAsia="en-AU"/>
              </w:rPr>
            </w:pPr>
            <w:r w:rsidRPr="00DC6F41">
              <w:rPr>
                <w:rFonts w:ascii="Calibri" w:eastAsia="Times New Roman" w:hAnsi="Calibri"/>
                <w:color w:val="000000"/>
                <w:sz w:val="18"/>
                <w:szCs w:val="18"/>
                <w:lang w:eastAsia="en-AU"/>
              </w:rPr>
              <w:t>$1,450 (for the required three samples)</w:t>
            </w:r>
          </w:p>
          <w:p w14:paraId="2EEB19EB" w14:textId="77777777" w:rsidR="0010791E" w:rsidRPr="00DC6F41" w:rsidRDefault="0010791E" w:rsidP="005A2E86">
            <w:pPr>
              <w:spacing w:after="0" w:line="240" w:lineRule="auto"/>
              <w:rPr>
                <w:rFonts w:ascii="Calibri" w:eastAsia="Times New Roman" w:hAnsi="Calibri"/>
                <w:color w:val="000000"/>
                <w:sz w:val="18"/>
                <w:szCs w:val="18"/>
                <w:lang w:eastAsia="en-AU"/>
              </w:rPr>
            </w:pPr>
          </w:p>
        </w:tc>
      </w:tr>
      <w:tr w:rsidR="0010791E" w:rsidRPr="00DC6F41" w14:paraId="1A1648F1" w14:textId="77777777" w:rsidTr="00FB2EC7">
        <w:trPr>
          <w:trHeight w:val="300"/>
        </w:trPr>
        <w:tc>
          <w:tcPr>
            <w:tcW w:w="1701" w:type="dxa"/>
            <w:tcBorders>
              <w:top w:val="nil"/>
              <w:left w:val="single" w:sz="4" w:space="0" w:color="auto"/>
              <w:bottom w:val="single" w:sz="4" w:space="0" w:color="auto"/>
              <w:right w:val="single" w:sz="4" w:space="0" w:color="auto"/>
            </w:tcBorders>
            <w:shd w:val="clear" w:color="000000" w:fill="FFFFFF"/>
            <w:noWrap/>
          </w:tcPr>
          <w:p w14:paraId="3778D074" w14:textId="77777777" w:rsidR="0010791E" w:rsidRPr="00DC6F41" w:rsidRDefault="0010791E" w:rsidP="00732EF0">
            <w:pPr>
              <w:spacing w:after="0" w:line="240" w:lineRule="auto"/>
              <w:rPr>
                <w:rFonts w:ascii="Calibri" w:eastAsia="Times New Roman" w:hAnsi="Calibri"/>
                <w:color w:val="000000"/>
                <w:sz w:val="18"/>
                <w:szCs w:val="18"/>
                <w:lang w:eastAsia="en-AU"/>
              </w:rPr>
            </w:pPr>
          </w:p>
        </w:tc>
        <w:tc>
          <w:tcPr>
            <w:tcW w:w="3402" w:type="dxa"/>
            <w:vMerge/>
            <w:tcBorders>
              <w:left w:val="nil"/>
              <w:bottom w:val="single" w:sz="4" w:space="0" w:color="auto"/>
              <w:right w:val="single" w:sz="4" w:space="0" w:color="auto"/>
            </w:tcBorders>
            <w:shd w:val="clear" w:color="000000" w:fill="FFFFFF"/>
          </w:tcPr>
          <w:p w14:paraId="30E1B1E8" w14:textId="77777777" w:rsidR="0010791E" w:rsidRPr="00DC6F41" w:rsidRDefault="0010791E" w:rsidP="00732EF0">
            <w:pPr>
              <w:spacing w:after="0" w:line="240" w:lineRule="auto"/>
              <w:rPr>
                <w:rFonts w:ascii="Calibri" w:eastAsia="Times New Roman" w:hAnsi="Calibri"/>
                <w:color w:val="000000"/>
                <w:sz w:val="18"/>
                <w:szCs w:val="18"/>
                <w:lang w:eastAsia="en-AU"/>
              </w:rPr>
            </w:pPr>
          </w:p>
        </w:tc>
        <w:tc>
          <w:tcPr>
            <w:tcW w:w="3402" w:type="dxa"/>
            <w:tcBorders>
              <w:top w:val="nil"/>
              <w:left w:val="single" w:sz="4" w:space="0" w:color="auto"/>
              <w:bottom w:val="single" w:sz="4" w:space="0" w:color="auto"/>
              <w:right w:val="single" w:sz="4" w:space="0" w:color="auto"/>
            </w:tcBorders>
            <w:shd w:val="clear" w:color="000000" w:fill="FFFFFF"/>
            <w:vAlign w:val="bottom"/>
          </w:tcPr>
          <w:p w14:paraId="5D72DADC" w14:textId="77777777" w:rsidR="0010791E" w:rsidRPr="00DC6F41" w:rsidRDefault="0010791E" w:rsidP="00732EF0">
            <w:pPr>
              <w:spacing w:after="0" w:line="240" w:lineRule="auto"/>
              <w:rPr>
                <w:rFonts w:ascii="Calibri" w:eastAsia="Times New Roman" w:hAnsi="Calibri"/>
                <w:color w:val="000000"/>
                <w:sz w:val="18"/>
                <w:szCs w:val="18"/>
                <w:lang w:eastAsia="en-AU"/>
              </w:rPr>
            </w:pPr>
          </w:p>
        </w:tc>
        <w:tc>
          <w:tcPr>
            <w:tcW w:w="1134" w:type="dxa"/>
            <w:tcBorders>
              <w:top w:val="nil"/>
              <w:left w:val="single" w:sz="4" w:space="0" w:color="auto"/>
              <w:bottom w:val="single" w:sz="4" w:space="0" w:color="auto"/>
              <w:right w:val="single" w:sz="4" w:space="0" w:color="auto"/>
            </w:tcBorders>
            <w:shd w:val="clear" w:color="000000" w:fill="FFFFFF"/>
          </w:tcPr>
          <w:p w14:paraId="1A431200" w14:textId="77777777" w:rsidR="0010791E" w:rsidRPr="00DC6F41" w:rsidRDefault="0010791E" w:rsidP="005A2E86">
            <w:pPr>
              <w:spacing w:after="0" w:line="240" w:lineRule="auto"/>
              <w:rPr>
                <w:rFonts w:ascii="Calibri" w:eastAsia="Times New Roman" w:hAnsi="Calibri"/>
                <w:color w:val="000000"/>
                <w:sz w:val="18"/>
                <w:szCs w:val="18"/>
                <w:lang w:eastAsia="en-AU"/>
              </w:rPr>
            </w:pPr>
          </w:p>
        </w:tc>
      </w:tr>
    </w:tbl>
    <w:p w14:paraId="43B6304F" w14:textId="77777777" w:rsidR="00D955B6" w:rsidRDefault="00D955B6" w:rsidP="002F6383">
      <w:pPr>
        <w:pStyle w:val="E3BodyText"/>
      </w:pPr>
    </w:p>
    <w:p w14:paraId="5200D36E" w14:textId="236E668B" w:rsidR="00CF5F31" w:rsidRPr="00CF5F31" w:rsidRDefault="00CF5F31" w:rsidP="009B1796">
      <w:pPr>
        <w:pStyle w:val="E3Heading1"/>
      </w:pPr>
      <w:bookmarkStart w:id="29" w:name="_Toc493159052"/>
      <w:r w:rsidRPr="00CF5F31">
        <w:t>Registration Process</w:t>
      </w:r>
      <w:bookmarkEnd w:id="29"/>
    </w:p>
    <w:p w14:paraId="04BBF16A" w14:textId="16D6D432" w:rsidR="00CF5F31" w:rsidRPr="00CF5F31" w:rsidRDefault="00CF5F31" w:rsidP="00AF3C6C">
      <w:pPr>
        <w:pStyle w:val="E3BodyText"/>
      </w:pPr>
      <w:r w:rsidRPr="00CF5F31">
        <w:t>System features that make product registration easier</w:t>
      </w:r>
      <w:r w:rsidR="00951B58">
        <w:t xml:space="preserve"> include</w:t>
      </w:r>
      <w:r w:rsidRPr="00CF5F31">
        <w:t>:</w:t>
      </w:r>
    </w:p>
    <w:p w14:paraId="7B358372" w14:textId="77777777" w:rsidR="00CF5F31" w:rsidRPr="00CF5F31" w:rsidRDefault="00CF5F31" w:rsidP="00AF3C6C">
      <w:pPr>
        <w:pStyle w:val="E3Bullets"/>
      </w:pPr>
      <w:r w:rsidRPr="00CF5F31">
        <w:t>Bulk product upload - a template spreadsheet that pre-populates data</w:t>
      </w:r>
    </w:p>
    <w:p w14:paraId="4F00B4C8" w14:textId="77777777" w:rsidR="00CF5F31" w:rsidRPr="00CF5F31" w:rsidRDefault="00CF5F31" w:rsidP="00AF3C6C">
      <w:pPr>
        <w:pStyle w:val="E3Bullets"/>
      </w:pPr>
      <w:r w:rsidRPr="00CF5F31">
        <w:t xml:space="preserve">Uploaded test report available for selection for other product registrations </w:t>
      </w:r>
    </w:p>
    <w:p w14:paraId="69244CF9" w14:textId="77777777" w:rsidR="00CF5F31" w:rsidRPr="00CF5F31" w:rsidRDefault="00CF5F31" w:rsidP="00AF3C6C">
      <w:pPr>
        <w:pStyle w:val="E3Bullets"/>
      </w:pPr>
      <w:r w:rsidRPr="00CF5F31">
        <w:t>Drop down menus to allow easy population of fields with details previously provided by a registered supplier (e.g. supplier and brand details, test lab details etc.).</w:t>
      </w:r>
    </w:p>
    <w:p w14:paraId="7DC430C9" w14:textId="6C273ABA" w:rsidR="00CF5F31" w:rsidRPr="00CF5F31" w:rsidRDefault="00CF5F31" w:rsidP="00AF3C6C">
      <w:pPr>
        <w:pStyle w:val="E3BodyText"/>
      </w:pPr>
      <w:r w:rsidRPr="00CF5F31">
        <w:t xml:space="preserve">For </w:t>
      </w:r>
      <w:r w:rsidRPr="00CF5F31">
        <w:rPr>
          <w:i/>
        </w:rPr>
        <w:t>lamp product family registrations</w:t>
      </w:r>
      <w:r w:rsidRPr="00CF5F31">
        <w:t xml:space="preserve"> the follo</w:t>
      </w:r>
      <w:r w:rsidR="00AF3C6C">
        <w:t>wing details would be required:</w:t>
      </w:r>
    </w:p>
    <w:p w14:paraId="6A9080E9" w14:textId="77777777" w:rsidR="00CF5F31" w:rsidRPr="00CF5F31" w:rsidRDefault="00CF5F31" w:rsidP="00AF3C6C">
      <w:pPr>
        <w:pStyle w:val="E3Bullets"/>
      </w:pPr>
      <w:r w:rsidRPr="00CF5F31">
        <w:rPr>
          <w:b/>
        </w:rPr>
        <w:t>Supplier details</w:t>
      </w:r>
      <w:r w:rsidRPr="00CF5F31">
        <w:t xml:space="preserve"> (entered once for all registrations by supplier – name, address, contact details, manufacturer, brands)</w:t>
      </w:r>
    </w:p>
    <w:p w14:paraId="44AE4815" w14:textId="51BFD0E7" w:rsidR="00CF5F31" w:rsidRPr="00CF5F31" w:rsidRDefault="00CF5F31" w:rsidP="00AF3C6C">
      <w:pPr>
        <w:pStyle w:val="E3Bullets"/>
      </w:pPr>
      <w:r w:rsidRPr="00CF5F31">
        <w:rPr>
          <w:b/>
        </w:rPr>
        <w:t>Registration type</w:t>
      </w:r>
      <w:r w:rsidRPr="00CF5F31">
        <w:t xml:space="preserve"> (product type (e.g. LED linear lamp), single or family registration, regulatory authority (</w:t>
      </w:r>
      <w:r w:rsidR="00CF6EA7" w:rsidRPr="00CF5F31">
        <w:t>Aus.</w:t>
      </w:r>
      <w:r w:rsidRPr="00CF5F31">
        <w:t xml:space="preserve"> or NZ)</w:t>
      </w:r>
    </w:p>
    <w:p w14:paraId="6D101482" w14:textId="77777777" w:rsidR="00CF5F31" w:rsidRPr="00CF5F31" w:rsidRDefault="00CF5F31" w:rsidP="00AF3C6C">
      <w:pPr>
        <w:pStyle w:val="E3Bullets"/>
      </w:pPr>
      <w:r w:rsidRPr="00CF5F31">
        <w:rPr>
          <w:b/>
        </w:rPr>
        <w:t>Model details</w:t>
      </w:r>
      <w:r w:rsidRPr="00CF5F31">
        <w:t xml:space="preserve"> (model ID (unique identifier on the product and packaging) – brand, manufacturer, family name(if relevant)) </w:t>
      </w:r>
    </w:p>
    <w:p w14:paraId="1CEFB8FD" w14:textId="6F987C48" w:rsidR="00CF5F31" w:rsidRPr="00CF5F31" w:rsidRDefault="00951B58" w:rsidP="00AF3C6C">
      <w:pPr>
        <w:pStyle w:val="E3Bullets"/>
      </w:pPr>
      <w:r>
        <w:rPr>
          <w:b/>
        </w:rPr>
        <w:t>R</w:t>
      </w:r>
      <w:r w:rsidR="00CF5F31" w:rsidRPr="00CF5F31">
        <w:rPr>
          <w:b/>
        </w:rPr>
        <w:t>ated values for all models</w:t>
      </w:r>
      <w:r w:rsidR="00CF5F31" w:rsidRPr="00CF5F31">
        <w:t xml:space="preserve"> (noting that data is pre-populated based on the first model entered so this would require only manual update of variations). </w:t>
      </w:r>
    </w:p>
    <w:p w14:paraId="33987BD5" w14:textId="77777777" w:rsidR="00CF5F31" w:rsidRPr="00CF5F31" w:rsidRDefault="00CF5F31" w:rsidP="00AF3C6C">
      <w:pPr>
        <w:pStyle w:val="E3Bullets"/>
      </w:pPr>
      <w:r w:rsidRPr="00CF5F31">
        <w:rPr>
          <w:b/>
        </w:rPr>
        <w:t>Tested values</w:t>
      </w:r>
      <w:r w:rsidRPr="00CF5F31">
        <w:t xml:space="preserve"> for the model which has been tested (nominated as least efficient model in family)</w:t>
      </w:r>
    </w:p>
    <w:p w14:paraId="7BD35D83" w14:textId="77777777" w:rsidR="00CF5F31" w:rsidRPr="00CF5F31" w:rsidRDefault="00CF5F31" w:rsidP="00AF3C6C">
      <w:pPr>
        <w:pStyle w:val="E3Bullets"/>
      </w:pPr>
      <w:r w:rsidRPr="00CF5F31">
        <w:rPr>
          <w:b/>
        </w:rPr>
        <w:t>Uploaded test report/s</w:t>
      </w:r>
      <w:r w:rsidRPr="00CF5F31">
        <w:t xml:space="preserve"> (for the least efficient model)</w:t>
      </w:r>
    </w:p>
    <w:p w14:paraId="76B76133" w14:textId="77777777" w:rsidR="00CF5F31" w:rsidRPr="00CF5F31" w:rsidRDefault="00CF5F31" w:rsidP="00AF3C6C">
      <w:pPr>
        <w:pStyle w:val="E3Bullets"/>
      </w:pPr>
      <w:r w:rsidRPr="00CF5F31">
        <w:rPr>
          <w:b/>
        </w:rPr>
        <w:t>Test laboratory details</w:t>
      </w:r>
      <w:r w:rsidRPr="00CF5F31">
        <w:t xml:space="preserve"> (including name, address, contact name)</w:t>
      </w:r>
    </w:p>
    <w:p w14:paraId="7418D00B" w14:textId="77777777" w:rsidR="00CF5F31" w:rsidRPr="00CF5F31" w:rsidRDefault="00CF5F31" w:rsidP="00AF3C6C">
      <w:pPr>
        <w:pStyle w:val="E3Bullets"/>
      </w:pPr>
      <w:r w:rsidRPr="00CF5F31">
        <w:rPr>
          <w:b/>
        </w:rPr>
        <w:t>Supplier declaration</w:t>
      </w:r>
      <w:r w:rsidRPr="00CF5F31">
        <w:t xml:space="preserve"> that equipment they are supplying meets the requirements of the GEMS Act and relevant determination.</w:t>
      </w:r>
    </w:p>
    <w:p w14:paraId="2848BE97" w14:textId="77777777" w:rsidR="00A0378E" w:rsidRPr="00CF5F31" w:rsidRDefault="00A0378E" w:rsidP="00A0378E">
      <w:pPr>
        <w:rPr>
          <w:rFonts w:ascii="Calibri" w:hAnsi="Calibri"/>
          <w:b/>
          <w:sz w:val="24"/>
        </w:rPr>
      </w:pPr>
      <w:r w:rsidRPr="00CF5F31">
        <w:rPr>
          <w:rFonts w:ascii="Calibri" w:hAnsi="Calibri"/>
          <w:b/>
          <w:sz w:val="24"/>
        </w:rPr>
        <w:t>Processing times</w:t>
      </w:r>
    </w:p>
    <w:p w14:paraId="09C4759C" w14:textId="77777777" w:rsidR="00A0378E" w:rsidRPr="00CF5F31" w:rsidRDefault="00A0378E" w:rsidP="00AF3C6C">
      <w:pPr>
        <w:pStyle w:val="E3BodyText"/>
      </w:pPr>
      <w:r w:rsidRPr="00CF5F31">
        <w:t>On average registrations are processed within 3 to 5 days of submission.</w:t>
      </w:r>
    </w:p>
    <w:p w14:paraId="46FB2935" w14:textId="77777777" w:rsidR="00055F5E" w:rsidRPr="00CF5F31" w:rsidRDefault="00055F5E" w:rsidP="00055F5E">
      <w:pPr>
        <w:rPr>
          <w:rFonts w:ascii="Calibri" w:hAnsi="Calibri"/>
          <w:b/>
          <w:sz w:val="24"/>
        </w:rPr>
      </w:pPr>
      <w:r w:rsidRPr="00CF5F31">
        <w:rPr>
          <w:rFonts w:ascii="Calibri" w:hAnsi="Calibri"/>
          <w:b/>
          <w:sz w:val="24"/>
        </w:rPr>
        <w:t>Supplier time spent on registering a product family</w:t>
      </w:r>
    </w:p>
    <w:p w14:paraId="2C68A36E" w14:textId="77777777" w:rsidR="00055F5E" w:rsidRPr="00CF5F31" w:rsidRDefault="00055F5E" w:rsidP="00AF3C6C">
      <w:pPr>
        <w:pStyle w:val="E3BodyText"/>
      </w:pPr>
      <w:r w:rsidRPr="00CF5F31">
        <w:t>It is estimated to take a supplier 2 hours to complete a product family registration (after a product family list is developed). This accounts for obtaining access, information collection, approval, payment and confirmation.</w:t>
      </w:r>
    </w:p>
    <w:p w14:paraId="0B74A033" w14:textId="5E4EB339" w:rsidR="00055F5E" w:rsidRPr="00CF5F31" w:rsidRDefault="00055F5E" w:rsidP="00AF3C6C">
      <w:pPr>
        <w:pStyle w:val="E3BodyText"/>
      </w:pPr>
      <w:r w:rsidRPr="00CF5F31">
        <w:t>This tim</w:t>
      </w:r>
      <w:r w:rsidR="00FA4E90">
        <w:t>e would be significantly reduce</w:t>
      </w:r>
      <w:r w:rsidRPr="00CF5F31">
        <w:t xml:space="preserve"> once suppliers are </w:t>
      </w:r>
      <w:r w:rsidR="007662A2">
        <w:t>familiar with</w:t>
      </w:r>
      <w:r w:rsidRPr="00CF5F31">
        <w:t xml:space="preserve"> the process.</w:t>
      </w:r>
    </w:p>
    <w:p w14:paraId="7E212276" w14:textId="20FEE07F" w:rsidR="00D63194" w:rsidRDefault="00055F5E" w:rsidP="00AF3C6C">
      <w:pPr>
        <w:pStyle w:val="E3BodyText"/>
      </w:pPr>
      <w:r w:rsidRPr="00CF5F31">
        <w:t>Completion of data entry in the form is expected to</w:t>
      </w:r>
      <w:r w:rsidR="00DD6248">
        <w:t xml:space="preserve"> take approximately 15 minutes.</w:t>
      </w:r>
    </w:p>
    <w:p w14:paraId="5F024988" w14:textId="77777777" w:rsidR="00CF5F31" w:rsidRPr="00CF5F31" w:rsidRDefault="00CF5F31" w:rsidP="00CF5F31">
      <w:pPr>
        <w:spacing w:after="0" w:line="240" w:lineRule="auto"/>
        <w:rPr>
          <w:rFonts w:ascii="Calibri" w:hAnsi="Calibri" w:cs="Arial"/>
          <w:b/>
          <w:color w:val="C1001A" w:themeColor="accent1"/>
          <w:sz w:val="24"/>
        </w:rPr>
      </w:pPr>
    </w:p>
    <w:p w14:paraId="6287F472" w14:textId="77777777" w:rsidR="007E0351" w:rsidRPr="00CF5F31" w:rsidRDefault="007E0351" w:rsidP="002F6383">
      <w:pPr>
        <w:pStyle w:val="E3Bullets"/>
        <w:sectPr w:rsidR="007E0351" w:rsidRPr="00CF5F31" w:rsidSect="00472115">
          <w:pgSz w:w="11907" w:h="16840" w:code="9"/>
          <w:pgMar w:top="1134" w:right="1134" w:bottom="1418" w:left="1134" w:header="709" w:footer="709" w:gutter="0"/>
          <w:cols w:space="720"/>
          <w:titlePg/>
          <w:docGrid w:linePitch="360"/>
        </w:sectPr>
      </w:pPr>
    </w:p>
    <w:p w14:paraId="509BB525" w14:textId="4D2EB75F" w:rsidR="00036F34" w:rsidRDefault="008D4978" w:rsidP="00BF480E">
      <w:pPr>
        <w:pStyle w:val="E3ChapterTitle"/>
      </w:pPr>
      <w:bookmarkStart w:id="30" w:name="Attachment_B"/>
      <w:bookmarkStart w:id="31" w:name="_Toc466274743"/>
      <w:bookmarkStart w:id="32" w:name="_Toc493159053"/>
      <w:bookmarkEnd w:id="30"/>
      <w:r>
        <w:t xml:space="preserve">Attachment B: </w:t>
      </w:r>
      <w:bookmarkEnd w:id="31"/>
      <w:r w:rsidR="006D77C1">
        <w:t>ASEAN LED l</w:t>
      </w:r>
      <w:r w:rsidR="00036F34">
        <w:t>amp</w:t>
      </w:r>
      <w:r w:rsidR="006D77C1">
        <w:t xml:space="preserve"> test results</w:t>
      </w:r>
      <w:bookmarkEnd w:id="32"/>
    </w:p>
    <w:p w14:paraId="47B0008A" w14:textId="0754851F" w:rsidR="00036F34" w:rsidRPr="00C87673" w:rsidRDefault="00090456" w:rsidP="00AF3C6C">
      <w:pPr>
        <w:pStyle w:val="E3BodyText"/>
        <w:rPr>
          <w:lang w:val="en"/>
        </w:rPr>
      </w:pPr>
      <w:r w:rsidRPr="00C87673">
        <w:rPr>
          <w:lang w:val="en"/>
        </w:rPr>
        <w:t xml:space="preserve">In December 2016 </w:t>
      </w:r>
      <w:r w:rsidR="00036F34" w:rsidRPr="00C87673">
        <w:rPr>
          <w:lang w:val="en"/>
        </w:rPr>
        <w:t xml:space="preserve">240 residential LED lamps (A shape) were collected from nine ASEAN countries (Cambodia, Indonesia, Lao PDR, Malaysia, Myanmar, Philippines, Singapore, Thailand and Vietnam) for an LED benchmarking exercise, funded by the Australian government, as part of </w:t>
      </w:r>
      <w:hyperlink r:id="rId26" w:history="1">
        <w:r w:rsidR="00036F34" w:rsidRPr="00C87673">
          <w:rPr>
            <w:rStyle w:val="Hyperlink"/>
            <w:color w:val="0000FF"/>
            <w:lang w:val="en"/>
          </w:rPr>
          <w:t>ASEAN SHINE – Lighting</w:t>
        </w:r>
      </w:hyperlink>
      <w:r w:rsidR="00036F34" w:rsidRPr="00C87673">
        <w:rPr>
          <w:lang w:val="en"/>
        </w:rPr>
        <w:t xml:space="preserve">, a United Nations Environment Programme </w:t>
      </w:r>
      <w:r w:rsidR="00976D9F">
        <w:rPr>
          <w:lang w:val="en"/>
        </w:rPr>
        <w:t xml:space="preserve">supported </w:t>
      </w:r>
      <w:r w:rsidR="00036F34" w:rsidRPr="00C87673">
        <w:rPr>
          <w:lang w:val="en"/>
        </w:rPr>
        <w:t xml:space="preserve">project. As indicated by earlier </w:t>
      </w:r>
      <w:r w:rsidRPr="00C87673">
        <w:rPr>
          <w:lang w:val="en"/>
        </w:rPr>
        <w:t>testing of products purchased in Australia</w:t>
      </w:r>
      <w:r w:rsidR="00036F34" w:rsidRPr="00C87673">
        <w:rPr>
          <w:lang w:val="en"/>
        </w:rPr>
        <w:t xml:space="preserve"> and New Zealand</w:t>
      </w:r>
      <w:r w:rsidR="00147010" w:rsidRPr="00C87673">
        <w:rPr>
          <w:lang w:val="en"/>
        </w:rPr>
        <w:t xml:space="preserve"> (referred in the CRIS)</w:t>
      </w:r>
      <w:r w:rsidR="00036F34" w:rsidRPr="00C87673">
        <w:rPr>
          <w:lang w:val="en"/>
        </w:rPr>
        <w:t xml:space="preserve">, testing of these products demonstrated that while good quality LED products are available, significant numbers of poor quality products remain available in the market.  </w:t>
      </w:r>
    </w:p>
    <w:p w14:paraId="46117983" w14:textId="0C958DD5" w:rsidR="00036F34" w:rsidRPr="00C87673" w:rsidRDefault="00090456" w:rsidP="00AF3C6C">
      <w:pPr>
        <w:pStyle w:val="E3BodyText"/>
        <w:rPr>
          <w:lang w:val="en"/>
        </w:rPr>
      </w:pPr>
      <w:r w:rsidRPr="00C87673">
        <w:rPr>
          <w:lang w:val="en"/>
        </w:rPr>
        <w:t>The following is an overview of some of the test results.</w:t>
      </w:r>
    </w:p>
    <w:p w14:paraId="21D23B6A" w14:textId="41DC7556" w:rsidR="009D2249" w:rsidRDefault="00036F34" w:rsidP="00AF3C6C">
      <w:pPr>
        <w:pStyle w:val="E3BodyText"/>
      </w:pPr>
      <w:r w:rsidRPr="00C87673">
        <w:rPr>
          <w:lang w:val="en"/>
        </w:rPr>
        <w:t>Efficacy ranged from 116 lm/W down to 17 lm/W with 11</w:t>
      </w:r>
      <w:r w:rsidR="00147010" w:rsidRPr="00C87673">
        <w:rPr>
          <w:lang w:val="en"/>
        </w:rPr>
        <w:t xml:space="preserve"> per cent</w:t>
      </w:r>
      <w:r w:rsidRPr="00C87673">
        <w:rPr>
          <w:lang w:val="en"/>
        </w:rPr>
        <w:t xml:space="preserve"> of the products below the proposed MEPS level of 65 lm/W.  Tested luminous flux varied by as much as 397</w:t>
      </w:r>
      <w:r w:rsidR="002A5FF6">
        <w:rPr>
          <w:lang w:val="en"/>
        </w:rPr>
        <w:t xml:space="preserve"> </w:t>
      </w:r>
      <w:r w:rsidRPr="00C87673">
        <w:rPr>
          <w:lang w:val="en"/>
        </w:rPr>
        <w:t>lm above and 531</w:t>
      </w:r>
      <w:r w:rsidR="002A5FF6">
        <w:rPr>
          <w:lang w:val="en"/>
        </w:rPr>
        <w:t xml:space="preserve"> </w:t>
      </w:r>
      <w:r w:rsidRPr="00C87673">
        <w:rPr>
          <w:lang w:val="en"/>
        </w:rPr>
        <w:t>lm below the rated luminous flux.</w:t>
      </w:r>
      <w:r w:rsidRPr="00951B58">
        <w:rPr>
          <w:noProof/>
          <w:lang w:val="en-AU"/>
        </w:rPr>
        <w:drawing>
          <wp:inline distT="0" distB="0" distL="0" distR="0" wp14:anchorId="6AD96E54" wp14:editId="304BD05E">
            <wp:extent cx="5116201" cy="3448050"/>
            <wp:effectExtent l="0" t="0" r="8255" b="0"/>
            <wp:docPr id="12" name="Picture 12" descr="Shows efficacy level test results for LED A-shape lamps for various ASEAN member countries. Also shows IEA SSL Tier 1 level on the graph." title="ASEAN Benchmark test results for various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29858" cy="3457254"/>
                    </a:xfrm>
                    <a:prstGeom prst="rect">
                      <a:avLst/>
                    </a:prstGeom>
                    <a:noFill/>
                  </pic:spPr>
                </pic:pic>
              </a:graphicData>
            </a:graphic>
          </wp:inline>
        </w:drawing>
      </w:r>
    </w:p>
    <w:p w14:paraId="276F6617" w14:textId="6064C82B" w:rsidR="00036F34" w:rsidRDefault="009D2249" w:rsidP="009D2249">
      <w:pPr>
        <w:pStyle w:val="Caption"/>
        <w:rPr>
          <w:lang w:val="en"/>
        </w:rPr>
      </w:pPr>
      <w:bookmarkStart w:id="33" w:name="_Toc493158343"/>
      <w:r>
        <w:t xml:space="preserve">Figure </w:t>
      </w:r>
      <w:r>
        <w:fldChar w:fldCharType="begin"/>
      </w:r>
      <w:r>
        <w:instrText xml:space="preserve"> SEQ Figure \* ARABIC </w:instrText>
      </w:r>
      <w:r>
        <w:fldChar w:fldCharType="separate"/>
      </w:r>
      <w:r w:rsidR="005933B0">
        <w:t>1</w:t>
      </w:r>
      <w:r>
        <w:fldChar w:fldCharType="end"/>
      </w:r>
      <w:r>
        <w:t>: ASEAN Benchmark Test Results for LED A-shape Lamp - efficacy</w:t>
      </w:r>
      <w:bookmarkEnd w:id="33"/>
    </w:p>
    <w:p w14:paraId="1F68EF9C" w14:textId="2AAE0B83" w:rsidR="00951B58" w:rsidRDefault="00036F34" w:rsidP="00AF3C6C">
      <w:pPr>
        <w:pStyle w:val="E3BodyText"/>
        <w:rPr>
          <w:lang w:val="en"/>
        </w:rPr>
      </w:pPr>
      <w:r w:rsidRPr="00C87673">
        <w:rPr>
          <w:lang w:val="en"/>
        </w:rPr>
        <w:t>Tested vs. rated power varied by as much as 63</w:t>
      </w:r>
      <w:r w:rsidR="00147010" w:rsidRPr="00C87673">
        <w:rPr>
          <w:lang w:val="en"/>
        </w:rPr>
        <w:t xml:space="preserve"> per cent</w:t>
      </w:r>
      <w:r w:rsidRPr="00C87673">
        <w:rPr>
          <w:lang w:val="en"/>
        </w:rPr>
        <w:t>, colour temperature varied by as much as 4,500 Kelvin (many products were unmarked), with test res</w:t>
      </w:r>
      <w:r w:rsidR="009D2249">
        <w:rPr>
          <w:lang w:val="en"/>
        </w:rPr>
        <w:t>ults as high as 13,290 Kelvin.</w:t>
      </w:r>
    </w:p>
    <w:p w14:paraId="2A9A2174" w14:textId="30DE8920" w:rsidR="00036F34" w:rsidRPr="00C87673" w:rsidRDefault="00036F34" w:rsidP="00AF3C6C">
      <w:pPr>
        <w:pStyle w:val="E3BodyText"/>
        <w:rPr>
          <w:lang w:val="en"/>
        </w:rPr>
      </w:pPr>
      <w:r w:rsidRPr="00C87673">
        <w:rPr>
          <w:lang w:val="en"/>
        </w:rPr>
        <w:t>CRI as low as 60 were found, with 30</w:t>
      </w:r>
      <w:r w:rsidR="00147010" w:rsidRPr="00C87673">
        <w:rPr>
          <w:lang w:val="en"/>
        </w:rPr>
        <w:t xml:space="preserve"> per cent</w:t>
      </w:r>
      <w:r w:rsidRPr="00C87673">
        <w:rPr>
          <w:lang w:val="en"/>
        </w:rPr>
        <w:t xml:space="preserve"> of lamps tested below 80 CRI </w:t>
      </w:r>
      <w:r w:rsidR="00090456" w:rsidRPr="00C87673">
        <w:rPr>
          <w:lang w:val="en"/>
        </w:rPr>
        <w:t xml:space="preserve">(generally accepted as the </w:t>
      </w:r>
      <w:r w:rsidR="00AF3C6C" w:rsidRPr="00C87673">
        <w:rPr>
          <w:lang w:val="en"/>
        </w:rPr>
        <w:t>minimum</w:t>
      </w:r>
      <w:r w:rsidR="00090456" w:rsidRPr="00C87673">
        <w:rPr>
          <w:lang w:val="en"/>
        </w:rPr>
        <w:t xml:space="preserve"> recommended level for residential lighting), </w:t>
      </w:r>
      <w:r w:rsidRPr="00C87673">
        <w:rPr>
          <w:lang w:val="en"/>
        </w:rPr>
        <w:t>and 2</w:t>
      </w:r>
      <w:r w:rsidR="00147010" w:rsidRPr="00C87673">
        <w:rPr>
          <w:lang w:val="en"/>
        </w:rPr>
        <w:t xml:space="preserve"> per cent</w:t>
      </w:r>
      <w:r w:rsidRPr="00C87673">
        <w:rPr>
          <w:lang w:val="en"/>
        </w:rPr>
        <w:t xml:space="preserve"> below 70 CRI.</w:t>
      </w:r>
    </w:p>
    <w:p w14:paraId="0AE24E07" w14:textId="77777777" w:rsidR="009D2249" w:rsidRDefault="00036F34" w:rsidP="009D2249">
      <w:pPr>
        <w:keepNext/>
      </w:pPr>
      <w:r>
        <w:rPr>
          <w:lang w:eastAsia="en-AU"/>
        </w:rPr>
        <w:drawing>
          <wp:inline distT="0" distB="0" distL="0" distR="0" wp14:anchorId="3AD3958B" wp14:editId="1C5EE7E5">
            <wp:extent cx="4981575" cy="3106803"/>
            <wp:effectExtent l="0" t="0" r="0" b="0"/>
            <wp:docPr id="13" name="Picture 13" descr="Shows CRI test results for LED A-shape lamps for various ASEAN member countries. Also shows typical MEPS level on the graph." title="CRI test results for ASEAN benchmark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02570" cy="3119897"/>
                    </a:xfrm>
                    <a:prstGeom prst="rect">
                      <a:avLst/>
                    </a:prstGeom>
                    <a:noFill/>
                  </pic:spPr>
                </pic:pic>
              </a:graphicData>
            </a:graphic>
          </wp:inline>
        </w:drawing>
      </w:r>
    </w:p>
    <w:p w14:paraId="76022BA4" w14:textId="300B017A" w:rsidR="00036F34" w:rsidRDefault="009D2249" w:rsidP="009D2249">
      <w:pPr>
        <w:pStyle w:val="Caption"/>
        <w:rPr>
          <w:lang w:val="en"/>
        </w:rPr>
      </w:pPr>
      <w:bookmarkStart w:id="34" w:name="_Toc493158344"/>
      <w:r>
        <w:t xml:space="preserve">Figure </w:t>
      </w:r>
      <w:r>
        <w:fldChar w:fldCharType="begin"/>
      </w:r>
      <w:r>
        <w:instrText xml:space="preserve"> SEQ Figure \* ARABIC </w:instrText>
      </w:r>
      <w:r>
        <w:fldChar w:fldCharType="separate"/>
      </w:r>
      <w:r w:rsidR="005933B0">
        <w:t>2</w:t>
      </w:r>
      <w:r>
        <w:fldChar w:fldCharType="end"/>
      </w:r>
      <w:r>
        <w:t xml:space="preserve">: </w:t>
      </w:r>
      <w:r w:rsidRPr="009D2249">
        <w:t>ASEAN Benchmark Test Results for LED A-shape Lamp - CRI</w:t>
      </w:r>
      <w:bookmarkEnd w:id="34"/>
    </w:p>
    <w:p w14:paraId="5EF3F869" w14:textId="628A7414" w:rsidR="00036F34" w:rsidRPr="00C87673" w:rsidRDefault="00036F34" w:rsidP="00AF3C6C">
      <w:pPr>
        <w:pStyle w:val="E3BodyText"/>
        <w:rPr>
          <w:lang w:val="en"/>
        </w:rPr>
      </w:pPr>
      <w:r w:rsidRPr="00C87673">
        <w:rPr>
          <w:lang w:val="en"/>
        </w:rPr>
        <w:t>82 products (34</w:t>
      </w:r>
      <w:r w:rsidR="00147010" w:rsidRPr="00C87673">
        <w:rPr>
          <w:lang w:val="en"/>
        </w:rPr>
        <w:t xml:space="preserve"> per cent</w:t>
      </w:r>
      <w:r w:rsidRPr="00C87673">
        <w:rPr>
          <w:lang w:val="en"/>
        </w:rPr>
        <w:t xml:space="preserve">) </w:t>
      </w:r>
      <w:r w:rsidR="00090456" w:rsidRPr="00C87673">
        <w:rPr>
          <w:lang w:val="en"/>
        </w:rPr>
        <w:t>were found to be</w:t>
      </w:r>
      <w:r w:rsidRPr="00C87673">
        <w:rPr>
          <w:lang w:val="en"/>
        </w:rPr>
        <w:t xml:space="preserve"> outside the 7 step SDCM MacAdam ellipses (IEC) and 49 products (20</w:t>
      </w:r>
      <w:r w:rsidR="00147010" w:rsidRPr="00C87673">
        <w:rPr>
          <w:lang w:val="en"/>
        </w:rPr>
        <w:t xml:space="preserve"> per cent</w:t>
      </w:r>
      <w:r w:rsidRPr="00C87673">
        <w:rPr>
          <w:lang w:val="en"/>
        </w:rPr>
        <w:t xml:space="preserve">) </w:t>
      </w:r>
      <w:r w:rsidR="00090456" w:rsidRPr="00C87673">
        <w:rPr>
          <w:lang w:val="en"/>
        </w:rPr>
        <w:t>we</w:t>
      </w:r>
      <w:r w:rsidRPr="00C87673">
        <w:rPr>
          <w:lang w:val="en"/>
        </w:rPr>
        <w:t>re outside the ANSI quadrangles for colour consistency.</w:t>
      </w:r>
    </w:p>
    <w:p w14:paraId="508DAC69" w14:textId="77777777" w:rsidR="00036F34" w:rsidRDefault="00036F34" w:rsidP="00036F34">
      <w:pPr>
        <w:rPr>
          <w:lang w:val="en"/>
        </w:rPr>
      </w:pPr>
    </w:p>
    <w:p w14:paraId="46A3824B" w14:textId="77777777" w:rsidR="009D2249" w:rsidRDefault="00036F34" w:rsidP="009D2249">
      <w:pPr>
        <w:keepNext/>
      </w:pPr>
      <w:r>
        <w:rPr>
          <w:lang w:eastAsia="en-AU"/>
        </w:rPr>
        <w:drawing>
          <wp:inline distT="0" distB="0" distL="0" distR="0" wp14:anchorId="03D5643E" wp14:editId="409EAE49">
            <wp:extent cx="5042186" cy="3295650"/>
            <wp:effectExtent l="0" t="0" r="6350" b="0"/>
            <wp:docPr id="14" name="Picture 14" descr="Colour consistency test results for A-Shape LED lamps from ASEAN benchmarking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9379" cy="3300352"/>
                    </a:xfrm>
                    <a:prstGeom prst="rect">
                      <a:avLst/>
                    </a:prstGeom>
                    <a:noFill/>
                  </pic:spPr>
                </pic:pic>
              </a:graphicData>
            </a:graphic>
          </wp:inline>
        </w:drawing>
      </w:r>
    </w:p>
    <w:p w14:paraId="661C10EF" w14:textId="6267B7B4" w:rsidR="00036F34" w:rsidRDefault="009D2249" w:rsidP="009D2249">
      <w:pPr>
        <w:pStyle w:val="Caption"/>
        <w:rPr>
          <w:lang w:val="en"/>
        </w:rPr>
      </w:pPr>
      <w:bookmarkStart w:id="35" w:name="_Toc493158345"/>
      <w:r>
        <w:t xml:space="preserve">Figure </w:t>
      </w:r>
      <w:r>
        <w:fldChar w:fldCharType="begin"/>
      </w:r>
      <w:r>
        <w:instrText xml:space="preserve"> SEQ Figure \* ARABIC </w:instrText>
      </w:r>
      <w:r>
        <w:fldChar w:fldCharType="separate"/>
      </w:r>
      <w:r w:rsidR="005933B0">
        <w:t>3</w:t>
      </w:r>
      <w:r>
        <w:fldChar w:fldCharType="end"/>
      </w:r>
      <w:r>
        <w:t xml:space="preserve">: </w:t>
      </w:r>
      <w:r w:rsidRPr="009D2249">
        <w:t>ASEAN Benchmark Test Results for LED A-shape Lamp – colour consistency</w:t>
      </w:r>
      <w:bookmarkEnd w:id="35"/>
    </w:p>
    <w:p w14:paraId="0A4FED44" w14:textId="77777777" w:rsidR="00036F34" w:rsidRDefault="00036F34" w:rsidP="00036F34">
      <w:pPr>
        <w:rPr>
          <w:lang w:val="en"/>
        </w:rPr>
      </w:pPr>
    </w:p>
    <w:p w14:paraId="374E12AF" w14:textId="5127CE38" w:rsidR="00036F34" w:rsidRPr="00C87673" w:rsidRDefault="00036F34" w:rsidP="00AF3C6C">
      <w:pPr>
        <w:pStyle w:val="E3BodyText"/>
      </w:pPr>
      <w:r w:rsidRPr="00C87673">
        <w:rPr>
          <w:lang w:val="en"/>
        </w:rPr>
        <w:t xml:space="preserve">Power factor was quite poor for many lamps. </w:t>
      </w:r>
      <w:r w:rsidRPr="00C87673">
        <w:t>All countries had lamps with power factors &lt; 0.5. Six (6) countries had lamps with power factor below 0.2. These require more than 4.5x the current of a lamp with pf=0.9. T</w:t>
      </w:r>
      <w:r w:rsidR="00090456" w:rsidRPr="00C87673">
        <w:t>he worst lamp was 0.08.</w:t>
      </w:r>
      <w:r w:rsidRPr="00C87673">
        <w:t xml:space="preserve"> This lamp requires more than 10x the current of a lamp with pf=0.9.</w:t>
      </w:r>
    </w:p>
    <w:p w14:paraId="492F9A44" w14:textId="77777777" w:rsidR="00036F34" w:rsidRDefault="00036F34" w:rsidP="00036F34">
      <w:pPr>
        <w:rPr>
          <w:lang w:val="en"/>
        </w:rPr>
      </w:pPr>
    </w:p>
    <w:p w14:paraId="4CFBB2C2" w14:textId="77777777" w:rsidR="009D2249" w:rsidRDefault="00036F34" w:rsidP="009D2249">
      <w:pPr>
        <w:keepNext/>
      </w:pPr>
      <w:r>
        <w:rPr>
          <w:lang w:eastAsia="en-AU"/>
        </w:rPr>
        <w:drawing>
          <wp:inline distT="0" distB="0" distL="0" distR="0" wp14:anchorId="5C51DBDF" wp14:editId="4ABB1C63">
            <wp:extent cx="5114925" cy="3029722"/>
            <wp:effectExtent l="0" t="0" r="0" b="0"/>
            <wp:docPr id="4" name="Picture 4" descr="Shows graph of tested power factor for individual LED A-shape lamps fro ASEAN benchmark testing." title="ASEAN benchmark test results - Power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19284" cy="3032304"/>
                    </a:xfrm>
                    <a:prstGeom prst="rect">
                      <a:avLst/>
                    </a:prstGeom>
                    <a:noFill/>
                  </pic:spPr>
                </pic:pic>
              </a:graphicData>
            </a:graphic>
          </wp:inline>
        </w:drawing>
      </w:r>
    </w:p>
    <w:p w14:paraId="423E029D" w14:textId="7D28B531" w:rsidR="00036F34" w:rsidRDefault="009D2249" w:rsidP="009D2249">
      <w:pPr>
        <w:pStyle w:val="Caption"/>
        <w:rPr>
          <w:lang w:val="en"/>
        </w:rPr>
      </w:pPr>
      <w:bookmarkStart w:id="36" w:name="_Toc493158346"/>
      <w:r>
        <w:t xml:space="preserve">Figure </w:t>
      </w:r>
      <w:r>
        <w:fldChar w:fldCharType="begin"/>
      </w:r>
      <w:r>
        <w:instrText xml:space="preserve"> SEQ Figure \* ARABIC </w:instrText>
      </w:r>
      <w:r>
        <w:fldChar w:fldCharType="separate"/>
      </w:r>
      <w:r w:rsidR="005933B0">
        <w:t>4</w:t>
      </w:r>
      <w:r>
        <w:fldChar w:fldCharType="end"/>
      </w:r>
      <w:r>
        <w:t>: ASEAN Benchmark Test Results for LED A-shape Lamp – Power Factor</w:t>
      </w:r>
      <w:bookmarkEnd w:id="36"/>
    </w:p>
    <w:p w14:paraId="5FF707B1" w14:textId="77777777" w:rsidR="00036F34" w:rsidRDefault="00036F34" w:rsidP="00B45C95">
      <w:pPr>
        <w:pStyle w:val="E3Figuretitles"/>
        <w:rPr>
          <w:lang w:val="en"/>
        </w:rPr>
      </w:pPr>
    </w:p>
    <w:p w14:paraId="08654A37" w14:textId="0517AF92" w:rsidR="00036F34" w:rsidRPr="005A2E86" w:rsidRDefault="00036F34" w:rsidP="00AF3C6C">
      <w:pPr>
        <w:pStyle w:val="E3BodyText"/>
        <w:rPr>
          <w:rFonts w:cstheme="minorBidi"/>
          <w:color w:val="1F497D"/>
        </w:rPr>
      </w:pPr>
      <w:r w:rsidRPr="00C87673">
        <w:rPr>
          <w:lang w:val="en"/>
        </w:rPr>
        <w:t>Overall it appears that the two South-East Asian countries with LED MEPS</w:t>
      </w:r>
      <w:r w:rsidR="00090456" w:rsidRPr="00C87673">
        <w:rPr>
          <w:lang w:val="en"/>
        </w:rPr>
        <w:t xml:space="preserve"> currently</w:t>
      </w:r>
      <w:r w:rsidRPr="00C87673">
        <w:rPr>
          <w:lang w:val="en"/>
        </w:rPr>
        <w:t xml:space="preserve"> in place (Singapore and Malay</w:t>
      </w:r>
      <w:r w:rsidR="00090456" w:rsidRPr="00C87673">
        <w:rPr>
          <w:lang w:val="en"/>
        </w:rPr>
        <w:t xml:space="preserve">sia), had better test results. </w:t>
      </w:r>
      <w:r w:rsidRPr="00C87673">
        <w:rPr>
          <w:lang w:val="en"/>
        </w:rPr>
        <w:t xml:space="preserve">For example, none of the products found to be under 65 lm/W were purchased in these two countries. These countries also had less variations in terms of rated vs. tested power and </w:t>
      </w:r>
      <w:r w:rsidR="00090456" w:rsidRPr="00C87673">
        <w:rPr>
          <w:lang w:val="en"/>
        </w:rPr>
        <w:t>CRI.</w:t>
      </w:r>
      <w:r>
        <w:tab/>
      </w:r>
    </w:p>
    <w:p w14:paraId="09330AAC" w14:textId="77777777" w:rsidR="00A967A4" w:rsidRPr="00147010" w:rsidRDefault="00A967A4" w:rsidP="00147010">
      <w:pPr>
        <w:sectPr w:rsidR="00A967A4" w:rsidRPr="00147010" w:rsidSect="00472115">
          <w:headerReference w:type="first" r:id="rId31"/>
          <w:pgSz w:w="11907" w:h="16840" w:code="9"/>
          <w:pgMar w:top="1134" w:right="1134" w:bottom="1418" w:left="1134" w:header="709" w:footer="709" w:gutter="0"/>
          <w:cols w:space="720"/>
          <w:titlePg/>
          <w:docGrid w:linePitch="360"/>
        </w:sectPr>
      </w:pPr>
    </w:p>
    <w:p w14:paraId="57BB4B3D" w14:textId="7F87E289" w:rsidR="00414D80" w:rsidRPr="00343437" w:rsidRDefault="00BF480E" w:rsidP="00BF480E">
      <w:pPr>
        <w:pStyle w:val="E3ChapterTitle"/>
        <w:sectPr w:rsidR="00414D80" w:rsidRPr="00343437" w:rsidSect="00472115">
          <w:pgSz w:w="11907" w:h="16840" w:code="9"/>
          <w:pgMar w:top="1134" w:right="1134" w:bottom="1418" w:left="1134" w:header="709" w:footer="709" w:gutter="0"/>
          <w:cols w:space="720"/>
          <w:titlePg/>
          <w:docGrid w:linePitch="360"/>
        </w:sectPr>
      </w:pPr>
      <w:bookmarkStart w:id="37" w:name="Attachment_C"/>
      <w:bookmarkStart w:id="38" w:name="_Toc493159054"/>
      <w:bookmarkEnd w:id="37"/>
      <w:r>
        <w:t xml:space="preserve">Attachment C: </w:t>
      </w:r>
      <w:r w:rsidR="003C6480">
        <w:t>LED MEPS Efficacy</w:t>
      </w:r>
      <w:bookmarkEnd w:id="38"/>
    </w:p>
    <w:p w14:paraId="08A70823" w14:textId="77777777" w:rsidR="0045625A" w:rsidRPr="0045625A" w:rsidRDefault="0045625A" w:rsidP="0045625A">
      <w:pPr>
        <w:spacing w:after="0" w:line="240" w:lineRule="auto"/>
        <w:rPr>
          <w:rFonts w:ascii="Calibri" w:hAnsi="Calibri"/>
          <w:b/>
          <w:sz w:val="24"/>
        </w:rPr>
      </w:pPr>
      <w:r w:rsidRPr="0045625A">
        <w:rPr>
          <w:rFonts w:ascii="Calibri" w:hAnsi="Calibri"/>
          <w:b/>
          <w:sz w:val="24"/>
        </w:rPr>
        <w:t>LED MEPS Efficacy</w:t>
      </w:r>
    </w:p>
    <w:p w14:paraId="0AEFC956" w14:textId="77777777" w:rsidR="0045625A" w:rsidRPr="0045625A" w:rsidRDefault="0045625A" w:rsidP="0045625A">
      <w:pPr>
        <w:spacing w:after="0" w:line="240" w:lineRule="auto"/>
        <w:rPr>
          <w:rFonts w:ascii="Calibri" w:eastAsia="Times New Roman" w:hAnsi="Calibri"/>
          <w:color w:val="000000"/>
          <w:sz w:val="24"/>
          <w:lang w:eastAsia="en-AU"/>
        </w:rPr>
      </w:pPr>
    </w:p>
    <w:p w14:paraId="53E8F8F2" w14:textId="10B71B63" w:rsidR="0045625A" w:rsidRPr="0045625A" w:rsidRDefault="0045625A" w:rsidP="00AF3C6C">
      <w:pPr>
        <w:pStyle w:val="E3BodyText"/>
      </w:pPr>
      <w:r w:rsidRPr="0045625A">
        <w:t>The minimum performance efficacy levels proposed in the Consultation Regulation Impact Statement (CRIS) were based on existing international work, primarily from the IEA 4E Solid State Lighting Annex. This was supported by analysis of test results of a range of LED testing commissioned in Australia (2009, 2010, 2012, 2013, 2014 and 2016</w:t>
      </w:r>
      <w:r w:rsidRPr="007662A2">
        <w:rPr>
          <w:vertAlign w:val="superscript"/>
        </w:rPr>
        <w:footnoteReference w:id="3"/>
      </w:r>
      <w:r w:rsidRPr="0045625A">
        <w:t>), as well as overseas testing.  Analysis of this data supported the introduction of a MEPS efficacy level in 2018 of 65lm/W for non-directional and directional lamps and 100lm/W for linear LED lamps.</w:t>
      </w:r>
      <w:r w:rsidR="005A2E86">
        <w:t xml:space="preserve">  </w:t>
      </w:r>
    </w:p>
    <w:p w14:paraId="2BA348F0" w14:textId="77777777" w:rsidR="0045625A" w:rsidRPr="0045625A" w:rsidRDefault="0045625A" w:rsidP="00AF3C6C">
      <w:pPr>
        <w:pStyle w:val="E3BodyText"/>
      </w:pPr>
      <w:r w:rsidRPr="0045625A">
        <w:t>In responding to the CRIS, some stakeholders queried whether the proposed MEPS levels were high enough to be effective in removing the least efficient (generally 20%) of lamps from the market.  This input, combined with the proposed 12 month delay in the commencement date to March 2019, has led to further analysis of updated data which supports that the initially proposed levels for non-directional and directional lamps would not have been effective in removing lower performing lamps from the market.</w:t>
      </w:r>
    </w:p>
    <w:p w14:paraId="3E12226B" w14:textId="77777777" w:rsidR="0045625A" w:rsidRPr="0045625A" w:rsidRDefault="0045625A" w:rsidP="00AF3C6C">
      <w:pPr>
        <w:pStyle w:val="E3BodyText"/>
        <w:rPr>
          <w:color w:val="000000"/>
        </w:rPr>
      </w:pPr>
      <w:r w:rsidRPr="0045625A">
        <w:rPr>
          <w:color w:val="000000"/>
        </w:rPr>
        <w:t xml:space="preserve">Data used in this updated analysis includes: </w:t>
      </w:r>
    </w:p>
    <w:p w14:paraId="58BF4447" w14:textId="77777777" w:rsidR="0045625A" w:rsidRPr="0045625A" w:rsidRDefault="0045625A" w:rsidP="00AF3C6C">
      <w:pPr>
        <w:pStyle w:val="E3Bullets"/>
        <w:rPr>
          <w:noProof/>
        </w:rPr>
      </w:pPr>
      <w:r w:rsidRPr="0045625A">
        <w:rPr>
          <w:noProof/>
        </w:rPr>
        <w:t>2016 Australia LED testing</w:t>
      </w:r>
    </w:p>
    <w:p w14:paraId="3CAB36BA" w14:textId="77777777" w:rsidR="0045625A" w:rsidRPr="0045625A" w:rsidRDefault="0045625A" w:rsidP="00AF3C6C">
      <w:pPr>
        <w:pStyle w:val="E3Bullets"/>
        <w:rPr>
          <w:noProof/>
        </w:rPr>
      </w:pPr>
      <w:r w:rsidRPr="0045625A">
        <w:rPr>
          <w:noProof/>
        </w:rPr>
        <w:t xml:space="preserve">Rated values from over 1800 LED lamps sourced from online catalogues of 45 suppliers to the Australian market </w:t>
      </w:r>
    </w:p>
    <w:p w14:paraId="0F5F5CBC" w14:textId="53A49A1E" w:rsidR="0045625A" w:rsidRPr="0045625A" w:rsidRDefault="0045625A" w:rsidP="00AF3C6C">
      <w:pPr>
        <w:pStyle w:val="E3Bullets"/>
        <w:rPr>
          <w:noProof/>
        </w:rPr>
      </w:pPr>
      <w:r w:rsidRPr="0045625A">
        <w:rPr>
          <w:noProof/>
        </w:rPr>
        <w:t xml:space="preserve">Test data of 240 residential LED lamps (A shape) purchased in December 2016 from nine ASEAN countries as part of an Australian funded UNEP study (see </w:t>
      </w:r>
      <w:hyperlink w:anchor="Attachment_B" w:history="1">
        <w:r w:rsidRPr="000C0448">
          <w:rPr>
            <w:rStyle w:val="Hyperlink"/>
            <w:noProof/>
          </w:rPr>
          <w:t>Attachment B</w:t>
        </w:r>
      </w:hyperlink>
      <w:r w:rsidRPr="0045625A">
        <w:rPr>
          <w:noProof/>
        </w:rPr>
        <w:t>)</w:t>
      </w:r>
    </w:p>
    <w:p w14:paraId="58753FA2" w14:textId="77777777" w:rsidR="0045625A" w:rsidRPr="0045625A" w:rsidRDefault="0045625A" w:rsidP="00AF3C6C">
      <w:pPr>
        <w:pStyle w:val="E3Bullets"/>
        <w:rPr>
          <w:noProof/>
        </w:rPr>
      </w:pPr>
      <w:r w:rsidRPr="0045625A">
        <w:rPr>
          <w:noProof/>
        </w:rPr>
        <w:t>Rated values of products sold in retail supermarkets</w:t>
      </w:r>
    </w:p>
    <w:p w14:paraId="2517118E" w14:textId="77777777" w:rsidR="0045625A" w:rsidRPr="0045625A" w:rsidRDefault="0045625A" w:rsidP="00AF3C6C">
      <w:pPr>
        <w:pStyle w:val="E3Bullets"/>
        <w:rPr>
          <w:noProof/>
        </w:rPr>
      </w:pPr>
      <w:r w:rsidRPr="0045625A">
        <w:rPr>
          <w:noProof/>
        </w:rPr>
        <w:t>Reporting on product trends from the US Department of Energy CALiPER program.</w:t>
      </w:r>
    </w:p>
    <w:p w14:paraId="0109370D" w14:textId="77777777" w:rsidR="0045625A" w:rsidRPr="0045625A" w:rsidRDefault="0045625A" w:rsidP="0045625A">
      <w:pPr>
        <w:pStyle w:val="ListBullet"/>
        <w:tabs>
          <w:tab w:val="clear" w:pos="360"/>
        </w:tabs>
        <w:spacing w:after="0" w:line="240" w:lineRule="auto"/>
        <w:ind w:left="0" w:firstLine="0"/>
        <w:rPr>
          <w:rFonts w:ascii="Calibri" w:hAnsi="Calibri"/>
          <w:sz w:val="24"/>
          <w:lang w:eastAsia="en-AU"/>
        </w:rPr>
      </w:pPr>
    </w:p>
    <w:p w14:paraId="5991A59E" w14:textId="40CD7531" w:rsidR="0045625A" w:rsidRPr="0045625A" w:rsidRDefault="009D2249" w:rsidP="00AF3C6C">
      <w:pPr>
        <w:pStyle w:val="E3BodyText"/>
      </w:pPr>
      <w:r>
        <w:fldChar w:fldCharType="begin"/>
      </w:r>
      <w:r>
        <w:instrText xml:space="preserve"> REF _Ref492041888 \h  \* MERGEFORMAT </w:instrText>
      </w:r>
      <w:r>
        <w:fldChar w:fldCharType="separate"/>
      </w:r>
      <w:r w:rsidR="005933B0">
        <w:t xml:space="preserve">Figure </w:t>
      </w:r>
      <w:r w:rsidR="005933B0">
        <w:rPr>
          <w:noProof/>
        </w:rPr>
        <w:t>5</w:t>
      </w:r>
      <w:r>
        <w:fldChar w:fldCharType="end"/>
      </w:r>
      <w:r>
        <w:t xml:space="preserve"> </w:t>
      </w:r>
      <w:r w:rsidR="0045625A" w:rsidRPr="0045625A">
        <w:t>charts the efficacy dataset for non-directional LED lamps. Note that the proposed MEPS excludes lamps that emit less than 100lm.</w:t>
      </w:r>
    </w:p>
    <w:p w14:paraId="438B8B92" w14:textId="77777777" w:rsidR="0045625A" w:rsidRPr="0045625A" w:rsidRDefault="0045625A" w:rsidP="0045625A">
      <w:pPr>
        <w:spacing w:after="0" w:line="240" w:lineRule="auto"/>
        <w:rPr>
          <w:rFonts w:ascii="Calibri" w:eastAsia="Times New Roman" w:hAnsi="Calibri"/>
          <w:color w:val="000000"/>
          <w:sz w:val="24"/>
          <w:lang w:eastAsia="en-AU"/>
        </w:rPr>
      </w:pPr>
    </w:p>
    <w:p w14:paraId="71D7B0C6" w14:textId="7AA5A100" w:rsidR="009D2249" w:rsidRDefault="0045625A" w:rsidP="009D2249">
      <w:pPr>
        <w:keepNext/>
        <w:spacing w:after="0" w:line="240" w:lineRule="auto"/>
      </w:pPr>
      <w:r w:rsidRPr="0045625A">
        <w:rPr>
          <w:rFonts w:ascii="Calibri" w:eastAsia="Times New Roman" w:hAnsi="Calibri"/>
          <w:color w:val="000000"/>
          <w:sz w:val="24"/>
          <w:lang w:eastAsia="en-AU"/>
        </w:rPr>
        <w:drawing>
          <wp:inline distT="0" distB="0" distL="0" distR="0" wp14:anchorId="5C4E7C68" wp14:editId="7F2CB661">
            <wp:extent cx="5629275" cy="3677820"/>
            <wp:effectExtent l="0" t="0" r="0" b="0"/>
            <wp:docPr id="2" name="Picture 2" descr="Data from ASEAN tests, Australian tests, claimed online data and claimed instore data is plotted on a graph showing lamp efficacy vs lamp flux for non-directional lamps. Line showing lowest minimum flux level for LED lamp MEPS is also shown." title="Lamp efficacy vs lamp flux for non-directional LED l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55668" cy="3695064"/>
                    </a:xfrm>
                    <a:prstGeom prst="rect">
                      <a:avLst/>
                    </a:prstGeom>
                    <a:noFill/>
                  </pic:spPr>
                </pic:pic>
              </a:graphicData>
            </a:graphic>
          </wp:inline>
        </w:drawing>
      </w:r>
    </w:p>
    <w:p w14:paraId="5B7637EE" w14:textId="4B1EA61E" w:rsidR="0045625A" w:rsidRPr="0045625A" w:rsidRDefault="009D2249" w:rsidP="009D2249">
      <w:pPr>
        <w:pStyle w:val="Caption"/>
        <w:rPr>
          <w:rFonts w:ascii="Calibri" w:eastAsia="Times New Roman" w:hAnsi="Calibri"/>
          <w:color w:val="000000"/>
          <w:sz w:val="24"/>
          <w:lang w:eastAsia="en-AU"/>
        </w:rPr>
      </w:pPr>
      <w:bookmarkStart w:id="39" w:name="_Ref492041888"/>
      <w:bookmarkStart w:id="40" w:name="_Toc493158347"/>
      <w:r>
        <w:t xml:space="preserve">Figure </w:t>
      </w:r>
      <w:r>
        <w:fldChar w:fldCharType="begin"/>
      </w:r>
      <w:r>
        <w:instrText xml:space="preserve"> SEQ Figure \* ARABIC </w:instrText>
      </w:r>
      <w:r>
        <w:fldChar w:fldCharType="separate"/>
      </w:r>
      <w:r w:rsidR="005933B0">
        <w:t>5</w:t>
      </w:r>
      <w:r>
        <w:fldChar w:fldCharType="end"/>
      </w:r>
      <w:bookmarkEnd w:id="39"/>
      <w:r>
        <w:t xml:space="preserve">: </w:t>
      </w:r>
      <w:r w:rsidRPr="009D2249">
        <w:t>efficacy dataset for non-directional LED lamps</w:t>
      </w:r>
      <w:bookmarkEnd w:id="40"/>
    </w:p>
    <w:p w14:paraId="614C81C5" w14:textId="77777777" w:rsidR="0045625A" w:rsidRPr="0045625A" w:rsidRDefault="0045625A" w:rsidP="0045625A">
      <w:pPr>
        <w:spacing w:after="0" w:line="240" w:lineRule="auto"/>
        <w:rPr>
          <w:rFonts w:ascii="Calibri" w:eastAsia="Times New Roman" w:hAnsi="Calibri"/>
          <w:color w:val="000000"/>
          <w:sz w:val="24"/>
          <w:lang w:eastAsia="en-AU"/>
        </w:rPr>
      </w:pPr>
    </w:p>
    <w:p w14:paraId="3F9AAF8E" w14:textId="77777777" w:rsidR="009D2249" w:rsidRDefault="0045625A" w:rsidP="009D2249">
      <w:pPr>
        <w:keepNext/>
        <w:spacing w:after="0" w:line="240" w:lineRule="auto"/>
      </w:pPr>
      <w:r w:rsidRPr="0045625A">
        <w:rPr>
          <w:rFonts w:ascii="Calibri" w:eastAsia="Times New Roman" w:hAnsi="Calibri"/>
          <w:color w:val="000000"/>
          <w:sz w:val="24"/>
          <w:lang w:eastAsia="en-AU"/>
        </w:rPr>
        <w:drawing>
          <wp:inline distT="0" distB="0" distL="0" distR="0" wp14:anchorId="208DC15A" wp14:editId="76DBD484">
            <wp:extent cx="5838825" cy="3814726"/>
            <wp:effectExtent l="0" t="0" r="0" b="0"/>
            <wp:docPr id="11" name="Picture 11" descr="Data plotted showing efficacy and lamp flux for directional LED lamps. Line indicating minimum cut off for luminous flux (100lm) is also shown." title="Graph of efficacy vs flux for directional LED l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47633" cy="3820480"/>
                    </a:xfrm>
                    <a:prstGeom prst="rect">
                      <a:avLst/>
                    </a:prstGeom>
                    <a:noFill/>
                  </pic:spPr>
                </pic:pic>
              </a:graphicData>
            </a:graphic>
          </wp:inline>
        </w:drawing>
      </w:r>
    </w:p>
    <w:p w14:paraId="645C6497" w14:textId="6A4FAB96" w:rsidR="007E5957" w:rsidRDefault="009D2249" w:rsidP="007E5957">
      <w:pPr>
        <w:pStyle w:val="Caption"/>
        <w:rPr>
          <w:rFonts w:ascii="Calibri" w:eastAsia="Times New Roman" w:hAnsi="Calibri"/>
          <w:color w:val="000000"/>
          <w:sz w:val="24"/>
          <w:lang w:eastAsia="en-AU"/>
        </w:rPr>
      </w:pPr>
      <w:bookmarkStart w:id="41" w:name="_Toc493158348"/>
      <w:r>
        <w:t xml:space="preserve">Figure </w:t>
      </w:r>
      <w:r>
        <w:fldChar w:fldCharType="begin"/>
      </w:r>
      <w:r>
        <w:instrText xml:space="preserve"> SEQ Figure \* ARABIC </w:instrText>
      </w:r>
      <w:r>
        <w:fldChar w:fldCharType="separate"/>
      </w:r>
      <w:r w:rsidR="005933B0">
        <w:t>6</w:t>
      </w:r>
      <w:r>
        <w:fldChar w:fldCharType="end"/>
      </w:r>
      <w:r>
        <w:t>: E</w:t>
      </w:r>
      <w:r w:rsidRPr="009D2249">
        <w:t>fficacy dataset for directional LED lamps</w:t>
      </w:r>
      <w:bookmarkEnd w:id="41"/>
    </w:p>
    <w:p w14:paraId="5B3A3098" w14:textId="77777777" w:rsidR="005A2E86" w:rsidRDefault="005A2E86" w:rsidP="005A2E86">
      <w:pPr>
        <w:rPr>
          <w:lang w:eastAsia="en-AU"/>
        </w:rPr>
      </w:pPr>
    </w:p>
    <w:p w14:paraId="62672BBB" w14:textId="77777777" w:rsidR="005A2E86" w:rsidRDefault="005A2E86" w:rsidP="005A2E86">
      <w:pPr>
        <w:rPr>
          <w:lang w:eastAsia="en-AU"/>
        </w:rPr>
      </w:pPr>
    </w:p>
    <w:p w14:paraId="2B059015" w14:textId="77777777" w:rsidR="005A2E86" w:rsidRDefault="005A2E86" w:rsidP="005A2E86">
      <w:pPr>
        <w:rPr>
          <w:lang w:eastAsia="en-AU"/>
        </w:rPr>
      </w:pPr>
    </w:p>
    <w:p w14:paraId="0F7545BB" w14:textId="77777777" w:rsidR="005A2E86" w:rsidRPr="005A2E86" w:rsidRDefault="005A2E86" w:rsidP="005A2E86">
      <w:pPr>
        <w:rPr>
          <w:lang w:eastAsia="en-AU"/>
        </w:rPr>
      </w:pPr>
    </w:p>
    <w:p w14:paraId="17885FCC" w14:textId="04342961" w:rsidR="007E5957" w:rsidRPr="007E5957" w:rsidRDefault="007E5957" w:rsidP="007E5957">
      <w:pPr>
        <w:pStyle w:val="Caption"/>
      </w:pPr>
      <w:bookmarkStart w:id="42" w:name="_Ref493151992"/>
      <w:bookmarkStart w:id="43" w:name="_Toc493158336"/>
      <w:r w:rsidRPr="007E5957">
        <w:t xml:space="preserve">Table </w:t>
      </w:r>
      <w:r w:rsidRPr="007E5957">
        <w:fldChar w:fldCharType="begin"/>
      </w:r>
      <w:r w:rsidRPr="007E5957">
        <w:instrText xml:space="preserve"> SEQ Table \* ARABIC </w:instrText>
      </w:r>
      <w:r w:rsidRPr="007E5957">
        <w:fldChar w:fldCharType="separate"/>
      </w:r>
      <w:r w:rsidR="005933B0">
        <w:t>4</w:t>
      </w:r>
      <w:r w:rsidRPr="007E5957">
        <w:fldChar w:fldCharType="end"/>
      </w:r>
      <w:bookmarkEnd w:id="42"/>
      <w:r w:rsidRPr="007E5957">
        <w:t xml:space="preserve">: </w:t>
      </w:r>
      <w:r>
        <w:t>U</w:t>
      </w:r>
      <w:r w:rsidRPr="007E5957">
        <w:t>pdated proposal for efficacy levels for LED lamps</w:t>
      </w:r>
      <w:bookmarkEnd w:id="43"/>
      <w:r w:rsidRPr="007E5957">
        <w:t xml:space="preserve"> </w:t>
      </w:r>
    </w:p>
    <w:tbl>
      <w:tblPr>
        <w:tblStyle w:val="TableGrid"/>
        <w:tblW w:w="0" w:type="auto"/>
        <w:tblLook w:val="04A0" w:firstRow="1" w:lastRow="0" w:firstColumn="1" w:lastColumn="0" w:noHBand="0" w:noVBand="1"/>
        <w:tblCaption w:val="Updated proposal for efficacy levels for LED lamps"/>
        <w:tblDescription w:val="Sets out proposed increase in efficacy levels for differnet lamp types for 2019, 2021 and 2023."/>
      </w:tblPr>
      <w:tblGrid>
        <w:gridCol w:w="3047"/>
        <w:gridCol w:w="1505"/>
        <w:gridCol w:w="1623"/>
        <w:gridCol w:w="1632"/>
      </w:tblGrid>
      <w:tr w:rsidR="0045625A" w:rsidRPr="0045625A" w14:paraId="45B79572" w14:textId="77777777" w:rsidTr="002A5FF6">
        <w:trPr>
          <w:trHeight w:val="246"/>
          <w:tblHeader/>
        </w:trPr>
        <w:tc>
          <w:tcPr>
            <w:tcW w:w="3047" w:type="dxa"/>
          </w:tcPr>
          <w:p w14:paraId="5194D511" w14:textId="77777777" w:rsidR="0045625A" w:rsidRPr="0045625A" w:rsidRDefault="0045625A" w:rsidP="007E5957">
            <w:pPr>
              <w:rPr>
                <w:rFonts w:ascii="Calibri" w:hAnsi="Calibri"/>
                <w:b/>
                <w:sz w:val="24"/>
              </w:rPr>
            </w:pPr>
            <w:r w:rsidRPr="0045625A">
              <w:rPr>
                <w:rFonts w:ascii="Calibri" w:hAnsi="Calibri"/>
                <w:b/>
                <w:sz w:val="24"/>
              </w:rPr>
              <w:t>Product Scope</w:t>
            </w:r>
          </w:p>
        </w:tc>
        <w:tc>
          <w:tcPr>
            <w:tcW w:w="1505" w:type="dxa"/>
            <w:vAlign w:val="center"/>
          </w:tcPr>
          <w:p w14:paraId="55BEE12A" w14:textId="77777777" w:rsidR="0045625A" w:rsidRPr="0045625A" w:rsidRDefault="0045625A" w:rsidP="002A5FF6">
            <w:pPr>
              <w:jc w:val="center"/>
              <w:rPr>
                <w:rFonts w:ascii="Calibri" w:hAnsi="Calibri"/>
                <w:b/>
                <w:sz w:val="24"/>
              </w:rPr>
            </w:pPr>
            <w:r w:rsidRPr="0045625A">
              <w:rPr>
                <w:rFonts w:ascii="Calibri" w:hAnsi="Calibri"/>
                <w:b/>
                <w:sz w:val="24"/>
              </w:rPr>
              <w:t>2019</w:t>
            </w:r>
          </w:p>
        </w:tc>
        <w:tc>
          <w:tcPr>
            <w:tcW w:w="1623" w:type="dxa"/>
            <w:vAlign w:val="center"/>
          </w:tcPr>
          <w:p w14:paraId="16D0E8FE" w14:textId="77777777" w:rsidR="0045625A" w:rsidRPr="0045625A" w:rsidRDefault="0045625A" w:rsidP="002A5FF6">
            <w:pPr>
              <w:jc w:val="center"/>
              <w:rPr>
                <w:rFonts w:ascii="Calibri" w:hAnsi="Calibri"/>
                <w:b/>
                <w:sz w:val="24"/>
              </w:rPr>
            </w:pPr>
            <w:r w:rsidRPr="0045625A">
              <w:rPr>
                <w:rFonts w:ascii="Calibri" w:hAnsi="Calibri"/>
                <w:b/>
                <w:sz w:val="24"/>
              </w:rPr>
              <w:t>2021</w:t>
            </w:r>
          </w:p>
        </w:tc>
        <w:tc>
          <w:tcPr>
            <w:tcW w:w="1632" w:type="dxa"/>
            <w:vAlign w:val="center"/>
          </w:tcPr>
          <w:p w14:paraId="67871EDB" w14:textId="77777777" w:rsidR="0045625A" w:rsidRPr="0045625A" w:rsidRDefault="0045625A" w:rsidP="002A5FF6">
            <w:pPr>
              <w:jc w:val="center"/>
              <w:rPr>
                <w:rFonts w:ascii="Calibri" w:hAnsi="Calibri"/>
                <w:b/>
                <w:sz w:val="24"/>
              </w:rPr>
            </w:pPr>
            <w:r w:rsidRPr="0045625A">
              <w:rPr>
                <w:rFonts w:ascii="Calibri" w:hAnsi="Calibri"/>
                <w:b/>
                <w:sz w:val="24"/>
              </w:rPr>
              <w:t>2023</w:t>
            </w:r>
          </w:p>
        </w:tc>
      </w:tr>
      <w:tr w:rsidR="0045625A" w:rsidRPr="0045625A" w14:paraId="35FA9575" w14:textId="77777777" w:rsidTr="002A5FF6">
        <w:trPr>
          <w:trHeight w:val="246"/>
        </w:trPr>
        <w:tc>
          <w:tcPr>
            <w:tcW w:w="3047" w:type="dxa"/>
          </w:tcPr>
          <w:p w14:paraId="2EED00BF" w14:textId="77777777" w:rsidR="0045625A" w:rsidRPr="0045625A" w:rsidRDefault="0045625A" w:rsidP="007E5957">
            <w:pPr>
              <w:rPr>
                <w:rFonts w:ascii="Calibri" w:hAnsi="Calibri"/>
                <w:sz w:val="24"/>
              </w:rPr>
            </w:pPr>
            <w:r w:rsidRPr="0045625A">
              <w:rPr>
                <w:rFonts w:ascii="Calibri" w:hAnsi="Calibri"/>
                <w:sz w:val="24"/>
              </w:rPr>
              <w:t>Lamp Non Directional</w:t>
            </w:r>
          </w:p>
        </w:tc>
        <w:tc>
          <w:tcPr>
            <w:tcW w:w="1505" w:type="dxa"/>
            <w:shd w:val="clear" w:color="auto" w:fill="92D050"/>
            <w:vAlign w:val="center"/>
          </w:tcPr>
          <w:p w14:paraId="55425A0E" w14:textId="77777777" w:rsidR="0045625A" w:rsidRPr="0045625A" w:rsidRDefault="0045625A" w:rsidP="002A5FF6">
            <w:pPr>
              <w:jc w:val="center"/>
              <w:rPr>
                <w:rFonts w:ascii="Calibri" w:hAnsi="Calibri"/>
                <w:sz w:val="24"/>
              </w:rPr>
            </w:pPr>
            <w:r w:rsidRPr="0045625A">
              <w:rPr>
                <w:rFonts w:ascii="Calibri" w:hAnsi="Calibri"/>
                <w:sz w:val="24"/>
              </w:rPr>
              <w:t>80 lm/W</w:t>
            </w:r>
          </w:p>
        </w:tc>
        <w:tc>
          <w:tcPr>
            <w:tcW w:w="1623" w:type="dxa"/>
            <w:vAlign w:val="center"/>
          </w:tcPr>
          <w:p w14:paraId="6D85AD8A" w14:textId="77777777" w:rsidR="0045625A" w:rsidRPr="0045625A" w:rsidRDefault="0045625A" w:rsidP="002A5FF6">
            <w:pPr>
              <w:jc w:val="center"/>
              <w:rPr>
                <w:rFonts w:ascii="Calibri" w:hAnsi="Calibri"/>
                <w:sz w:val="24"/>
                <w:highlight w:val="yellow"/>
              </w:rPr>
            </w:pPr>
            <w:r w:rsidRPr="0045625A">
              <w:rPr>
                <w:rFonts w:ascii="Calibri" w:hAnsi="Calibri"/>
                <w:sz w:val="24"/>
                <w:highlight w:val="yellow"/>
              </w:rPr>
              <w:t>90 lm/W</w:t>
            </w:r>
          </w:p>
        </w:tc>
        <w:tc>
          <w:tcPr>
            <w:tcW w:w="1632" w:type="dxa"/>
            <w:tcBorders>
              <w:top w:val="single" w:sz="12" w:space="0" w:color="auto"/>
            </w:tcBorders>
            <w:vAlign w:val="center"/>
          </w:tcPr>
          <w:p w14:paraId="3C5F7AE6" w14:textId="77777777" w:rsidR="0045625A" w:rsidRPr="0045625A" w:rsidRDefault="0045625A" w:rsidP="002A5FF6">
            <w:pPr>
              <w:jc w:val="center"/>
              <w:rPr>
                <w:rFonts w:ascii="Calibri" w:hAnsi="Calibri"/>
                <w:sz w:val="24"/>
                <w:highlight w:val="yellow"/>
              </w:rPr>
            </w:pPr>
            <w:r w:rsidRPr="0045625A">
              <w:rPr>
                <w:rFonts w:ascii="Calibri" w:hAnsi="Calibri"/>
                <w:sz w:val="24"/>
                <w:highlight w:val="yellow"/>
              </w:rPr>
              <w:t>100 lm/W</w:t>
            </w:r>
          </w:p>
        </w:tc>
      </w:tr>
      <w:tr w:rsidR="0045625A" w:rsidRPr="0045625A" w14:paraId="7FBCC8E8" w14:textId="77777777" w:rsidTr="002A5FF6">
        <w:trPr>
          <w:trHeight w:val="246"/>
        </w:trPr>
        <w:tc>
          <w:tcPr>
            <w:tcW w:w="3047" w:type="dxa"/>
          </w:tcPr>
          <w:p w14:paraId="6944836A" w14:textId="77777777" w:rsidR="0045625A" w:rsidRPr="0045625A" w:rsidRDefault="0045625A" w:rsidP="007E5957">
            <w:pPr>
              <w:rPr>
                <w:rFonts w:ascii="Calibri" w:hAnsi="Calibri"/>
                <w:sz w:val="24"/>
              </w:rPr>
            </w:pPr>
            <w:r w:rsidRPr="0045625A">
              <w:rPr>
                <w:rFonts w:ascii="Calibri" w:hAnsi="Calibri"/>
                <w:sz w:val="24"/>
              </w:rPr>
              <w:t>Lamp Directional</w:t>
            </w:r>
          </w:p>
        </w:tc>
        <w:tc>
          <w:tcPr>
            <w:tcW w:w="1505" w:type="dxa"/>
            <w:shd w:val="clear" w:color="auto" w:fill="92D050"/>
            <w:vAlign w:val="center"/>
          </w:tcPr>
          <w:p w14:paraId="04727884" w14:textId="77777777" w:rsidR="0045625A" w:rsidRPr="0045625A" w:rsidRDefault="0045625A" w:rsidP="002A5FF6">
            <w:pPr>
              <w:jc w:val="center"/>
              <w:rPr>
                <w:rFonts w:ascii="Calibri" w:hAnsi="Calibri"/>
                <w:sz w:val="24"/>
              </w:rPr>
            </w:pPr>
            <w:r w:rsidRPr="0045625A">
              <w:rPr>
                <w:rFonts w:ascii="Calibri" w:hAnsi="Calibri"/>
                <w:sz w:val="24"/>
              </w:rPr>
              <w:t>80 lm/W</w:t>
            </w:r>
          </w:p>
        </w:tc>
        <w:tc>
          <w:tcPr>
            <w:tcW w:w="1623" w:type="dxa"/>
            <w:vAlign w:val="center"/>
          </w:tcPr>
          <w:p w14:paraId="36860EDC" w14:textId="77777777" w:rsidR="0045625A" w:rsidRPr="0045625A" w:rsidRDefault="0045625A" w:rsidP="002A5FF6">
            <w:pPr>
              <w:jc w:val="center"/>
              <w:rPr>
                <w:rFonts w:ascii="Calibri" w:hAnsi="Calibri"/>
                <w:sz w:val="24"/>
                <w:highlight w:val="yellow"/>
              </w:rPr>
            </w:pPr>
            <w:r w:rsidRPr="0045625A">
              <w:rPr>
                <w:rFonts w:ascii="Calibri" w:hAnsi="Calibri"/>
                <w:sz w:val="24"/>
                <w:highlight w:val="yellow"/>
              </w:rPr>
              <w:t>90 lm/W</w:t>
            </w:r>
          </w:p>
        </w:tc>
        <w:tc>
          <w:tcPr>
            <w:tcW w:w="1632" w:type="dxa"/>
            <w:vAlign w:val="center"/>
          </w:tcPr>
          <w:p w14:paraId="4FF4DC85" w14:textId="77777777" w:rsidR="0045625A" w:rsidRPr="0045625A" w:rsidRDefault="0045625A" w:rsidP="002A5FF6">
            <w:pPr>
              <w:jc w:val="center"/>
              <w:rPr>
                <w:rFonts w:ascii="Calibri" w:hAnsi="Calibri"/>
                <w:sz w:val="24"/>
                <w:highlight w:val="yellow"/>
              </w:rPr>
            </w:pPr>
            <w:r w:rsidRPr="0045625A">
              <w:rPr>
                <w:rFonts w:ascii="Calibri" w:hAnsi="Calibri"/>
                <w:sz w:val="24"/>
                <w:highlight w:val="yellow"/>
              </w:rPr>
              <w:t>100 lm/W</w:t>
            </w:r>
          </w:p>
        </w:tc>
      </w:tr>
      <w:tr w:rsidR="0045625A" w:rsidRPr="0045625A" w14:paraId="28849311" w14:textId="77777777" w:rsidTr="002A5FF6">
        <w:trPr>
          <w:trHeight w:val="246"/>
        </w:trPr>
        <w:tc>
          <w:tcPr>
            <w:tcW w:w="3047" w:type="dxa"/>
          </w:tcPr>
          <w:p w14:paraId="08747062" w14:textId="77777777" w:rsidR="0045625A" w:rsidRPr="0045625A" w:rsidRDefault="0045625A" w:rsidP="007E5957">
            <w:pPr>
              <w:rPr>
                <w:rFonts w:ascii="Calibri" w:hAnsi="Calibri"/>
                <w:sz w:val="24"/>
              </w:rPr>
            </w:pPr>
            <w:r w:rsidRPr="0045625A">
              <w:rPr>
                <w:rFonts w:ascii="Calibri" w:hAnsi="Calibri"/>
                <w:sz w:val="24"/>
              </w:rPr>
              <w:t>Lamp Linear</w:t>
            </w:r>
          </w:p>
        </w:tc>
        <w:tc>
          <w:tcPr>
            <w:tcW w:w="1505" w:type="dxa"/>
            <w:shd w:val="clear" w:color="auto" w:fill="92D050"/>
            <w:vAlign w:val="center"/>
          </w:tcPr>
          <w:p w14:paraId="76081C11" w14:textId="77777777" w:rsidR="0045625A" w:rsidRPr="0045625A" w:rsidRDefault="0045625A" w:rsidP="002A5FF6">
            <w:pPr>
              <w:jc w:val="center"/>
              <w:rPr>
                <w:rFonts w:ascii="Calibri" w:hAnsi="Calibri"/>
                <w:sz w:val="24"/>
              </w:rPr>
            </w:pPr>
            <w:r w:rsidRPr="0045625A">
              <w:rPr>
                <w:rFonts w:ascii="Calibri" w:hAnsi="Calibri"/>
                <w:sz w:val="24"/>
              </w:rPr>
              <w:t>100  lm/W</w:t>
            </w:r>
          </w:p>
        </w:tc>
        <w:tc>
          <w:tcPr>
            <w:tcW w:w="1623" w:type="dxa"/>
            <w:vAlign w:val="center"/>
          </w:tcPr>
          <w:p w14:paraId="3029A86B" w14:textId="365E2B3A" w:rsidR="0045625A" w:rsidRPr="0045625A" w:rsidRDefault="0045625A" w:rsidP="002A5FF6">
            <w:pPr>
              <w:jc w:val="center"/>
              <w:rPr>
                <w:rFonts w:ascii="Calibri" w:hAnsi="Calibri"/>
                <w:sz w:val="24"/>
                <w:highlight w:val="yellow"/>
              </w:rPr>
            </w:pPr>
            <w:r w:rsidRPr="0045625A">
              <w:rPr>
                <w:rFonts w:ascii="Calibri" w:hAnsi="Calibri"/>
                <w:sz w:val="24"/>
                <w:highlight w:val="yellow"/>
              </w:rPr>
              <w:t>110  lm/W</w:t>
            </w:r>
          </w:p>
        </w:tc>
        <w:tc>
          <w:tcPr>
            <w:tcW w:w="1632" w:type="dxa"/>
            <w:vAlign w:val="center"/>
          </w:tcPr>
          <w:p w14:paraId="492EEE9B" w14:textId="77777777" w:rsidR="0045625A" w:rsidRPr="0045625A" w:rsidRDefault="0045625A" w:rsidP="002A5FF6">
            <w:pPr>
              <w:jc w:val="center"/>
              <w:rPr>
                <w:rFonts w:ascii="Calibri" w:hAnsi="Calibri"/>
                <w:sz w:val="24"/>
                <w:highlight w:val="yellow"/>
              </w:rPr>
            </w:pPr>
            <w:r w:rsidRPr="0045625A">
              <w:rPr>
                <w:rFonts w:ascii="Calibri" w:hAnsi="Calibri"/>
                <w:sz w:val="24"/>
                <w:highlight w:val="yellow"/>
              </w:rPr>
              <w:t>120  lm/W</w:t>
            </w:r>
          </w:p>
        </w:tc>
      </w:tr>
    </w:tbl>
    <w:p w14:paraId="010AB617" w14:textId="77777777" w:rsidR="0045625A" w:rsidRPr="0045625A" w:rsidRDefault="0045625A" w:rsidP="0045625A">
      <w:pPr>
        <w:spacing w:after="0" w:line="240" w:lineRule="auto"/>
        <w:rPr>
          <w:rFonts w:ascii="Calibri" w:eastAsia="Times New Roman" w:hAnsi="Calibri"/>
          <w:color w:val="000000"/>
          <w:sz w:val="24"/>
          <w:lang w:eastAsia="en-AU"/>
        </w:rPr>
      </w:pPr>
    </w:p>
    <w:p w14:paraId="5A7CE679" w14:textId="6A34632D" w:rsidR="0045625A" w:rsidRPr="0045625A" w:rsidRDefault="0045625A" w:rsidP="00AF3C6C">
      <w:pPr>
        <w:pStyle w:val="E3BodyText"/>
      </w:pPr>
      <w:r w:rsidRPr="0045625A">
        <w:t>In considering an increase in minimum efficacy for LED lamps,</w:t>
      </w:r>
      <w:r w:rsidR="00453F48">
        <w:t xml:space="preserve"> as shown in </w:t>
      </w:r>
      <w:r w:rsidR="00453F48">
        <w:fldChar w:fldCharType="begin"/>
      </w:r>
      <w:r w:rsidR="00453F48">
        <w:instrText xml:space="preserve"> REF _Ref493151992 \h </w:instrText>
      </w:r>
      <w:r w:rsidR="00453F48">
        <w:fldChar w:fldCharType="separate"/>
      </w:r>
      <w:r w:rsidR="005933B0" w:rsidRPr="007E5957">
        <w:t xml:space="preserve">Table </w:t>
      </w:r>
      <w:r w:rsidR="005933B0">
        <w:rPr>
          <w:noProof/>
        </w:rPr>
        <w:t>4</w:t>
      </w:r>
      <w:r w:rsidR="00453F48">
        <w:fldChar w:fldCharType="end"/>
      </w:r>
      <w:r w:rsidR="00453F48">
        <w:t>,</w:t>
      </w:r>
      <w:r w:rsidRPr="0045625A">
        <w:t xml:space="preserve"> the data analysis has indicated that some lamp types with specific features would have more difficulty in meeting these higher levels. As a result, the LED lamp MEPS has also been revised to include the following concessions for LED lamps (non-directional and directional):</w:t>
      </w:r>
    </w:p>
    <w:p w14:paraId="04A28A23" w14:textId="5F8FE82D" w:rsidR="0045625A" w:rsidRPr="007662A2" w:rsidRDefault="0045625A" w:rsidP="003776C5">
      <w:pPr>
        <w:pStyle w:val="ListParagraph"/>
        <w:numPr>
          <w:ilvl w:val="0"/>
          <w:numId w:val="16"/>
        </w:numPr>
        <w:spacing w:after="200" w:line="276" w:lineRule="auto"/>
        <w:rPr>
          <w:rFonts w:ascii="Calibri" w:eastAsia="Times New Roman" w:hAnsi="Calibri"/>
          <w:color w:val="000000"/>
          <w:sz w:val="24"/>
          <w:szCs w:val="24"/>
          <w:lang w:eastAsia="en-AU"/>
        </w:rPr>
      </w:pPr>
      <w:r w:rsidRPr="007662A2">
        <w:rPr>
          <w:rFonts w:ascii="Calibri" w:eastAsia="Times New Roman" w:hAnsi="Calibri"/>
          <w:color w:val="000000"/>
          <w:sz w:val="24"/>
          <w:szCs w:val="24"/>
          <w:lang w:eastAsia="en-AU"/>
        </w:rPr>
        <w:t>Directional lamps (</w:t>
      </w:r>
      <w:r w:rsidR="009A3533" w:rsidRPr="007662A2">
        <w:rPr>
          <w:rFonts w:ascii="Calibri" w:eastAsia="Times New Roman" w:hAnsi="Calibri"/>
          <w:color w:val="000000"/>
          <w:sz w:val="24"/>
          <w:szCs w:val="24"/>
          <w:lang w:eastAsia="en-AU"/>
        </w:rPr>
        <w:t>10</w:t>
      </w:r>
      <w:r w:rsidRPr="007662A2">
        <w:rPr>
          <w:rFonts w:ascii="Calibri" w:eastAsia="Times New Roman" w:hAnsi="Calibri"/>
          <w:color w:val="000000"/>
          <w:sz w:val="24"/>
          <w:szCs w:val="24"/>
          <w:lang w:eastAsia="en-AU"/>
        </w:rPr>
        <w:t>%)</w:t>
      </w:r>
    </w:p>
    <w:p w14:paraId="6A9A1829" w14:textId="77777777" w:rsidR="0045625A" w:rsidRPr="007662A2" w:rsidRDefault="0045625A" w:rsidP="003776C5">
      <w:pPr>
        <w:pStyle w:val="ListParagraph"/>
        <w:numPr>
          <w:ilvl w:val="0"/>
          <w:numId w:val="16"/>
        </w:numPr>
        <w:spacing w:after="200" w:line="276" w:lineRule="auto"/>
        <w:rPr>
          <w:rFonts w:ascii="Calibri" w:eastAsia="Times New Roman" w:hAnsi="Calibri"/>
          <w:color w:val="000000"/>
          <w:sz w:val="24"/>
          <w:szCs w:val="24"/>
          <w:lang w:eastAsia="en-AU"/>
        </w:rPr>
      </w:pPr>
      <w:r w:rsidRPr="007662A2">
        <w:rPr>
          <w:rFonts w:ascii="Calibri" w:eastAsia="Times New Roman" w:hAnsi="Calibri"/>
          <w:color w:val="000000"/>
          <w:sz w:val="24"/>
          <w:szCs w:val="24"/>
          <w:lang w:eastAsia="en-AU"/>
        </w:rPr>
        <w:t>Beam Angle &lt; 30º (10%)</w:t>
      </w:r>
    </w:p>
    <w:p w14:paraId="349DC69F" w14:textId="77777777" w:rsidR="0045625A" w:rsidRPr="007662A2" w:rsidRDefault="0045625A" w:rsidP="003776C5">
      <w:pPr>
        <w:pStyle w:val="ListParagraph"/>
        <w:numPr>
          <w:ilvl w:val="0"/>
          <w:numId w:val="16"/>
        </w:numPr>
        <w:spacing w:after="200" w:line="276" w:lineRule="auto"/>
        <w:rPr>
          <w:rFonts w:ascii="Calibri" w:eastAsia="Times New Roman" w:hAnsi="Calibri"/>
          <w:color w:val="000000"/>
          <w:sz w:val="24"/>
          <w:szCs w:val="24"/>
          <w:lang w:eastAsia="en-AU"/>
        </w:rPr>
      </w:pPr>
      <w:r w:rsidRPr="007662A2">
        <w:rPr>
          <w:rFonts w:ascii="Calibri" w:eastAsia="Times New Roman" w:hAnsi="Calibri"/>
          <w:color w:val="000000"/>
          <w:sz w:val="24"/>
          <w:szCs w:val="24"/>
          <w:lang w:eastAsia="en-AU"/>
        </w:rPr>
        <w:t xml:space="preserve">90 </w:t>
      </w:r>
      <w:r w:rsidRPr="007662A2">
        <w:rPr>
          <w:rFonts w:ascii="Calibri" w:eastAsia="Times New Roman" w:hAnsi="Calibri" w:cs="Calibri"/>
          <w:color w:val="000000"/>
          <w:sz w:val="24"/>
          <w:szCs w:val="24"/>
          <w:lang w:eastAsia="en-AU"/>
        </w:rPr>
        <w:t>≤</w:t>
      </w:r>
      <w:r w:rsidRPr="007662A2">
        <w:rPr>
          <w:rFonts w:ascii="Calibri" w:eastAsia="Times New Roman" w:hAnsi="Calibri"/>
          <w:color w:val="000000"/>
          <w:sz w:val="24"/>
          <w:szCs w:val="24"/>
          <w:lang w:eastAsia="en-AU"/>
        </w:rPr>
        <w:t xml:space="preserve"> CRI &lt; 100 (10%)</w:t>
      </w:r>
    </w:p>
    <w:p w14:paraId="23D9808E" w14:textId="77777777" w:rsidR="0045625A" w:rsidRPr="007662A2" w:rsidRDefault="0045625A" w:rsidP="003776C5">
      <w:pPr>
        <w:pStyle w:val="ListParagraph"/>
        <w:numPr>
          <w:ilvl w:val="0"/>
          <w:numId w:val="16"/>
        </w:numPr>
        <w:spacing w:after="200" w:line="276" w:lineRule="auto"/>
        <w:rPr>
          <w:rFonts w:ascii="Calibri" w:eastAsia="Times New Roman" w:hAnsi="Calibri"/>
          <w:color w:val="000000"/>
          <w:sz w:val="24"/>
          <w:szCs w:val="24"/>
          <w:lang w:eastAsia="en-AU"/>
        </w:rPr>
      </w:pPr>
      <w:r w:rsidRPr="007662A2">
        <w:rPr>
          <w:rFonts w:ascii="Calibri" w:eastAsia="Times New Roman" w:hAnsi="Calibri"/>
          <w:color w:val="000000"/>
          <w:sz w:val="24"/>
          <w:szCs w:val="24"/>
          <w:lang w:eastAsia="en-AU"/>
        </w:rPr>
        <w:t xml:space="preserve">CCT </w:t>
      </w:r>
      <w:r w:rsidRPr="007662A2">
        <w:rPr>
          <w:rFonts w:ascii="Calibri" w:eastAsia="Times New Roman" w:hAnsi="Calibri" w:cs="Calibri"/>
          <w:color w:val="000000"/>
          <w:sz w:val="24"/>
          <w:szCs w:val="24"/>
          <w:lang w:eastAsia="en-AU"/>
        </w:rPr>
        <w:t>≤</w:t>
      </w:r>
      <w:r w:rsidRPr="007662A2">
        <w:rPr>
          <w:rFonts w:ascii="Calibri" w:eastAsia="Times New Roman" w:hAnsi="Calibri"/>
          <w:color w:val="000000"/>
          <w:sz w:val="24"/>
          <w:szCs w:val="24"/>
          <w:lang w:eastAsia="en-AU"/>
        </w:rPr>
        <w:t xml:space="preserve"> 3000K (10%)</w:t>
      </w:r>
    </w:p>
    <w:p w14:paraId="6A25834D" w14:textId="2ECAFCD0" w:rsidR="0045625A" w:rsidRPr="0045625A" w:rsidRDefault="0045625A" w:rsidP="00AF3C6C">
      <w:pPr>
        <w:pStyle w:val="E3BodyText"/>
      </w:pPr>
      <w:r w:rsidRPr="0045625A">
        <w:t xml:space="preserve">With these concessions applied, based on the available 2016-17 product data, the overall pass rate for non-directional lamps is 77% and for directional lamps </w:t>
      </w:r>
      <w:r w:rsidR="009A3533">
        <w:t>72</w:t>
      </w:r>
      <w:r w:rsidRPr="0045625A">
        <w:t>%.  Sub categories such as narrow beam angle, high CRI and low CCT all had similar pass rates after concessions were applied. With a further 1.5 years before implementation of the MEPS, it can be expected that these pass rates will further improve.</w:t>
      </w:r>
    </w:p>
    <w:p w14:paraId="3C2B1842" w14:textId="77777777" w:rsidR="0045625A" w:rsidRPr="0045625A" w:rsidRDefault="0045625A" w:rsidP="0045625A">
      <w:pPr>
        <w:spacing w:after="0" w:line="240" w:lineRule="auto"/>
        <w:rPr>
          <w:rFonts w:ascii="Calibri" w:hAnsi="Calibri"/>
          <w:sz w:val="24"/>
        </w:rPr>
      </w:pPr>
    </w:p>
    <w:p w14:paraId="070CE574" w14:textId="77777777" w:rsidR="00606CBA" w:rsidRPr="0045625A" w:rsidRDefault="00606CBA" w:rsidP="002F6383">
      <w:pPr>
        <w:pStyle w:val="E3BodyText"/>
        <w:sectPr w:rsidR="00606CBA" w:rsidRPr="0045625A" w:rsidSect="004A314E">
          <w:type w:val="continuous"/>
          <w:pgSz w:w="11907" w:h="16840" w:code="9"/>
          <w:pgMar w:top="1134" w:right="1134" w:bottom="1418" w:left="1134" w:header="709" w:footer="709" w:gutter="0"/>
          <w:cols w:space="720"/>
          <w:titlePg/>
          <w:docGrid w:linePitch="360"/>
        </w:sectPr>
      </w:pPr>
    </w:p>
    <w:p w14:paraId="14CB5322" w14:textId="3C5171B5" w:rsidR="00414D80" w:rsidRPr="00343437" w:rsidRDefault="00BF480E" w:rsidP="00BF480E">
      <w:pPr>
        <w:pStyle w:val="E3ChapterTitle"/>
        <w:sectPr w:rsidR="00414D80" w:rsidRPr="00343437" w:rsidSect="00472115">
          <w:pgSz w:w="11907" w:h="16840" w:code="9"/>
          <w:pgMar w:top="1134" w:right="1134" w:bottom="1418" w:left="1134" w:header="709" w:footer="709" w:gutter="0"/>
          <w:cols w:space="720"/>
          <w:titlePg/>
          <w:docGrid w:linePitch="360"/>
        </w:sectPr>
      </w:pPr>
      <w:bookmarkStart w:id="44" w:name="Attachment_D"/>
      <w:bookmarkStart w:id="45" w:name="_Toc493159055"/>
      <w:bookmarkEnd w:id="44"/>
      <w:r>
        <w:t xml:space="preserve">Attachment D: </w:t>
      </w:r>
      <w:r w:rsidR="003A2E03">
        <w:t>Compliance Approach</w:t>
      </w:r>
      <w:bookmarkEnd w:id="45"/>
    </w:p>
    <w:p w14:paraId="502FCA79" w14:textId="77777777" w:rsidR="003A2E03" w:rsidRPr="00DB5349" w:rsidRDefault="003A2E03" w:rsidP="003A2E03">
      <w:pPr>
        <w:pStyle w:val="E3Heading3"/>
      </w:pPr>
      <w:r w:rsidRPr="00DB5349">
        <w:t>Purpose</w:t>
      </w:r>
    </w:p>
    <w:p w14:paraId="00F49CB1" w14:textId="19FD5F99" w:rsidR="003A2E03" w:rsidRPr="00AF3C6C" w:rsidRDefault="00A92D1C" w:rsidP="00AF3C6C">
      <w:pPr>
        <w:pStyle w:val="E3BodyText"/>
      </w:pPr>
      <w:r w:rsidRPr="00806093">
        <w:t xml:space="preserve">This section outlines the Regulator’s compliance approach to ensure models of LED lamps will comply with </w:t>
      </w:r>
      <w:r>
        <w:t>MEPS requirements</w:t>
      </w:r>
      <w:r w:rsidRPr="00806093">
        <w:t xml:space="preserve">.  </w:t>
      </w:r>
      <w:r>
        <w:t xml:space="preserve">The first part of the section applies to Australia only, and discusses the GEMS Regulator and the GEMS Act. In New Zealand, EECA follows a risk led compliance approach that is informed by the </w:t>
      </w:r>
      <w:r w:rsidRPr="000C0448">
        <w:rPr>
          <w:i/>
        </w:rPr>
        <w:t>Energy Efficiency (Energy Using Products) Regulations</w:t>
      </w:r>
      <w:r>
        <w:t xml:space="preserve">. Many of the issues identified below around the need for engagement and education are the same, however the specific powers of the New Zealand Regulator vary. This is discussed </w:t>
      </w:r>
      <w:r w:rsidR="00AF3C6C">
        <w:t>further</w:t>
      </w:r>
      <w:r>
        <w:t xml:space="preserve"> in the last part of Attachment D. </w:t>
      </w:r>
    </w:p>
    <w:p w14:paraId="432BED7F" w14:textId="77777777" w:rsidR="003A2E03" w:rsidRPr="00DB5349" w:rsidRDefault="003A2E03" w:rsidP="003A2E03">
      <w:pPr>
        <w:pStyle w:val="E3Heading3"/>
      </w:pPr>
      <w:r w:rsidRPr="00DB5349">
        <w:t>Background</w:t>
      </w:r>
    </w:p>
    <w:p w14:paraId="2CBD8753" w14:textId="28493FC8" w:rsidR="003A2E03" w:rsidRPr="00AF3C6C" w:rsidRDefault="003A2E03" w:rsidP="00AF3C6C">
      <w:pPr>
        <w:pStyle w:val="E3BodyText"/>
      </w:pPr>
      <w:r w:rsidRPr="00806093">
        <w:t>Whilst not yet regulated, models of LED product are already supplied, offered for supply, or used for commercial purposes in Australia through a range of channels including:</w:t>
      </w:r>
    </w:p>
    <w:p w14:paraId="7DFD4195" w14:textId="77777777" w:rsidR="003A2E03" w:rsidRPr="00806093" w:rsidRDefault="003A2E03" w:rsidP="00AF3C6C">
      <w:pPr>
        <w:pStyle w:val="E3Bullets"/>
      </w:pPr>
      <w:r w:rsidRPr="00806093">
        <w:t xml:space="preserve">wholesalers </w:t>
      </w:r>
    </w:p>
    <w:p w14:paraId="77C9E770" w14:textId="77777777" w:rsidR="003A2E03" w:rsidRPr="00806093" w:rsidRDefault="003A2E03" w:rsidP="00AF3C6C">
      <w:pPr>
        <w:pStyle w:val="E3Bullets"/>
      </w:pPr>
      <w:r w:rsidRPr="00806093">
        <w:t xml:space="preserve">retailers </w:t>
      </w:r>
    </w:p>
    <w:p w14:paraId="17C0ACB3" w14:textId="77777777" w:rsidR="003A2E03" w:rsidRPr="00806093" w:rsidRDefault="003A2E03" w:rsidP="00AF3C6C">
      <w:pPr>
        <w:pStyle w:val="E3Bullets"/>
      </w:pPr>
      <w:r w:rsidRPr="00806093">
        <w:t>tradespersons importing and installing</w:t>
      </w:r>
    </w:p>
    <w:p w14:paraId="55AE0FFD" w14:textId="77777777" w:rsidR="003A2E03" w:rsidRPr="00806093" w:rsidRDefault="003A2E03" w:rsidP="00AF3C6C">
      <w:pPr>
        <w:pStyle w:val="E3Bullets"/>
        <w:numPr>
          <w:ilvl w:val="1"/>
          <w:numId w:val="3"/>
        </w:numPr>
      </w:pPr>
      <w:r w:rsidRPr="00806093">
        <w:t xml:space="preserve">for example; builders, electrical contractors, etc. </w:t>
      </w:r>
    </w:p>
    <w:p w14:paraId="11A84942" w14:textId="77777777" w:rsidR="003A2E03" w:rsidRPr="00806093" w:rsidRDefault="003A2E03" w:rsidP="00AF3C6C">
      <w:pPr>
        <w:pStyle w:val="E3Bullets"/>
      </w:pPr>
      <w:r w:rsidRPr="00806093">
        <w:t>commercial users importing or manufacturing for use in their own business</w:t>
      </w:r>
    </w:p>
    <w:p w14:paraId="000F357C" w14:textId="77777777" w:rsidR="003A2E03" w:rsidRPr="00806093" w:rsidRDefault="003A2E03" w:rsidP="00AF3C6C">
      <w:pPr>
        <w:pStyle w:val="E3Bullets"/>
        <w:numPr>
          <w:ilvl w:val="1"/>
          <w:numId w:val="3"/>
        </w:numPr>
      </w:pPr>
      <w:r w:rsidRPr="00806093">
        <w:t>for example; mining entities undertaking fitouts of worker accommodation</w:t>
      </w:r>
    </w:p>
    <w:p w14:paraId="681DAF6F" w14:textId="77777777" w:rsidR="003A2E03" w:rsidRPr="00806093" w:rsidRDefault="003A2E03" w:rsidP="00AF3C6C">
      <w:pPr>
        <w:pStyle w:val="E3BodyText"/>
      </w:pPr>
      <w:r w:rsidRPr="00806093">
        <w:t>Available models are often quickly replaced or updated, usually within a 6 to 12 month period.</w:t>
      </w:r>
    </w:p>
    <w:p w14:paraId="11815B1D" w14:textId="77777777" w:rsidR="003A2E03" w:rsidRPr="00806093" w:rsidRDefault="003A2E03" w:rsidP="00AF3C6C">
      <w:pPr>
        <w:pStyle w:val="E3BodyText"/>
      </w:pPr>
      <w:r w:rsidRPr="00806093">
        <w:t>The diversity of supply channels and rapid turnover of models require an agile and multi-faceted approach to compliance in order to discourage or remove non-compliant models from the market in a timely manner.</w:t>
      </w:r>
    </w:p>
    <w:p w14:paraId="1A02C812" w14:textId="77777777" w:rsidR="003A2E03" w:rsidRPr="00DB5349" w:rsidRDefault="003A2E03" w:rsidP="003A2E03">
      <w:pPr>
        <w:pStyle w:val="E3Heading3"/>
      </w:pPr>
      <w:r w:rsidRPr="00DB5349">
        <w:t>The Approach</w:t>
      </w:r>
    </w:p>
    <w:p w14:paraId="69C8EAD2" w14:textId="1381FAF3" w:rsidR="003A2E03" w:rsidRPr="00AF3C6C" w:rsidRDefault="003A2E03" w:rsidP="00AF3C6C">
      <w:pPr>
        <w:pStyle w:val="E3BodyText"/>
      </w:pPr>
      <w:r w:rsidRPr="00806093">
        <w:t>The GEMS Regulator is committed to:</w:t>
      </w:r>
    </w:p>
    <w:p w14:paraId="5BE57C4A" w14:textId="77777777" w:rsidR="003A2E03" w:rsidRPr="00806093" w:rsidRDefault="003A2E03" w:rsidP="00AF3C6C">
      <w:pPr>
        <w:pStyle w:val="E3Bullets"/>
      </w:pPr>
      <w:r w:rsidRPr="00806093">
        <w:t>assisting responsible parties understand the requirements of the GEMS Act</w:t>
      </w:r>
    </w:p>
    <w:p w14:paraId="0DDE0258" w14:textId="77777777" w:rsidR="003A2E03" w:rsidRPr="00806093" w:rsidRDefault="003A2E03" w:rsidP="00AF3C6C">
      <w:pPr>
        <w:pStyle w:val="E3Bullets"/>
      </w:pPr>
      <w:r w:rsidRPr="00806093">
        <w:t>monitoring responsible parties’ compliance with the requirements</w:t>
      </w:r>
    </w:p>
    <w:p w14:paraId="190CAD2F" w14:textId="77777777" w:rsidR="003A2E03" w:rsidRPr="00806093" w:rsidRDefault="003A2E03" w:rsidP="00AF3C6C">
      <w:pPr>
        <w:pStyle w:val="E3Bullets"/>
      </w:pPr>
      <w:r w:rsidRPr="00806093">
        <w:t>actively pursuing those who opportunistically or deliberately contravene the Act</w:t>
      </w:r>
    </w:p>
    <w:p w14:paraId="165C94EE" w14:textId="77777777" w:rsidR="003A2E03" w:rsidRPr="00806093" w:rsidRDefault="003A2E03" w:rsidP="003A2E03">
      <w:pPr>
        <w:spacing w:after="0" w:line="240" w:lineRule="auto"/>
        <w:rPr>
          <w:rFonts w:ascii="Calibri" w:hAnsi="Calibri" w:cs="Arial"/>
          <w:sz w:val="24"/>
        </w:rPr>
      </w:pPr>
    </w:p>
    <w:p w14:paraId="78CA326B" w14:textId="77777777" w:rsidR="003A2E03" w:rsidRPr="00806093" w:rsidRDefault="003A2E03" w:rsidP="003A2E03">
      <w:pPr>
        <w:pStyle w:val="E3Heading4"/>
      </w:pPr>
      <w:r w:rsidRPr="00806093">
        <w:t>Identifying Potential Suppliers</w:t>
      </w:r>
    </w:p>
    <w:p w14:paraId="2E2A6269" w14:textId="3761C44F" w:rsidR="003A2E03" w:rsidRPr="00806093" w:rsidRDefault="003A2E03" w:rsidP="00AF3C6C">
      <w:pPr>
        <w:pStyle w:val="E3BodyText"/>
      </w:pPr>
      <w:r w:rsidRPr="00806093">
        <w:t>In the lead up to, and after, the implementation of LED product requirements, GEMS inspectors will conduct environmental scans to identify potential suppliers and commercial users via avenues such as:</w:t>
      </w:r>
      <w:r w:rsidR="005A2E86">
        <w:t xml:space="preserve">  </w:t>
      </w:r>
    </w:p>
    <w:p w14:paraId="2B0E11B7" w14:textId="77777777" w:rsidR="003A2E03" w:rsidRPr="00806093" w:rsidRDefault="003A2E03" w:rsidP="00AF3C6C">
      <w:pPr>
        <w:pStyle w:val="E3Bullets"/>
      </w:pPr>
      <w:r w:rsidRPr="00806093">
        <w:t>the collection and analysis of import data</w:t>
      </w:r>
    </w:p>
    <w:p w14:paraId="55CA5C77" w14:textId="77777777" w:rsidR="003A2E03" w:rsidRPr="00806093" w:rsidRDefault="003A2E03" w:rsidP="00AF3C6C">
      <w:pPr>
        <w:pStyle w:val="E3Bullets"/>
        <w:numPr>
          <w:ilvl w:val="1"/>
          <w:numId w:val="3"/>
        </w:numPr>
      </w:pPr>
      <w:r w:rsidRPr="00806093">
        <w:t>LED tariff codes are now in place and analysis has commenced on the first LED product suppliers report</w:t>
      </w:r>
    </w:p>
    <w:p w14:paraId="4F4A29E8" w14:textId="77777777" w:rsidR="003A2E03" w:rsidRPr="00806093" w:rsidRDefault="003A2E03" w:rsidP="00AF3C6C">
      <w:pPr>
        <w:pStyle w:val="E3Bullets"/>
      </w:pPr>
      <w:r w:rsidRPr="00806093">
        <w:t>collaboration with peak industry bodies</w:t>
      </w:r>
    </w:p>
    <w:p w14:paraId="6B36799A" w14:textId="77777777" w:rsidR="003A2E03" w:rsidRPr="00806093" w:rsidRDefault="003A2E03" w:rsidP="00AF3C6C">
      <w:pPr>
        <w:pStyle w:val="E3Bullets"/>
        <w:numPr>
          <w:ilvl w:val="1"/>
          <w:numId w:val="3"/>
        </w:numPr>
      </w:pPr>
      <w:r w:rsidRPr="00806093">
        <w:t>for example, NECA, and other trade channels</w:t>
      </w:r>
    </w:p>
    <w:p w14:paraId="23E3FE5C" w14:textId="77777777" w:rsidR="003A2E03" w:rsidRPr="00806093" w:rsidRDefault="003A2E03" w:rsidP="00AF3C6C">
      <w:pPr>
        <w:pStyle w:val="E3Bullets"/>
      </w:pPr>
      <w:r w:rsidRPr="00806093">
        <w:t>information and data provided by the likes of the Lighting Council Australia, Electrical Regulatory Authorities Council, and others</w:t>
      </w:r>
    </w:p>
    <w:p w14:paraId="7CA1DB2C" w14:textId="77777777" w:rsidR="003A2E03" w:rsidRPr="00806093" w:rsidRDefault="003A2E03" w:rsidP="00AF3C6C">
      <w:pPr>
        <w:pStyle w:val="E3Bullets"/>
      </w:pPr>
      <w:r w:rsidRPr="00806093">
        <w:t xml:space="preserve">online and on site market surveillance </w:t>
      </w:r>
    </w:p>
    <w:p w14:paraId="68621953" w14:textId="77777777" w:rsidR="003A2E03" w:rsidRPr="00806093" w:rsidRDefault="003A2E03" w:rsidP="00AF3C6C">
      <w:pPr>
        <w:pStyle w:val="E3Bullets"/>
        <w:numPr>
          <w:ilvl w:val="1"/>
          <w:numId w:val="3"/>
        </w:numPr>
      </w:pPr>
      <w:r w:rsidRPr="00806093">
        <w:t>LED product included in the 2017/2018 GEMS Inspector Market Surveillance Program</w:t>
      </w:r>
    </w:p>
    <w:p w14:paraId="16726630" w14:textId="77777777" w:rsidR="003A2E03" w:rsidRPr="00806093" w:rsidRDefault="003A2E03" w:rsidP="003A2E03">
      <w:pPr>
        <w:spacing w:after="0" w:line="240" w:lineRule="auto"/>
        <w:rPr>
          <w:rFonts w:ascii="Calibri" w:hAnsi="Calibri" w:cs="Arial"/>
          <w:sz w:val="24"/>
        </w:rPr>
      </w:pPr>
    </w:p>
    <w:p w14:paraId="3DC6FB88" w14:textId="77777777" w:rsidR="003A2E03" w:rsidRPr="00806093" w:rsidRDefault="003A2E03" w:rsidP="003A2E03">
      <w:pPr>
        <w:pStyle w:val="E3Heading4"/>
      </w:pPr>
      <w:r w:rsidRPr="00806093">
        <w:t>Engaging and Educating</w:t>
      </w:r>
    </w:p>
    <w:p w14:paraId="15AC5DCF" w14:textId="77777777" w:rsidR="003A2E03" w:rsidRPr="00806093" w:rsidRDefault="003A2E03" w:rsidP="00AF3C6C">
      <w:pPr>
        <w:pStyle w:val="E3BodyText"/>
      </w:pPr>
      <w:r w:rsidRPr="00806093">
        <w:t xml:space="preserve">All identified potential suppliers will be engaged, however, using an intelligence led, risk based approach, engagement and education will be initially focused on tradesperson suppliers, specifically individuals or companies directly importing and installing models of LED product into the likes of residential, retail, or commercial buildings, where information suggests the risk of non-compliance is high. </w:t>
      </w:r>
    </w:p>
    <w:p w14:paraId="57FD852C" w14:textId="12DFEB8F" w:rsidR="003A2E03" w:rsidRPr="00806093" w:rsidRDefault="003A2E03" w:rsidP="00AF3C6C">
      <w:pPr>
        <w:pStyle w:val="E3BodyText"/>
        <w:rPr>
          <w:rFonts w:cs="Arial"/>
        </w:rPr>
      </w:pPr>
      <w:r w:rsidRPr="00806093">
        <w:rPr>
          <w:rFonts w:cs="Arial"/>
        </w:rPr>
        <w:t>These, and other suppliers, will be the subject of a communication strategy highlighting GEMS Act requirements, the GEMS Regulator’s compliance monitoring plan, GEMS Act enforcement responses, and the consequences of non-compliance.</w:t>
      </w:r>
      <w:r w:rsidR="005A2E86">
        <w:rPr>
          <w:rFonts w:cs="Arial"/>
        </w:rPr>
        <w:t xml:space="preserve"> Communication avenues include:</w:t>
      </w:r>
    </w:p>
    <w:p w14:paraId="33EABDE1" w14:textId="77777777" w:rsidR="003A2E03" w:rsidRPr="00806093" w:rsidRDefault="003A2E03" w:rsidP="005A2E86">
      <w:pPr>
        <w:pStyle w:val="E3Bullets"/>
      </w:pPr>
      <w:r w:rsidRPr="00806093">
        <w:t>LED product tariff code alert messages</w:t>
      </w:r>
    </w:p>
    <w:p w14:paraId="4F8332DC" w14:textId="77777777" w:rsidR="003A2E03" w:rsidRPr="00806093" w:rsidRDefault="003A2E03" w:rsidP="005A2E86">
      <w:pPr>
        <w:pStyle w:val="E3Bullets"/>
      </w:pPr>
      <w:r w:rsidRPr="00806093">
        <w:t xml:space="preserve">email campaign direct to LED product importers </w:t>
      </w:r>
    </w:p>
    <w:p w14:paraId="7742FEC1" w14:textId="77777777" w:rsidR="003A2E03" w:rsidRPr="00806093" w:rsidRDefault="003A2E03" w:rsidP="005A2E86">
      <w:pPr>
        <w:pStyle w:val="E3Bullets"/>
      </w:pPr>
      <w:r w:rsidRPr="00806093">
        <w:t>email campaign to LED product retailers</w:t>
      </w:r>
    </w:p>
    <w:p w14:paraId="60343456" w14:textId="77777777" w:rsidR="003A2E03" w:rsidRPr="00806093" w:rsidRDefault="003A2E03" w:rsidP="005A2E86">
      <w:pPr>
        <w:pStyle w:val="E3Bullets"/>
      </w:pPr>
      <w:r w:rsidRPr="00806093">
        <w:t>email campaign to lighting suppliers already registered under the GEMS Act</w:t>
      </w:r>
    </w:p>
    <w:p w14:paraId="4DC8BBC1" w14:textId="77777777" w:rsidR="003A2E03" w:rsidRPr="00806093" w:rsidRDefault="003A2E03" w:rsidP="005A2E86">
      <w:pPr>
        <w:pStyle w:val="E3Bullets"/>
      </w:pPr>
      <w:r w:rsidRPr="00806093">
        <w:t>lighting, electrical, trade, and construction peak industry bodies</w:t>
      </w:r>
    </w:p>
    <w:p w14:paraId="28D7C643" w14:textId="77777777" w:rsidR="003A2E03" w:rsidRPr="00806093" w:rsidRDefault="003A2E03" w:rsidP="005A2E86">
      <w:pPr>
        <w:pStyle w:val="E3Bullets"/>
      </w:pPr>
      <w:r w:rsidRPr="00806093">
        <w:t>energyrating.gov.au</w:t>
      </w:r>
    </w:p>
    <w:p w14:paraId="78DDC86F" w14:textId="77777777" w:rsidR="003A2E03" w:rsidRPr="00806093" w:rsidRDefault="003A2E03" w:rsidP="003A2E03">
      <w:pPr>
        <w:spacing w:after="0" w:line="240" w:lineRule="auto"/>
        <w:rPr>
          <w:rFonts w:ascii="Calibri" w:hAnsi="Calibri" w:cs="Arial"/>
          <w:sz w:val="24"/>
        </w:rPr>
      </w:pPr>
    </w:p>
    <w:p w14:paraId="6F5F5131" w14:textId="77777777" w:rsidR="003A2E03" w:rsidRPr="00806093" w:rsidRDefault="003A2E03" w:rsidP="003A2E03">
      <w:pPr>
        <w:pStyle w:val="E3Heading4"/>
      </w:pPr>
      <w:r>
        <w:t>Monitoring Compliance w</w:t>
      </w:r>
      <w:r w:rsidRPr="00806093">
        <w:t>ith the Requirements</w:t>
      </w:r>
    </w:p>
    <w:p w14:paraId="36BAC335" w14:textId="77777777" w:rsidR="003A2E03" w:rsidRPr="00806093" w:rsidRDefault="003A2E03" w:rsidP="005D0A94">
      <w:pPr>
        <w:pStyle w:val="E3BodyText"/>
      </w:pPr>
      <w:r w:rsidRPr="00806093">
        <w:t>After the implementation of LED product requirements the GEMS Regulator will monitor compliance via:</w:t>
      </w:r>
    </w:p>
    <w:p w14:paraId="5C12EA27" w14:textId="77777777" w:rsidR="003A2E03" w:rsidRPr="005D0A94" w:rsidRDefault="003A2E03" w:rsidP="003A2E03">
      <w:pPr>
        <w:pStyle w:val="E3InternalCoverPage"/>
        <w:ind w:left="0"/>
        <w:rPr>
          <w:rFonts w:ascii="Calibri" w:hAnsi="Calibri"/>
          <w:color w:val="FF0000"/>
          <w:sz w:val="24"/>
          <w:lang w:val="en-US"/>
        </w:rPr>
      </w:pPr>
      <w:r w:rsidRPr="005D0A94">
        <w:rPr>
          <w:rFonts w:ascii="Calibri" w:hAnsi="Calibri"/>
          <w:color w:val="FF0000"/>
          <w:sz w:val="24"/>
          <w:lang w:val="en-US"/>
        </w:rPr>
        <w:t>GEMS Inspector Market Surveillance</w:t>
      </w:r>
    </w:p>
    <w:p w14:paraId="5CADC1A4" w14:textId="77777777" w:rsidR="003A2E03" w:rsidRPr="00806093" w:rsidRDefault="003A2E03" w:rsidP="005D0A94">
      <w:pPr>
        <w:pStyle w:val="E3BodyText"/>
      </w:pPr>
      <w:r w:rsidRPr="00806093">
        <w:t xml:space="preserve">GEMS inspectors will conduct market surveillance both online and on site to determine if models of LED product are registered and meet GEMS labelling requirements. Given the rapid turnover of models, the focus on registration and labelling compliance allows the GEMS Regulator to more immediately identify non-compliant models and quickly implement appropriate enforcement responses. </w:t>
      </w:r>
    </w:p>
    <w:p w14:paraId="10EAAADD" w14:textId="77777777" w:rsidR="003A2E03" w:rsidRPr="00806093" w:rsidRDefault="003A2E03" w:rsidP="003A2E03">
      <w:pPr>
        <w:spacing w:after="0" w:line="240" w:lineRule="auto"/>
        <w:rPr>
          <w:rFonts w:ascii="Calibri" w:hAnsi="Calibri" w:cs="Arial"/>
          <w:sz w:val="24"/>
        </w:rPr>
      </w:pPr>
    </w:p>
    <w:p w14:paraId="15A9A48C" w14:textId="77777777" w:rsidR="003A2E03" w:rsidRPr="005D0A94" w:rsidRDefault="003A2E03" w:rsidP="005D0A94">
      <w:pPr>
        <w:pStyle w:val="E3InternalCoverPage"/>
        <w:ind w:left="0"/>
        <w:rPr>
          <w:rFonts w:ascii="Calibri" w:hAnsi="Calibri"/>
          <w:color w:val="FF0000"/>
          <w:sz w:val="24"/>
          <w:lang w:val="en-US"/>
        </w:rPr>
      </w:pPr>
      <w:r w:rsidRPr="005D0A94">
        <w:rPr>
          <w:rFonts w:ascii="Calibri" w:hAnsi="Calibri"/>
          <w:color w:val="FF0000"/>
          <w:sz w:val="24"/>
          <w:lang w:val="en-US"/>
        </w:rPr>
        <w:t>GEMS Inspector Powers</w:t>
      </w:r>
    </w:p>
    <w:p w14:paraId="152A2F7E" w14:textId="4666F5A7" w:rsidR="003A2E03" w:rsidRPr="00806093" w:rsidRDefault="003A2E03" w:rsidP="005D0A94">
      <w:pPr>
        <w:pStyle w:val="E3BodyText"/>
      </w:pPr>
      <w:r w:rsidRPr="00806093">
        <w:t xml:space="preserve">The GEMS </w:t>
      </w:r>
      <w:r w:rsidR="005D0A94">
        <w:t xml:space="preserve">Act allows GEMS inspectors to: </w:t>
      </w:r>
    </w:p>
    <w:p w14:paraId="0E6CA3D5" w14:textId="77777777" w:rsidR="003A2E03" w:rsidRPr="00806093" w:rsidRDefault="003A2E03" w:rsidP="005D0A94">
      <w:pPr>
        <w:pStyle w:val="E3Bullets"/>
      </w:pPr>
      <w:r w:rsidRPr="00806093">
        <w:t xml:space="preserve">inspect public areas of GEMS business premises via consent </w:t>
      </w:r>
    </w:p>
    <w:p w14:paraId="3EE17F93" w14:textId="032B94C3" w:rsidR="003A2E03" w:rsidRPr="00806093" w:rsidRDefault="003A2E03" w:rsidP="005D0A94">
      <w:pPr>
        <w:pStyle w:val="E3Bullets"/>
        <w:numPr>
          <w:ilvl w:val="1"/>
          <w:numId w:val="3"/>
        </w:numPr>
      </w:pPr>
      <w:r w:rsidRPr="00806093">
        <w:t>includes the powers to inspect products, purchase products, and inspect or collect written information</w:t>
      </w:r>
    </w:p>
    <w:p w14:paraId="6BE80909" w14:textId="77777777" w:rsidR="003A2E03" w:rsidRPr="00806093" w:rsidRDefault="003A2E03" w:rsidP="005D0A94">
      <w:pPr>
        <w:pStyle w:val="E3Bullets"/>
      </w:pPr>
      <w:r w:rsidRPr="00806093">
        <w:t>enter any premises and exercise monitoring powers, via consent or warrant</w:t>
      </w:r>
    </w:p>
    <w:p w14:paraId="4BFE20B5" w14:textId="24BEDFCF" w:rsidR="003A2E03" w:rsidRPr="00806093" w:rsidRDefault="003A2E03" w:rsidP="005D0A94">
      <w:pPr>
        <w:pStyle w:val="E3Bullets"/>
        <w:numPr>
          <w:ilvl w:val="1"/>
          <w:numId w:val="3"/>
        </w:numPr>
      </w:pPr>
      <w:r w:rsidRPr="00806093">
        <w:t xml:space="preserve">includes the powers to search, examine, take measurements, photograph, inspect documents, make copies </w:t>
      </w:r>
    </w:p>
    <w:p w14:paraId="6F398D87" w14:textId="77777777" w:rsidR="003A2E03" w:rsidRPr="00806093" w:rsidRDefault="003A2E03" w:rsidP="005D0A94">
      <w:pPr>
        <w:pStyle w:val="E3Bullets"/>
      </w:pPr>
      <w:r w:rsidRPr="00806093">
        <w:t>enter any premises and exercise investigation powers, via consent or warrant</w:t>
      </w:r>
    </w:p>
    <w:p w14:paraId="0DF762B7" w14:textId="77777777" w:rsidR="003A2E03" w:rsidRPr="00806093" w:rsidRDefault="003A2E03" w:rsidP="005D0A94">
      <w:pPr>
        <w:pStyle w:val="E3Bullets"/>
        <w:numPr>
          <w:ilvl w:val="1"/>
          <w:numId w:val="3"/>
        </w:numPr>
      </w:pPr>
      <w:r w:rsidRPr="00806093">
        <w:t>in addition to the powers mentioned above, includes the powers to search (under consent and warrant) and seize evidence (under warrant only)</w:t>
      </w:r>
    </w:p>
    <w:p w14:paraId="27986ACC" w14:textId="77777777" w:rsidR="003A2E03" w:rsidRPr="00806093" w:rsidRDefault="003A2E03" w:rsidP="005D0A94">
      <w:pPr>
        <w:pStyle w:val="E3BodyText"/>
      </w:pPr>
      <w:r w:rsidRPr="00806093">
        <w:t>Most often, GEMS inspectors use the inspection/monitoring powers via consent. Where access has been refused, communication with supplier management resolves most issues. If access is refused, and cannot be obtained via communication, GEMS inspectors may apply to the courts for monitoring or investigations warrants granting access.</w:t>
      </w:r>
    </w:p>
    <w:p w14:paraId="1AC702FE" w14:textId="77777777" w:rsidR="003A2E03" w:rsidRPr="00806093" w:rsidRDefault="003A2E03" w:rsidP="005A2E86">
      <w:pPr>
        <w:pStyle w:val="E3BodyText"/>
      </w:pPr>
      <w:r w:rsidRPr="00806093">
        <w:t xml:space="preserve">The GEMS Act also empowers: </w:t>
      </w:r>
    </w:p>
    <w:p w14:paraId="779A3129" w14:textId="77777777" w:rsidR="003A2E03" w:rsidRPr="00806093" w:rsidRDefault="003A2E03" w:rsidP="005A2E86">
      <w:pPr>
        <w:pStyle w:val="E3Bullets"/>
      </w:pPr>
      <w:r w:rsidRPr="00806093">
        <w:t>GEMS inspectors to ask questions and seek production of documents</w:t>
      </w:r>
    </w:p>
    <w:p w14:paraId="715CD7B8" w14:textId="77777777" w:rsidR="003A2E03" w:rsidRPr="00806093" w:rsidRDefault="003A2E03" w:rsidP="005A2E86">
      <w:pPr>
        <w:pStyle w:val="E3Bullets"/>
      </w:pPr>
      <w:r w:rsidRPr="00806093">
        <w:t>the GEMS Regulator to require a person to provide information</w:t>
      </w:r>
    </w:p>
    <w:p w14:paraId="11CCA85B" w14:textId="77777777" w:rsidR="003A2E03" w:rsidRPr="00806093" w:rsidRDefault="003A2E03" w:rsidP="005A2E86">
      <w:pPr>
        <w:pStyle w:val="E3Bullets"/>
      </w:pPr>
      <w:r w:rsidRPr="00806093">
        <w:t>the GEMS Regulator to require a person to appear before a GEMS inspector</w:t>
      </w:r>
    </w:p>
    <w:p w14:paraId="4617807A" w14:textId="77777777" w:rsidR="003A2E03" w:rsidRPr="00806093" w:rsidRDefault="003A2E03" w:rsidP="005A2E86">
      <w:pPr>
        <w:pStyle w:val="E3BodyText"/>
      </w:pPr>
      <w:r w:rsidRPr="00806093">
        <w:t>Failure to comply may result in a contravention of the GEMS Act.</w:t>
      </w:r>
    </w:p>
    <w:p w14:paraId="0EA89C78" w14:textId="77777777" w:rsidR="003A2E03" w:rsidRPr="00806093" w:rsidRDefault="003A2E03" w:rsidP="003A2E03">
      <w:pPr>
        <w:spacing w:after="0" w:line="240" w:lineRule="auto"/>
        <w:rPr>
          <w:rFonts w:ascii="Calibri" w:hAnsi="Calibri" w:cs="Arial"/>
          <w:sz w:val="24"/>
        </w:rPr>
      </w:pPr>
    </w:p>
    <w:p w14:paraId="75875A64" w14:textId="77777777" w:rsidR="003A2E03" w:rsidRPr="005D0A94" w:rsidRDefault="003A2E03" w:rsidP="005D0A94">
      <w:pPr>
        <w:pStyle w:val="E3InternalCoverPage"/>
        <w:ind w:left="0"/>
        <w:rPr>
          <w:rFonts w:ascii="Calibri" w:hAnsi="Calibri"/>
          <w:color w:val="FF0000"/>
          <w:sz w:val="24"/>
          <w:lang w:val="en-US"/>
        </w:rPr>
      </w:pPr>
      <w:r w:rsidRPr="005D0A94">
        <w:rPr>
          <w:rFonts w:ascii="Calibri" w:hAnsi="Calibri"/>
          <w:color w:val="FF0000"/>
          <w:sz w:val="24"/>
          <w:lang w:val="en-US"/>
        </w:rPr>
        <w:t>Suppliers</w:t>
      </w:r>
    </w:p>
    <w:p w14:paraId="64A3B45F" w14:textId="77777777" w:rsidR="003A2E03" w:rsidRPr="00806093" w:rsidRDefault="003A2E03" w:rsidP="005A2E86">
      <w:pPr>
        <w:pStyle w:val="E3BodyText"/>
      </w:pPr>
      <w:r w:rsidRPr="00806093">
        <w:t xml:space="preserve">Importing or manufacturing models of non-compliant LED product does not contravene the GEMS Act; there must be a supply, offer to supply, or commercial use of these models in Australia. Given that, most models of LED product are imported by the likes of: </w:t>
      </w:r>
    </w:p>
    <w:p w14:paraId="2B222100" w14:textId="77777777" w:rsidR="003A2E03" w:rsidRPr="00806093" w:rsidRDefault="003A2E03" w:rsidP="005A2E86">
      <w:pPr>
        <w:pStyle w:val="E3Bullets"/>
      </w:pPr>
      <w:r w:rsidRPr="00806093">
        <w:t>wholesalers who supply to the general public, retailers, tradespersons, or contractors</w:t>
      </w:r>
    </w:p>
    <w:p w14:paraId="5758BDF6" w14:textId="77777777" w:rsidR="003A2E03" w:rsidRPr="00806093" w:rsidRDefault="003A2E03" w:rsidP="005A2E86">
      <w:pPr>
        <w:pStyle w:val="E3Bullets"/>
      </w:pPr>
      <w:r w:rsidRPr="00806093">
        <w:t>tradespersons who first supply and then install as part of their trades services</w:t>
      </w:r>
    </w:p>
    <w:p w14:paraId="027C72B8" w14:textId="77777777" w:rsidR="003A2E03" w:rsidRPr="00806093" w:rsidRDefault="003A2E03" w:rsidP="005A2E86">
      <w:pPr>
        <w:pStyle w:val="E3Bullets"/>
      </w:pPr>
      <w:r w:rsidRPr="00806093">
        <w:t>retailers who supply to the general public, tradespersons, or contractors</w:t>
      </w:r>
    </w:p>
    <w:p w14:paraId="52FE627C" w14:textId="77777777" w:rsidR="003A2E03" w:rsidRPr="00806093" w:rsidRDefault="003A2E03" w:rsidP="005A2E86">
      <w:pPr>
        <w:pStyle w:val="E3BodyText"/>
      </w:pPr>
      <w:r w:rsidRPr="00806093">
        <w:t>GEMS inspectors will use GEMS inspector powers to inspect, monitor, and investigate any premises where models of LED product may be supplied; for example, importer or wholesaler warehouses, tradesperson shop fronts, or retail stores.</w:t>
      </w:r>
    </w:p>
    <w:p w14:paraId="618FE649" w14:textId="281FEA3F" w:rsidR="003A2E03" w:rsidRPr="00806093" w:rsidRDefault="003A2E03" w:rsidP="005A2E86">
      <w:pPr>
        <w:pStyle w:val="E3BodyText"/>
      </w:pPr>
      <w:r w:rsidRPr="00806093">
        <w:t xml:space="preserve">In relation to residential, retail, or commercial buildings under construction or recently completed, where models of non-compliant LED product may be installed, GEMS inspectors will use GEMS inspector powers to enter via consent, or if necessary, via warrant. There is no GEMS Act provision for a person to give a product of a model to the GEMS Regulator to determine GEMS registration or labelling requirements. In these circumstances, GEMS inspectors may collect written information, take photographs, purchase a product or, if appropriate, seize one under an investigations warrant.  </w:t>
      </w:r>
    </w:p>
    <w:p w14:paraId="03C58C0E" w14:textId="681F8C77" w:rsidR="00AE36E1" w:rsidRPr="005A2E86" w:rsidRDefault="003A2E03" w:rsidP="005A2E86">
      <w:pPr>
        <w:pStyle w:val="E3BodyText"/>
        <w:rPr>
          <w:rFonts w:eastAsia="Cambria"/>
          <w:lang w:val="en-AU"/>
        </w:rPr>
      </w:pPr>
      <w:r w:rsidRPr="00806093">
        <w:t>Market surveillance also includes the ongoing collection and analysis of import data to identify new suppliers and will also assist with the selection of models of LED product for check testing</w:t>
      </w:r>
      <w:r w:rsidR="005A2E86">
        <w:t>.</w:t>
      </w:r>
    </w:p>
    <w:p w14:paraId="69873500" w14:textId="77777777" w:rsidR="003A2E03" w:rsidRPr="005D0A94" w:rsidRDefault="003A2E03" w:rsidP="005D0A94">
      <w:pPr>
        <w:pStyle w:val="E3InternalCoverPage"/>
        <w:ind w:left="0"/>
        <w:rPr>
          <w:rFonts w:ascii="Calibri" w:hAnsi="Calibri"/>
          <w:color w:val="FF0000"/>
          <w:sz w:val="24"/>
          <w:lang w:val="en-US"/>
        </w:rPr>
      </w:pPr>
      <w:r w:rsidRPr="005D0A94">
        <w:rPr>
          <w:rFonts w:ascii="Calibri" w:hAnsi="Calibri"/>
          <w:color w:val="FF0000"/>
          <w:sz w:val="24"/>
          <w:lang w:val="en-US"/>
        </w:rPr>
        <w:t>Check Testing</w:t>
      </w:r>
    </w:p>
    <w:p w14:paraId="03093FB5" w14:textId="77777777" w:rsidR="003A2E03" w:rsidRPr="00806093" w:rsidRDefault="003A2E03" w:rsidP="005A2E86">
      <w:pPr>
        <w:pStyle w:val="E3BodyText"/>
      </w:pPr>
      <w:r w:rsidRPr="00806093">
        <w:t xml:space="preserve">Check testing is undertaken to ensure models of LED product meet GEMS level (MEPS) requirements, with models selected using an intelligence led, risk based approach. </w:t>
      </w:r>
    </w:p>
    <w:p w14:paraId="1987DCE5" w14:textId="77777777" w:rsidR="003A2E03" w:rsidRPr="00806093" w:rsidRDefault="003A2E03" w:rsidP="005A2E86">
      <w:pPr>
        <w:pStyle w:val="E3BodyText"/>
      </w:pPr>
      <w:r w:rsidRPr="00806093">
        <w:t xml:space="preserve">In order to ensure products selected are representative of the models registered with the GEMS Regulator, the Regulator, where possible, sources products anonymously and directly from the market. The GEMS Regulator may also require a registrant to give a product to a GEMS inspector. However, this does not apply if the model is not registered and the person is not a registrant. In these circumstances, the GEMS Regulator may purchase a product from the market or, if appropriate, seize one under an investigations warrant.  </w:t>
      </w:r>
    </w:p>
    <w:p w14:paraId="73801B11" w14:textId="77777777" w:rsidR="003A2E03" w:rsidRPr="00806093" w:rsidRDefault="003A2E03" w:rsidP="005A2E86">
      <w:pPr>
        <w:pStyle w:val="E3BodyText"/>
      </w:pPr>
      <w:r w:rsidRPr="00806093">
        <w:t>Traditionally, lighting product check testing has been a lengthy process. Given the rapid turnover of models of LED product in the market, the GEMS Regulator acknowledges a more streamlined process is required to identify and respond to models suspected of being unable to meet MEPS. As such, check testing processes and MEPS requirements are being reviewed to ensure a balance between the integrity of the check test and LED product shelf life. However, if a model of LED product is no longer supplied when check test results are known, the GEMS Regulator still has the enforcement options listed in paragraph 2.4 available.</w:t>
      </w:r>
    </w:p>
    <w:p w14:paraId="149B4474" w14:textId="77777777" w:rsidR="003A2E03" w:rsidRPr="00806093" w:rsidRDefault="003A2E03" w:rsidP="003A2E03">
      <w:pPr>
        <w:spacing w:after="0" w:line="240" w:lineRule="auto"/>
        <w:rPr>
          <w:rFonts w:ascii="Calibri" w:hAnsi="Calibri" w:cs="Arial"/>
          <w:sz w:val="24"/>
        </w:rPr>
      </w:pPr>
    </w:p>
    <w:p w14:paraId="239DD190" w14:textId="77777777" w:rsidR="003A2E03" w:rsidRPr="005D0A94" w:rsidRDefault="003A2E03" w:rsidP="005D0A94">
      <w:pPr>
        <w:pStyle w:val="E3InternalCoverPage"/>
        <w:ind w:left="0"/>
        <w:rPr>
          <w:rFonts w:ascii="Calibri" w:hAnsi="Calibri"/>
          <w:color w:val="FF0000"/>
          <w:sz w:val="24"/>
          <w:lang w:val="en-US"/>
        </w:rPr>
      </w:pPr>
      <w:r w:rsidRPr="005D0A94">
        <w:rPr>
          <w:rFonts w:ascii="Calibri" w:hAnsi="Calibri"/>
          <w:color w:val="FF0000"/>
          <w:sz w:val="24"/>
          <w:lang w:val="en-US"/>
        </w:rPr>
        <w:t>The Receipt of Allegations of Suspected Non-compliance</w:t>
      </w:r>
    </w:p>
    <w:p w14:paraId="787D365C" w14:textId="3FE228DE" w:rsidR="003A2E03" w:rsidRPr="005A2E86" w:rsidRDefault="003A2E03" w:rsidP="005A2E86">
      <w:pPr>
        <w:pStyle w:val="E3BodyText"/>
      </w:pPr>
      <w:r w:rsidRPr="005A2E86">
        <w:t xml:space="preserve">Allegations of suspected non-compliance may be sent to </w:t>
      </w:r>
      <w:hyperlink r:id="rId34" w:history="1">
        <w:r w:rsidRPr="005A2E86">
          <w:rPr>
            <w:rStyle w:val="Hyperlink"/>
            <w:color w:val="auto"/>
            <w:u w:val="none"/>
          </w:rPr>
          <w:t>E3.Compliance@environment.gov.au</w:t>
        </w:r>
      </w:hyperlink>
      <w:r w:rsidRPr="005A2E86">
        <w:t xml:space="preserve"> where they will be assessed, and if appropriate, investigated.</w:t>
      </w:r>
    </w:p>
    <w:p w14:paraId="769B5856" w14:textId="77777777" w:rsidR="003A2E03" w:rsidRPr="00806093" w:rsidRDefault="003A2E03" w:rsidP="003A2E03">
      <w:pPr>
        <w:spacing w:after="0" w:line="240" w:lineRule="auto"/>
        <w:rPr>
          <w:rFonts w:ascii="Calibri" w:hAnsi="Calibri" w:cs="Arial"/>
          <w:sz w:val="24"/>
        </w:rPr>
      </w:pPr>
    </w:p>
    <w:p w14:paraId="4098D141" w14:textId="77777777" w:rsidR="003A2E03" w:rsidRPr="00806093" w:rsidRDefault="003A2E03" w:rsidP="003A2E03">
      <w:pPr>
        <w:pStyle w:val="E3Heading4"/>
      </w:pPr>
      <w:r w:rsidRPr="00806093">
        <w:t xml:space="preserve">Enforcement </w:t>
      </w:r>
    </w:p>
    <w:p w14:paraId="41A087C0" w14:textId="77777777" w:rsidR="003A2E03" w:rsidRPr="00806093" w:rsidRDefault="003A2E03" w:rsidP="005A2E86">
      <w:pPr>
        <w:pStyle w:val="E3BodyText"/>
      </w:pPr>
      <w:r w:rsidRPr="00806093">
        <w:t xml:space="preserve">The GEMS Act provides the GEMS Regulator with educative, administrative, civil, and criminal response including: </w:t>
      </w:r>
    </w:p>
    <w:p w14:paraId="694C6324" w14:textId="77777777" w:rsidR="003A2E03" w:rsidRPr="00806093" w:rsidRDefault="003A2E03" w:rsidP="005D0A94">
      <w:pPr>
        <w:pStyle w:val="E3Bullets"/>
      </w:pPr>
      <w:r w:rsidRPr="00806093">
        <w:t>suspending a model’s registration</w:t>
      </w:r>
    </w:p>
    <w:p w14:paraId="15D021A4" w14:textId="605DE6EA" w:rsidR="003A2E03" w:rsidRPr="00806093" w:rsidRDefault="003A2E03" w:rsidP="005D0A94">
      <w:pPr>
        <w:pStyle w:val="E3Bullets"/>
        <w:numPr>
          <w:ilvl w:val="1"/>
          <w:numId w:val="3"/>
        </w:numPr>
      </w:pPr>
      <w:r w:rsidRPr="00806093">
        <w:t>if a “family” registration, all models within the registration are suspended</w:t>
      </w:r>
    </w:p>
    <w:p w14:paraId="6CA74447" w14:textId="77777777" w:rsidR="003A2E03" w:rsidRPr="00806093" w:rsidRDefault="003A2E03" w:rsidP="005D0A94">
      <w:pPr>
        <w:pStyle w:val="E3Bullets"/>
      </w:pPr>
      <w:r w:rsidRPr="00806093">
        <w:t>cancelling a model’s registration</w:t>
      </w:r>
    </w:p>
    <w:p w14:paraId="79AC8F9C" w14:textId="7E63BFF0" w:rsidR="003A2E03" w:rsidRPr="00806093" w:rsidRDefault="003A2E03" w:rsidP="005D0A94">
      <w:pPr>
        <w:pStyle w:val="E3Bullets"/>
        <w:numPr>
          <w:ilvl w:val="1"/>
          <w:numId w:val="3"/>
        </w:numPr>
      </w:pPr>
      <w:r w:rsidRPr="00806093">
        <w:t>if a “family” registration, all models within the registration are cancelled</w:t>
      </w:r>
    </w:p>
    <w:p w14:paraId="6C0E505A" w14:textId="77777777" w:rsidR="003A2E03" w:rsidRPr="00806093" w:rsidRDefault="003A2E03" w:rsidP="005D0A94">
      <w:pPr>
        <w:pStyle w:val="E3Bullets"/>
      </w:pPr>
      <w:r w:rsidRPr="00806093">
        <w:t>enforceable undertakings</w:t>
      </w:r>
    </w:p>
    <w:p w14:paraId="763356F6" w14:textId="5C3B3A20" w:rsidR="003A2E03" w:rsidRPr="00806093" w:rsidRDefault="003A2E03" w:rsidP="005D0A94">
      <w:pPr>
        <w:pStyle w:val="E3Bullets"/>
        <w:numPr>
          <w:ilvl w:val="1"/>
          <w:numId w:val="3"/>
        </w:numPr>
      </w:pPr>
      <w:r w:rsidRPr="00806093">
        <w:t>commitment by a supplier to do, or refrain from, some specified action, which can be enforced in court.</w:t>
      </w:r>
    </w:p>
    <w:p w14:paraId="2A9C0564" w14:textId="77777777" w:rsidR="003A2E03" w:rsidRPr="00806093" w:rsidRDefault="003A2E03" w:rsidP="005D0A94">
      <w:pPr>
        <w:pStyle w:val="E3Bullets"/>
      </w:pPr>
      <w:r w:rsidRPr="00806093">
        <w:t>infringement notices</w:t>
      </w:r>
    </w:p>
    <w:p w14:paraId="3E87A811" w14:textId="77777777" w:rsidR="003A2E03" w:rsidRPr="00806093" w:rsidRDefault="003A2E03" w:rsidP="005D0A94">
      <w:pPr>
        <w:pStyle w:val="E3Bullets"/>
        <w:numPr>
          <w:ilvl w:val="1"/>
          <w:numId w:val="3"/>
        </w:numPr>
      </w:pPr>
      <w:r w:rsidRPr="00806093">
        <w:t>simpler and faster response than formal civil or criminal proceedings</w:t>
      </w:r>
    </w:p>
    <w:p w14:paraId="50238353" w14:textId="3DFE55D8" w:rsidR="003A2E03" w:rsidRPr="00806093" w:rsidRDefault="003A2E03" w:rsidP="005D0A94">
      <w:pPr>
        <w:pStyle w:val="E3Bullets"/>
        <w:numPr>
          <w:ilvl w:val="1"/>
          <w:numId w:val="3"/>
        </w:numPr>
      </w:pPr>
      <w:r w:rsidRPr="00806093">
        <w:t>non-payment may result in other responses such as enforceable undertakings or applications to the courts to pay a higher amount under a civil penalty order, or be subject to criminal prosecution if the alleged contravention also constitutes an offence</w:t>
      </w:r>
    </w:p>
    <w:p w14:paraId="7D71D9F2" w14:textId="61300A8C" w:rsidR="003A2E03" w:rsidRPr="00806093" w:rsidRDefault="003A2E03" w:rsidP="005D0A94">
      <w:pPr>
        <w:pStyle w:val="E3Bullets"/>
      </w:pPr>
      <w:r w:rsidRPr="00806093">
        <w:t>criminal strict liability offences</w:t>
      </w:r>
      <w:r w:rsidR="005D0A94">
        <w:t>.</w:t>
      </w:r>
    </w:p>
    <w:p w14:paraId="13C30E1B" w14:textId="77777777" w:rsidR="003A2E03" w:rsidRPr="00806093" w:rsidRDefault="003A2E03" w:rsidP="003A2E03">
      <w:pPr>
        <w:spacing w:after="0" w:line="240" w:lineRule="auto"/>
        <w:rPr>
          <w:rFonts w:ascii="Calibri" w:hAnsi="Calibri" w:cs="Arial"/>
          <w:sz w:val="24"/>
        </w:rPr>
      </w:pPr>
    </w:p>
    <w:p w14:paraId="3D00D895" w14:textId="77777777" w:rsidR="003A2E03" w:rsidRPr="00806093" w:rsidRDefault="003A2E03" w:rsidP="005D0A94">
      <w:pPr>
        <w:pStyle w:val="E3BodyText"/>
      </w:pPr>
      <w:r w:rsidRPr="00806093">
        <w:t>The GEMS Act also allows the GEMS Regulator to publicise certain offences, contraventions, and adverse decisions including the names of registrants and the reasons for the decision.</w:t>
      </w:r>
    </w:p>
    <w:p w14:paraId="5B841B61" w14:textId="77777777" w:rsidR="003A2E03" w:rsidRPr="00806093" w:rsidRDefault="003A2E03" w:rsidP="005D0A94">
      <w:pPr>
        <w:pStyle w:val="E3BodyText"/>
      </w:pPr>
      <w:r w:rsidRPr="00806093">
        <w:t>It is important to note, the above enforcement responses are available to the GEMS Regulator even if the model previously supplied, offered for supply, or used for commercial purposes, is no longer in the market.</w:t>
      </w:r>
    </w:p>
    <w:p w14:paraId="761B36F2" w14:textId="77777777" w:rsidR="003A2E03" w:rsidRPr="00806093" w:rsidRDefault="003A2E03" w:rsidP="003A2E03">
      <w:pPr>
        <w:spacing w:after="0" w:line="240" w:lineRule="auto"/>
        <w:rPr>
          <w:rFonts w:ascii="Calibri" w:hAnsi="Calibri" w:cs="Arial"/>
          <w:sz w:val="24"/>
        </w:rPr>
      </w:pPr>
    </w:p>
    <w:p w14:paraId="0D17D289" w14:textId="77777777" w:rsidR="003A2E03" w:rsidRPr="005D0A94" w:rsidRDefault="003A2E03" w:rsidP="003A2E03">
      <w:pPr>
        <w:spacing w:after="60"/>
        <w:rPr>
          <w:rFonts w:ascii="Calibri" w:hAnsi="Calibri"/>
          <w:color w:val="FF0000"/>
          <w:sz w:val="24"/>
          <w:lang w:val="en-US"/>
        </w:rPr>
      </w:pPr>
      <w:r w:rsidRPr="005D0A94">
        <w:rPr>
          <w:rFonts w:ascii="Calibri" w:hAnsi="Calibri"/>
          <w:color w:val="FF0000"/>
          <w:sz w:val="24"/>
          <w:lang w:val="en-US"/>
        </w:rPr>
        <w:t>Enforcement Examples</w:t>
      </w:r>
    </w:p>
    <w:p w14:paraId="65F4858B" w14:textId="77777777" w:rsidR="003A2E03" w:rsidRPr="00806093" w:rsidRDefault="003A2E03" w:rsidP="005D0A94">
      <w:pPr>
        <w:pStyle w:val="E3BodyText"/>
      </w:pPr>
      <w:r w:rsidRPr="00806093">
        <w:t>The following examples are a guide only:</w:t>
      </w:r>
    </w:p>
    <w:p w14:paraId="474B55E7" w14:textId="77777777" w:rsidR="003A2E03" w:rsidRPr="00806093" w:rsidRDefault="003A2E03" w:rsidP="005D0A94">
      <w:pPr>
        <w:pStyle w:val="E3Bullets"/>
      </w:pPr>
      <w:r w:rsidRPr="00806093">
        <w:t>a product of a model is offered for supply on site and appears to be unregistered</w:t>
      </w:r>
    </w:p>
    <w:p w14:paraId="302B4EB8" w14:textId="77777777" w:rsidR="003A2E03" w:rsidRPr="00806093" w:rsidRDefault="003A2E03" w:rsidP="005D0A94">
      <w:pPr>
        <w:pStyle w:val="E3Bullets"/>
        <w:numPr>
          <w:ilvl w:val="1"/>
          <w:numId w:val="3"/>
        </w:numPr>
      </w:pPr>
      <w:r w:rsidRPr="00806093">
        <w:t>section 17 GEMS Act – Supplying GEMS products – model not registered, may apply</w:t>
      </w:r>
    </w:p>
    <w:p w14:paraId="0877AD7B" w14:textId="77777777" w:rsidR="003A2E03" w:rsidRPr="00806093" w:rsidRDefault="003A2E03" w:rsidP="005D0A94">
      <w:pPr>
        <w:pStyle w:val="E3Bullets"/>
        <w:numPr>
          <w:ilvl w:val="1"/>
          <w:numId w:val="3"/>
        </w:numPr>
      </w:pPr>
      <w:r w:rsidRPr="00806093">
        <w:t>as model is unregistered, it cannot be supplied or offered for supply, therefore, suppliers must remove all products of the model from shop floors or shelves</w:t>
      </w:r>
    </w:p>
    <w:p w14:paraId="2A518C38" w14:textId="3D690266" w:rsidR="003A2E03" w:rsidRPr="005D0A94" w:rsidRDefault="003A2E03" w:rsidP="005D0A94">
      <w:pPr>
        <w:pStyle w:val="E3Bullets"/>
        <w:numPr>
          <w:ilvl w:val="1"/>
          <w:numId w:val="3"/>
        </w:numPr>
      </w:pPr>
      <w:r w:rsidRPr="00806093">
        <w:t>GEMS Regulator will consider a supplier’s history, behaviour, motivation, and intention and determine an enforcement response proportionate to the risk posed by the non-compliance</w:t>
      </w:r>
      <w:r w:rsidR="00DF6F72">
        <w:t>.</w:t>
      </w:r>
    </w:p>
    <w:p w14:paraId="157D17CA" w14:textId="77777777" w:rsidR="003A2E03" w:rsidRPr="00806093" w:rsidRDefault="003A2E03" w:rsidP="005D0A94">
      <w:pPr>
        <w:pStyle w:val="E3Bullets"/>
      </w:pPr>
      <w:r w:rsidRPr="00806093">
        <w:t xml:space="preserve">a product of a model is observed on site and appears to be unregistered, does not meet GEMS level requirements, or does not meet GEMS labelling requirements and a large number have already been installed </w:t>
      </w:r>
    </w:p>
    <w:p w14:paraId="7B0652E2" w14:textId="77777777" w:rsidR="003A2E03" w:rsidRPr="00806093" w:rsidRDefault="003A2E03" w:rsidP="005D0A94">
      <w:pPr>
        <w:pStyle w:val="E3Bullets"/>
        <w:numPr>
          <w:ilvl w:val="1"/>
          <w:numId w:val="3"/>
        </w:numPr>
      </w:pPr>
      <w:r w:rsidRPr="00806093">
        <w:t>assumes we are talking about residential, retail, or commercial buildings under construction or recently completed where products of the model may be installed</w:t>
      </w:r>
    </w:p>
    <w:p w14:paraId="3CA69247" w14:textId="77777777" w:rsidR="003A2E03" w:rsidRPr="00806093" w:rsidRDefault="003A2E03" w:rsidP="005D0A94">
      <w:pPr>
        <w:pStyle w:val="E3Bullets"/>
        <w:numPr>
          <w:ilvl w:val="1"/>
          <w:numId w:val="3"/>
        </w:numPr>
      </w:pPr>
      <w:r w:rsidRPr="00806093">
        <w:t>section 17 GEMS Act – Supplying GEMS products – model not registered, and/or section 16 GEMS Act – supplying GEMS products – complying with GEMS determinations, may apply</w:t>
      </w:r>
    </w:p>
    <w:p w14:paraId="5D46701A" w14:textId="77777777" w:rsidR="003A2E03" w:rsidRPr="00806093" w:rsidRDefault="003A2E03" w:rsidP="005D0A94">
      <w:pPr>
        <w:pStyle w:val="E3Bullets"/>
        <w:numPr>
          <w:ilvl w:val="1"/>
          <w:numId w:val="3"/>
        </w:numPr>
      </w:pPr>
      <w:r w:rsidRPr="00806093">
        <w:t>as model is unregistered, or does meet GEMS level or labelling requirements,  it cannot be supplied or offered for supply, therefore, suppliers must remove all products of the model from shop floors or shelves if supplied this way</w:t>
      </w:r>
    </w:p>
    <w:p w14:paraId="72478C21" w14:textId="77777777" w:rsidR="003A2E03" w:rsidRPr="00806093" w:rsidRDefault="003A2E03" w:rsidP="005D0A94">
      <w:pPr>
        <w:pStyle w:val="E3Bullets"/>
        <w:numPr>
          <w:ilvl w:val="1"/>
          <w:numId w:val="3"/>
        </w:numPr>
      </w:pPr>
      <w:r w:rsidRPr="00806093">
        <w:t>there is no GEMS Act provision for GEMS inspectors or suppliers to uninstall already supplied products</w:t>
      </w:r>
    </w:p>
    <w:p w14:paraId="3DD7C367" w14:textId="77777777" w:rsidR="003A2E03" w:rsidRPr="00806093" w:rsidRDefault="003A2E03" w:rsidP="005D0A94">
      <w:pPr>
        <w:pStyle w:val="E3Bullets"/>
        <w:numPr>
          <w:ilvl w:val="1"/>
          <w:numId w:val="3"/>
        </w:numPr>
      </w:pPr>
      <w:r w:rsidRPr="00806093">
        <w:t>GEMS Regulator will consider a supplier’s history, behaviour, motivation, and intention and determine an enforcement response proportionate to the risk posed by the non-compliance</w:t>
      </w:r>
    </w:p>
    <w:p w14:paraId="1970122C" w14:textId="730BEE10" w:rsidR="003A2E03" w:rsidRPr="00806093" w:rsidRDefault="003A2E03" w:rsidP="005D0A94">
      <w:pPr>
        <w:pStyle w:val="E3Bullets"/>
        <w:numPr>
          <w:ilvl w:val="2"/>
          <w:numId w:val="3"/>
        </w:numPr>
      </w:pPr>
      <w:r w:rsidRPr="00806093">
        <w:t>enforceable undertaking may be used to commit a supplier to, for example, uninstall products or compensate for products already supplied and installed</w:t>
      </w:r>
      <w:r w:rsidR="00DF6F72">
        <w:t>.</w:t>
      </w:r>
    </w:p>
    <w:p w14:paraId="5335EC47" w14:textId="77777777" w:rsidR="00D71EDE" w:rsidRDefault="00D71EDE" w:rsidP="00D71EDE">
      <w:pPr>
        <w:pStyle w:val="E3Bullets"/>
        <w:numPr>
          <w:ilvl w:val="0"/>
          <w:numId w:val="0"/>
        </w:numPr>
        <w:ind w:left="360"/>
      </w:pPr>
    </w:p>
    <w:p w14:paraId="7425041F" w14:textId="77777777" w:rsidR="00A92D1C" w:rsidRDefault="00A92D1C" w:rsidP="00A92D1C">
      <w:pPr>
        <w:pStyle w:val="E3Heading3"/>
      </w:pPr>
      <w:r w:rsidRPr="00896AC5">
        <w:rPr>
          <w:rFonts w:asciiTheme="majorHAnsi" w:hAnsiTheme="majorHAnsi"/>
          <w:szCs w:val="28"/>
        </w:rPr>
        <w:t xml:space="preserve">Compliance in New </w:t>
      </w:r>
      <w:r w:rsidRPr="00CB05B8">
        <w:t>Zealand</w:t>
      </w:r>
    </w:p>
    <w:p w14:paraId="4B1C0AA1" w14:textId="4B2FBC60" w:rsidR="00A92D1C" w:rsidRDefault="00A92D1C" w:rsidP="005A2E86">
      <w:pPr>
        <w:pStyle w:val="E3BodyText"/>
      </w:pPr>
      <w:r w:rsidRPr="005A2E86">
        <w:t xml:space="preserve">Compliance with MEPS regulations is carried out by the Energy Efficiency and Conservation Authority, in accordance with the </w:t>
      </w:r>
      <w:r w:rsidRPr="005A2E86">
        <w:rPr>
          <w:i/>
        </w:rPr>
        <w:t>Energy Efficiency (Energy Using Products) Regulations</w:t>
      </w:r>
      <w:r w:rsidRPr="005A2E86">
        <w:t xml:space="preserve"> 2002. These regulations, as well as the Energy Efficiency and Conservation Act are available to download from</w:t>
      </w:r>
      <w:r w:rsidR="00C84DA1" w:rsidRPr="005A2E86">
        <w:t xml:space="preserve"> the</w:t>
      </w:r>
      <w:r>
        <w:t xml:space="preserve"> </w:t>
      </w:r>
      <w:hyperlink r:id="rId35" w:history="1">
        <w:r w:rsidR="00C84DA1">
          <w:rPr>
            <w:rStyle w:val="Hyperlink"/>
            <w:lang w:val="en-US"/>
          </w:rPr>
          <w:t>New Zealand Legislation</w:t>
        </w:r>
      </w:hyperlink>
      <w:r w:rsidR="00C84DA1" w:rsidRPr="00C84DA1">
        <w:t xml:space="preserve"> </w:t>
      </w:r>
      <w:r w:rsidR="00C84DA1" w:rsidRPr="005D0A94">
        <w:t>website</w:t>
      </w:r>
      <w:r w:rsidRPr="005D0A94">
        <w:t>.  The regulations detail the duties of manufacturers/importers, and persons dealing directly with consumers.</w:t>
      </w:r>
      <w:r>
        <w:t xml:space="preserve"> </w:t>
      </w:r>
    </w:p>
    <w:p w14:paraId="32139B27" w14:textId="74409D34" w:rsidR="00A92D1C" w:rsidRPr="00896AC5" w:rsidRDefault="00A92D1C" w:rsidP="005D0A94">
      <w:pPr>
        <w:pStyle w:val="E3BodyText"/>
      </w:pPr>
      <w:r w:rsidRPr="00896AC5">
        <w:t>EECA employs a risk based model to compliance activities, and aim</w:t>
      </w:r>
      <w:r w:rsidR="00CA6360">
        <w:t>s</w:t>
      </w:r>
      <w:r w:rsidRPr="00896AC5">
        <w:t xml:space="preserve"> to ensure that activities are proportionate to the type of </w:t>
      </w:r>
      <w:r w:rsidR="005A2E86" w:rsidRPr="00896AC5">
        <w:t>non-compliance</w:t>
      </w:r>
      <w:r w:rsidRPr="00896AC5">
        <w:t xml:space="preserve">. </w:t>
      </w:r>
      <w:r w:rsidR="00CA6360">
        <w:t>EECA</w:t>
      </w:r>
      <w:r w:rsidRPr="00896AC5">
        <w:t xml:space="preserve"> use</w:t>
      </w:r>
      <w:r w:rsidR="00CA6360">
        <w:t>s</w:t>
      </w:r>
      <w:r w:rsidRPr="00896AC5">
        <w:t xml:space="preserve"> a New Zealand cross agency guide (Achieving Compliance: A Guide for Regulators, DIA 2011) as a basis for </w:t>
      </w:r>
      <w:r w:rsidR="00CA6360">
        <w:t>their</w:t>
      </w:r>
      <w:r w:rsidRPr="00896AC5">
        <w:t xml:space="preserve"> work, as well as looking to work closely with the GEMS regulations team at the Dep</w:t>
      </w:r>
      <w:r w:rsidR="000C0448">
        <w:t>artmen</w:t>
      </w:r>
      <w:r w:rsidRPr="00896AC5">
        <w:t xml:space="preserve">t of the Environment and Energy. </w:t>
      </w:r>
    </w:p>
    <w:p w14:paraId="3533FDC9" w14:textId="3BFA0483" w:rsidR="00A92D1C" w:rsidRPr="00896AC5" w:rsidRDefault="00CA6360" w:rsidP="005D0A94">
      <w:pPr>
        <w:pStyle w:val="E3BodyText"/>
      </w:pPr>
      <w:r>
        <w:t>EECA compliance</w:t>
      </w:r>
      <w:r w:rsidR="00A92D1C" w:rsidRPr="00896AC5">
        <w:t xml:space="preserve"> activities can range from </w:t>
      </w:r>
      <w:r w:rsidR="00A92D1C" w:rsidRPr="00FE29A6">
        <w:t xml:space="preserve">informal </w:t>
      </w:r>
      <w:r w:rsidR="00A92D1C">
        <w:t>activities</w:t>
      </w:r>
      <w:r w:rsidR="00A92D1C" w:rsidRPr="00896AC5">
        <w:t xml:space="preserve"> and </w:t>
      </w:r>
      <w:r>
        <w:t>compliance advice letters to ed</w:t>
      </w:r>
      <w:r w:rsidR="00A92D1C" w:rsidRPr="00896AC5">
        <w:t>u</w:t>
      </w:r>
      <w:r>
        <w:t>c</w:t>
      </w:r>
      <w:r w:rsidR="00A92D1C" w:rsidRPr="00896AC5">
        <w:t>at</w:t>
      </w:r>
      <w:r>
        <w:t xml:space="preserve">ing suppliers of their </w:t>
      </w:r>
      <w:r w:rsidR="005A2E86">
        <w:t>non-compli</w:t>
      </w:r>
      <w:r w:rsidR="005A2E86" w:rsidRPr="00896AC5">
        <w:t>a</w:t>
      </w:r>
      <w:r w:rsidR="005A2E86">
        <w:t>n</w:t>
      </w:r>
      <w:r w:rsidR="005A2E86" w:rsidRPr="00896AC5">
        <w:t>ce</w:t>
      </w:r>
      <w:r w:rsidR="00A92D1C" w:rsidRPr="00896AC5">
        <w:t xml:space="preserve"> through to settlements and prosecutions.  For newly registered products</w:t>
      </w:r>
      <w:r>
        <w:t>,</w:t>
      </w:r>
      <w:r w:rsidR="00A92D1C" w:rsidRPr="00896AC5">
        <w:t xml:space="preserve"> </w:t>
      </w:r>
      <w:r>
        <w:t>EECA</w:t>
      </w:r>
      <w:r w:rsidR="00A92D1C" w:rsidRPr="00896AC5">
        <w:t xml:space="preserve"> will often </w:t>
      </w:r>
      <w:r w:rsidRPr="00FE29A6">
        <w:t xml:space="preserve">initially </w:t>
      </w:r>
      <w:r w:rsidR="00A92D1C" w:rsidRPr="00FE29A6">
        <w:t>take an</w:t>
      </w:r>
      <w:r w:rsidR="00A92D1C" w:rsidRPr="00896AC5">
        <w:t xml:space="preserve"> educative approach. </w:t>
      </w:r>
    </w:p>
    <w:p w14:paraId="3673A3C5" w14:textId="40D6FF00" w:rsidR="00806093" w:rsidRPr="00343437" w:rsidRDefault="00A92D1C" w:rsidP="001377D2">
      <w:pPr>
        <w:pStyle w:val="E3BodyText"/>
        <w:sectPr w:rsidR="00806093" w:rsidRPr="00343437" w:rsidSect="004A314E">
          <w:type w:val="continuous"/>
          <w:pgSz w:w="11907" w:h="16840" w:code="9"/>
          <w:pgMar w:top="1134" w:right="1134" w:bottom="1418" w:left="1134" w:header="709" w:footer="709" w:gutter="0"/>
          <w:cols w:space="720"/>
          <w:titlePg/>
          <w:docGrid w:linePitch="360"/>
        </w:sectPr>
      </w:pPr>
      <w:r>
        <w:t>As discussed above, i</w:t>
      </w:r>
      <w:r w:rsidRPr="00896AC5">
        <w:t xml:space="preserve">n areas such as LED lighting where there is rapid product change, </w:t>
      </w:r>
      <w:r w:rsidR="00CA6360">
        <w:t>EECA</w:t>
      </w:r>
      <w:r w:rsidRPr="00896AC5">
        <w:t xml:space="preserve"> will look to take a flexible approach to market screening and check testing, and will develop a test schedule that reflects this. </w:t>
      </w:r>
    </w:p>
    <w:p w14:paraId="0C585E2A" w14:textId="77777777" w:rsidR="00414D80" w:rsidRPr="00343437" w:rsidRDefault="00414D80" w:rsidP="002F6383">
      <w:pPr>
        <w:pStyle w:val="E3SubSubBullets"/>
        <w:sectPr w:rsidR="00414D80" w:rsidRPr="00343437" w:rsidSect="004A314E">
          <w:type w:val="continuous"/>
          <w:pgSz w:w="11907" w:h="16840" w:code="9"/>
          <w:pgMar w:top="1134" w:right="1134" w:bottom="1418" w:left="1134" w:header="709" w:footer="709" w:gutter="0"/>
          <w:cols w:space="720"/>
          <w:titlePg/>
          <w:docGrid w:linePitch="360"/>
        </w:sectPr>
      </w:pPr>
    </w:p>
    <w:p w14:paraId="3521214A" w14:textId="5E05495C" w:rsidR="00D937C2" w:rsidRPr="00343437" w:rsidRDefault="003A2E03" w:rsidP="00D668E1">
      <w:pPr>
        <w:pStyle w:val="E3ChapterTitle"/>
        <w:spacing w:after="1320"/>
      </w:pPr>
      <w:bookmarkStart w:id="46" w:name="Attachment_E"/>
      <w:bookmarkStart w:id="47" w:name="_Toc493159056"/>
      <w:bookmarkEnd w:id="46"/>
      <w:r>
        <w:t>Attachment E</w:t>
      </w:r>
      <w:r w:rsidR="00BF480E">
        <w:t xml:space="preserve">: </w:t>
      </w:r>
      <w:r w:rsidR="00567E69">
        <w:t>Cost b</w:t>
      </w:r>
      <w:r>
        <w:t xml:space="preserve">enefit </w:t>
      </w:r>
      <w:r w:rsidR="00567E69">
        <w:t>analysis</w:t>
      </w:r>
      <w:bookmarkEnd w:id="47"/>
    </w:p>
    <w:p w14:paraId="533D2763" w14:textId="57BA1F7F" w:rsidR="00806093" w:rsidRDefault="00567E69" w:rsidP="005A2E86">
      <w:pPr>
        <w:pStyle w:val="E3BodyText"/>
      </w:pPr>
      <w:r w:rsidRPr="00567E69">
        <w:t>The estimated impacts of the</w:t>
      </w:r>
      <w:r>
        <w:t xml:space="preserve"> preferred option for Australia and New Zealand</w:t>
      </w:r>
      <w:r w:rsidRPr="00567E69">
        <w:t xml:space="preserve"> to 2030 are shown </w:t>
      </w:r>
      <w:r w:rsidRPr="005C4DC2">
        <w:t xml:space="preserve">in </w:t>
      </w:r>
      <w:r w:rsidR="005C4DC2" w:rsidRPr="005C4DC2">
        <w:fldChar w:fldCharType="begin"/>
      </w:r>
      <w:r w:rsidR="005C4DC2" w:rsidRPr="005C4DC2">
        <w:instrText xml:space="preserve"> REF _Ref492043007 \h  \* MERGEFORMAT </w:instrText>
      </w:r>
      <w:r w:rsidR="005C4DC2" w:rsidRPr="005C4DC2">
        <w:fldChar w:fldCharType="separate"/>
      </w:r>
      <w:r w:rsidR="005933B0">
        <w:t>Table 5</w:t>
      </w:r>
      <w:r w:rsidR="005C4DC2" w:rsidRPr="005C4DC2">
        <w:fldChar w:fldCharType="end"/>
      </w:r>
      <w:r w:rsidR="005C4DC2" w:rsidRPr="005C4DC2">
        <w:t xml:space="preserve"> </w:t>
      </w:r>
      <w:r w:rsidRPr="005C4DC2">
        <w:t>(Australia) and</w:t>
      </w:r>
      <w:r w:rsidR="00D333E8" w:rsidRPr="005C4DC2">
        <w:t xml:space="preserve"> </w:t>
      </w:r>
      <w:r w:rsidR="005C4DC2" w:rsidRPr="005C4DC2">
        <w:fldChar w:fldCharType="begin"/>
      </w:r>
      <w:r w:rsidR="005C4DC2" w:rsidRPr="005C4DC2">
        <w:instrText xml:space="preserve"> REF _Ref492043018 \h  \* MERGEFORMAT </w:instrText>
      </w:r>
      <w:r w:rsidR="005C4DC2" w:rsidRPr="005C4DC2">
        <w:fldChar w:fldCharType="separate"/>
      </w:r>
      <w:r w:rsidR="005933B0">
        <w:t>Table 6</w:t>
      </w:r>
      <w:r w:rsidR="005C4DC2" w:rsidRPr="005C4DC2">
        <w:fldChar w:fldCharType="end"/>
      </w:r>
      <w:r w:rsidR="005C4DC2" w:rsidRPr="005C4DC2">
        <w:t xml:space="preserve"> </w:t>
      </w:r>
      <w:r w:rsidRPr="005C4DC2">
        <w:t>(New Zealand) below</w:t>
      </w:r>
      <w:r w:rsidRPr="00767689">
        <w:t xml:space="preserve"> in terms of costs/benefits, energy</w:t>
      </w:r>
      <w:r w:rsidRPr="00567E69">
        <w:t xml:space="preserve"> savings and greenhouse gas emission reductions.</w:t>
      </w:r>
    </w:p>
    <w:p w14:paraId="3D224297" w14:textId="365856A5" w:rsidR="00B80304" w:rsidRDefault="00B80304" w:rsidP="005A2E86">
      <w:pPr>
        <w:pStyle w:val="E3BodyText"/>
      </w:pPr>
      <w:r>
        <w:t>For Australia</w:t>
      </w:r>
      <w:r w:rsidR="007662A2">
        <w:t>,</w:t>
      </w:r>
      <w:r>
        <w:t xml:space="preserve"> introduction of MEPS for LED lamps (March 2019) and the phase out </w:t>
      </w:r>
      <w:r w:rsidR="00D50CC1">
        <w:t xml:space="preserve">of </w:t>
      </w:r>
      <w:r>
        <w:t>halogen light bulbs (excl</w:t>
      </w:r>
      <w:r w:rsidR="000A271E">
        <w:t>uding downlights)</w:t>
      </w:r>
      <w:r w:rsidR="007662A2">
        <w:t xml:space="preserve"> </w:t>
      </w:r>
      <w:r w:rsidR="000A271E">
        <w:t xml:space="preserve">(October 2019) is estimated to save approximately </w:t>
      </w:r>
      <w:r w:rsidR="000A271E" w:rsidRPr="00CF23CE">
        <w:t>11,058</w:t>
      </w:r>
      <w:r w:rsidR="000A271E" w:rsidRPr="00817201">
        <w:t xml:space="preserve"> giga-watt hours (GWh) </w:t>
      </w:r>
      <w:r w:rsidR="000A271E" w:rsidRPr="00CF23CE">
        <w:rPr>
          <w:shd w:val="clear" w:color="auto" w:fill="FFFFFF" w:themeFill="background1"/>
        </w:rPr>
        <w:t>and 7.5 million</w:t>
      </w:r>
      <w:r w:rsidR="000A271E" w:rsidRPr="00CF23CE">
        <w:t xml:space="preserve"> tonnes (Mt) of greenhouse gas (GHG) emissions cumulative to 2030. This option provides a net benefit of an estimated $</w:t>
      </w:r>
      <w:r w:rsidR="003B11CD" w:rsidRPr="00CF23CE">
        <w:t>1.4</w:t>
      </w:r>
      <w:r w:rsidR="00191705">
        <w:t>0</w:t>
      </w:r>
      <w:r w:rsidR="000A271E" w:rsidRPr="00CF23CE">
        <w:t xml:space="preserve"> billion.</w:t>
      </w:r>
    </w:p>
    <w:p w14:paraId="35E44E6D" w14:textId="5228E0AE" w:rsidR="000A271E" w:rsidRPr="00EF7666" w:rsidRDefault="00B80304" w:rsidP="005A2E86">
      <w:pPr>
        <w:pStyle w:val="E3BodyText"/>
      </w:pPr>
      <w:r w:rsidRPr="00CF23CE">
        <w:t xml:space="preserve">For New Zealand, introduction of MEPS for LED lamps (around </w:t>
      </w:r>
      <w:r w:rsidR="000A271E" w:rsidRPr="00CF23CE">
        <w:t>March 2019) is estimated to save approximately 618 GWh and 0.05 Mt of greenhouse gas (GHG) emissions cumulative to 2030. This option provides a net benefit of an estimated $2</w:t>
      </w:r>
      <w:r w:rsidR="00CF23CE" w:rsidRPr="00CF23CE">
        <w:t>5</w:t>
      </w:r>
      <w:r w:rsidR="000A271E" w:rsidRPr="00CF23CE">
        <w:t xml:space="preserve"> million.</w:t>
      </w:r>
      <w:r w:rsidR="000A271E" w:rsidRPr="00EF7666">
        <w:t xml:space="preserve"> </w:t>
      </w:r>
    </w:p>
    <w:p w14:paraId="4FD93241" w14:textId="54326BDD" w:rsidR="00EF7666" w:rsidRPr="00EF7666" w:rsidRDefault="000A271E" w:rsidP="005A2E86">
      <w:pPr>
        <w:pStyle w:val="E3BodyText"/>
      </w:pPr>
      <w:r w:rsidRPr="00EF7666">
        <w:t>Following release of the CRIS</w:t>
      </w:r>
      <w:r w:rsidR="00EF7666" w:rsidRPr="00EF7666">
        <w:t>, the following changes were made to the cost-benefit analysis:</w:t>
      </w:r>
    </w:p>
    <w:p w14:paraId="0BADBCEE" w14:textId="0540560C" w:rsidR="00EF7666" w:rsidRDefault="00EF7666" w:rsidP="005A2E86">
      <w:pPr>
        <w:pStyle w:val="E3Bullets"/>
      </w:pPr>
      <w:r>
        <w:t>Change of product scope and timing, as described in this document (including a subsequent reduction in costs of dealing with compatibility issues</w:t>
      </w:r>
      <w:r w:rsidR="008A5733">
        <w:t xml:space="preserve"> for Australia</w:t>
      </w:r>
      <w:r>
        <w:t>, due to halogen downlight lamps no longer being phase</w:t>
      </w:r>
      <w:r w:rsidR="007662A2">
        <w:t>d</w:t>
      </w:r>
      <w:r>
        <w:t xml:space="preserve"> out, discussed below)</w:t>
      </w:r>
    </w:p>
    <w:p w14:paraId="6ED3F00C" w14:textId="77777777" w:rsidR="00EF7666" w:rsidRPr="00EF7666" w:rsidRDefault="00EF7666" w:rsidP="005A2E86">
      <w:pPr>
        <w:pStyle w:val="E3Bullets"/>
      </w:pPr>
      <w:r w:rsidRPr="00EF7666">
        <w:t xml:space="preserve">New tariffs available for Australia (AEMO 2016) have been used to estimate benefits. Otherwise modelling methodology and assumptions for Australia remain unchanged from the CRIS. </w:t>
      </w:r>
    </w:p>
    <w:p w14:paraId="1890A713" w14:textId="77777777" w:rsidR="00A92D1C" w:rsidRPr="00EF7666" w:rsidRDefault="00A92D1C" w:rsidP="005A2E86">
      <w:pPr>
        <w:pStyle w:val="E3Bullets"/>
      </w:pPr>
      <w:r w:rsidRPr="00EF7666">
        <w:t xml:space="preserve">New Zealand amended their modelling methodology to use long run marginal tariffs </w:t>
      </w:r>
      <w:r>
        <w:t xml:space="preserve">instead of consumer prices </w:t>
      </w:r>
      <w:r w:rsidRPr="00EF7666">
        <w:t>and a new tariff is now available for use which explains the significant variance in savings from the CRIS.</w:t>
      </w:r>
      <w:r>
        <w:t xml:space="preserve"> While the benefits for New Zealand look comparatively modest, the modelling is conservative, with a good cost benefit ratio.  </w:t>
      </w:r>
    </w:p>
    <w:p w14:paraId="070E01CE" w14:textId="77777777" w:rsidR="00132A97" w:rsidRDefault="00132A97">
      <w:pPr>
        <w:spacing w:after="0" w:line="240" w:lineRule="auto"/>
        <w:rPr>
          <w:b/>
          <w:bCs/>
          <w:color w:val="C1001A" w:themeColor="accent1"/>
          <w:sz w:val="18"/>
          <w:szCs w:val="18"/>
        </w:rPr>
      </w:pPr>
      <w:r>
        <w:br w:type="page"/>
      </w:r>
    </w:p>
    <w:p w14:paraId="0A7D3498" w14:textId="64DCD616" w:rsidR="00567E69" w:rsidRDefault="0012172E" w:rsidP="0012172E">
      <w:pPr>
        <w:pStyle w:val="Caption"/>
      </w:pPr>
      <w:bookmarkStart w:id="48" w:name="_Ref492043007"/>
      <w:bookmarkStart w:id="49" w:name="_Toc493158337"/>
      <w:r>
        <w:t xml:space="preserve">Table </w:t>
      </w:r>
      <w:r>
        <w:fldChar w:fldCharType="begin"/>
      </w:r>
      <w:r>
        <w:instrText xml:space="preserve"> SEQ Table \* ARABIC </w:instrText>
      </w:r>
      <w:r>
        <w:fldChar w:fldCharType="separate"/>
      </w:r>
      <w:r w:rsidR="005933B0">
        <w:t>5</w:t>
      </w:r>
      <w:r>
        <w:fldChar w:fldCharType="end"/>
      </w:r>
      <w:bookmarkEnd w:id="48"/>
      <w:r w:rsidR="00567E69" w:rsidRPr="00EF7666">
        <w:t>: Cost benefit analysis – Australia (Real discount rate: 7%)</w:t>
      </w:r>
      <w:bookmarkEnd w:id="49"/>
    </w:p>
    <w:tbl>
      <w:tblPr>
        <w:tblW w:w="9559" w:type="dxa"/>
        <w:tblCellMar>
          <w:left w:w="0" w:type="dxa"/>
          <w:right w:w="0" w:type="dxa"/>
        </w:tblCellMar>
        <w:tblLook w:val="04A0" w:firstRow="1" w:lastRow="0" w:firstColumn="1" w:lastColumn="0" w:noHBand="0" w:noVBand="1"/>
      </w:tblPr>
      <w:tblGrid>
        <w:gridCol w:w="1635"/>
        <w:gridCol w:w="879"/>
        <w:gridCol w:w="1185"/>
        <w:gridCol w:w="1108"/>
        <w:gridCol w:w="1133"/>
        <w:gridCol w:w="1712"/>
        <w:gridCol w:w="1083"/>
        <w:gridCol w:w="904"/>
      </w:tblGrid>
      <w:tr w:rsidR="00BE73F5" w14:paraId="5DB22717" w14:textId="77777777" w:rsidTr="00BE73F5">
        <w:trPr>
          <w:trHeight w:val="267"/>
        </w:trPr>
        <w:tc>
          <w:tcPr>
            <w:tcW w:w="1670" w:type="dxa"/>
            <w:tcBorders>
              <w:top w:val="nil"/>
              <w:left w:val="nil"/>
              <w:bottom w:val="nil"/>
              <w:right w:val="nil"/>
            </w:tcBorders>
            <w:shd w:val="clear" w:color="auto" w:fill="auto"/>
            <w:noWrap/>
            <w:vAlign w:val="center"/>
            <w:hideMark/>
          </w:tcPr>
          <w:p w14:paraId="12B4506B" w14:textId="77777777" w:rsidR="00BE73F5" w:rsidRDefault="00BE73F5" w:rsidP="007E5957">
            <w:pPr>
              <w:rPr>
                <w:rFonts w:ascii="Calibri" w:eastAsia="Times New Roman" w:hAnsi="Calibri"/>
                <w:b/>
                <w:bCs/>
                <w:color w:val="000000"/>
                <w:sz w:val="32"/>
                <w:szCs w:val="32"/>
              </w:rPr>
            </w:pPr>
            <w:r>
              <w:rPr>
                <w:rFonts w:ascii="Calibri" w:eastAsia="Times New Roman" w:hAnsi="Calibri"/>
                <w:b/>
                <w:bCs/>
                <w:color w:val="000000"/>
                <w:sz w:val="32"/>
                <w:szCs w:val="32"/>
              </w:rPr>
              <w:t>Australia</w:t>
            </w:r>
          </w:p>
        </w:tc>
        <w:tc>
          <w:tcPr>
            <w:tcW w:w="892" w:type="dxa"/>
            <w:tcBorders>
              <w:top w:val="nil"/>
              <w:left w:val="nil"/>
              <w:bottom w:val="nil"/>
              <w:right w:val="nil"/>
            </w:tcBorders>
            <w:shd w:val="clear" w:color="auto" w:fill="auto"/>
            <w:noWrap/>
            <w:vAlign w:val="center"/>
            <w:hideMark/>
          </w:tcPr>
          <w:p w14:paraId="2A7DCFDF" w14:textId="77777777" w:rsidR="00BE73F5" w:rsidRDefault="00BE73F5" w:rsidP="007E5957">
            <w:pPr>
              <w:rPr>
                <w:rFonts w:ascii="Calibri" w:eastAsia="Times New Roman" w:hAnsi="Calibri"/>
                <w:color w:val="000000"/>
              </w:rPr>
            </w:pPr>
          </w:p>
        </w:tc>
        <w:tc>
          <w:tcPr>
            <w:tcW w:w="1208" w:type="dxa"/>
            <w:tcBorders>
              <w:top w:val="nil"/>
              <w:left w:val="nil"/>
              <w:bottom w:val="nil"/>
              <w:right w:val="nil"/>
            </w:tcBorders>
            <w:shd w:val="clear" w:color="auto" w:fill="auto"/>
            <w:noWrap/>
            <w:vAlign w:val="center"/>
            <w:hideMark/>
          </w:tcPr>
          <w:p w14:paraId="379C5DED" w14:textId="77777777" w:rsidR="00BE73F5" w:rsidRDefault="00BE73F5" w:rsidP="007E5957">
            <w:pPr>
              <w:rPr>
                <w:rFonts w:ascii="Calibri" w:eastAsia="Times New Roman" w:hAnsi="Calibri"/>
                <w:color w:val="000000"/>
              </w:rPr>
            </w:pPr>
          </w:p>
        </w:tc>
        <w:tc>
          <w:tcPr>
            <w:tcW w:w="1129" w:type="dxa"/>
            <w:tcBorders>
              <w:top w:val="nil"/>
              <w:left w:val="nil"/>
              <w:bottom w:val="nil"/>
              <w:right w:val="nil"/>
            </w:tcBorders>
            <w:shd w:val="clear" w:color="auto" w:fill="auto"/>
            <w:noWrap/>
            <w:vAlign w:val="center"/>
            <w:hideMark/>
          </w:tcPr>
          <w:p w14:paraId="04CC249E" w14:textId="77777777" w:rsidR="00BE73F5" w:rsidRDefault="00BE73F5" w:rsidP="007E5957">
            <w:pPr>
              <w:jc w:val="center"/>
              <w:rPr>
                <w:rFonts w:ascii="Calibri" w:eastAsia="Times New Roman" w:hAnsi="Calibri"/>
                <w:color w:val="000000"/>
              </w:rPr>
            </w:pPr>
          </w:p>
        </w:tc>
        <w:tc>
          <w:tcPr>
            <w:tcW w:w="1155" w:type="dxa"/>
            <w:tcBorders>
              <w:top w:val="nil"/>
              <w:left w:val="nil"/>
              <w:bottom w:val="nil"/>
              <w:right w:val="nil"/>
            </w:tcBorders>
            <w:shd w:val="clear" w:color="auto" w:fill="auto"/>
            <w:noWrap/>
            <w:vAlign w:val="center"/>
            <w:hideMark/>
          </w:tcPr>
          <w:p w14:paraId="26A57ADF" w14:textId="77777777" w:rsidR="00BE73F5" w:rsidRDefault="00BE73F5" w:rsidP="007E5957">
            <w:pPr>
              <w:jc w:val="center"/>
              <w:rPr>
                <w:rFonts w:ascii="Calibri" w:eastAsia="Times New Roman" w:hAnsi="Calibri"/>
                <w:color w:val="000000"/>
              </w:rPr>
            </w:pPr>
          </w:p>
        </w:tc>
        <w:tc>
          <w:tcPr>
            <w:tcW w:w="1484" w:type="dxa"/>
            <w:tcBorders>
              <w:top w:val="nil"/>
              <w:left w:val="nil"/>
              <w:bottom w:val="nil"/>
              <w:right w:val="nil"/>
            </w:tcBorders>
            <w:shd w:val="clear" w:color="auto" w:fill="auto"/>
            <w:noWrap/>
            <w:vAlign w:val="center"/>
            <w:hideMark/>
          </w:tcPr>
          <w:p w14:paraId="35677CB4" w14:textId="77777777" w:rsidR="00BE73F5" w:rsidRDefault="00BE73F5" w:rsidP="007E5957">
            <w:pPr>
              <w:jc w:val="center"/>
              <w:rPr>
                <w:rFonts w:ascii="Calibri" w:eastAsia="Times New Roman" w:hAnsi="Calibri"/>
                <w:color w:val="000000"/>
              </w:rPr>
            </w:pPr>
          </w:p>
        </w:tc>
        <w:tc>
          <w:tcPr>
            <w:tcW w:w="1103" w:type="dxa"/>
            <w:tcBorders>
              <w:top w:val="nil"/>
              <w:left w:val="nil"/>
              <w:bottom w:val="nil"/>
              <w:right w:val="nil"/>
            </w:tcBorders>
            <w:shd w:val="clear" w:color="auto" w:fill="auto"/>
            <w:noWrap/>
            <w:vAlign w:val="center"/>
            <w:hideMark/>
          </w:tcPr>
          <w:p w14:paraId="5E27C800" w14:textId="77777777" w:rsidR="00BE73F5" w:rsidRDefault="00BE73F5" w:rsidP="007E5957">
            <w:pPr>
              <w:jc w:val="center"/>
              <w:rPr>
                <w:rFonts w:ascii="Calibri" w:eastAsia="Times New Roman" w:hAnsi="Calibri"/>
                <w:color w:val="000000"/>
              </w:rPr>
            </w:pPr>
          </w:p>
        </w:tc>
        <w:tc>
          <w:tcPr>
            <w:tcW w:w="918" w:type="dxa"/>
            <w:tcBorders>
              <w:top w:val="nil"/>
              <w:left w:val="nil"/>
              <w:bottom w:val="nil"/>
              <w:right w:val="nil"/>
            </w:tcBorders>
            <w:shd w:val="clear" w:color="auto" w:fill="auto"/>
            <w:noWrap/>
            <w:vAlign w:val="center"/>
            <w:hideMark/>
          </w:tcPr>
          <w:p w14:paraId="37309433" w14:textId="77777777" w:rsidR="00BE73F5" w:rsidRDefault="00BE73F5" w:rsidP="007E5957">
            <w:pPr>
              <w:jc w:val="center"/>
              <w:rPr>
                <w:rFonts w:ascii="Calibri" w:eastAsia="Times New Roman" w:hAnsi="Calibri"/>
                <w:color w:val="000000"/>
              </w:rPr>
            </w:pPr>
          </w:p>
        </w:tc>
      </w:tr>
      <w:tr w:rsidR="00BE73F5" w14:paraId="5793CF86" w14:textId="77777777" w:rsidTr="00BE73F5">
        <w:trPr>
          <w:trHeight w:val="815"/>
        </w:trPr>
        <w:tc>
          <w:tcPr>
            <w:tcW w:w="0" w:type="auto"/>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169290E6" w14:textId="77777777" w:rsidR="00BE73F5" w:rsidRDefault="00BE73F5" w:rsidP="007E5957">
            <w:pPr>
              <w:rPr>
                <w:rFonts w:ascii="Calibri" w:eastAsia="Times New Roman" w:hAnsi="Calibri"/>
                <w:b/>
                <w:bCs/>
                <w:color w:val="FFFFFF"/>
              </w:rPr>
            </w:pPr>
            <w:r>
              <w:rPr>
                <w:rFonts w:ascii="Calibri" w:eastAsia="Times New Roman" w:hAnsi="Calibri"/>
                <w:b/>
                <w:bCs/>
                <w:color w:val="FFFFFF"/>
              </w:rPr>
              <w:t>Proposal</w:t>
            </w:r>
          </w:p>
        </w:tc>
        <w:tc>
          <w:tcPr>
            <w:tcW w:w="892" w:type="dxa"/>
            <w:tcBorders>
              <w:top w:val="single" w:sz="4" w:space="0" w:color="auto"/>
              <w:left w:val="nil"/>
              <w:bottom w:val="single" w:sz="4" w:space="0" w:color="auto"/>
              <w:right w:val="single" w:sz="4" w:space="0" w:color="auto"/>
            </w:tcBorders>
            <w:shd w:val="clear" w:color="000000" w:fill="000000"/>
            <w:vAlign w:val="center"/>
            <w:hideMark/>
          </w:tcPr>
          <w:p w14:paraId="0FCD7E7B" w14:textId="77777777" w:rsidR="00BE73F5" w:rsidRDefault="00BE73F5" w:rsidP="007E5957">
            <w:pPr>
              <w:jc w:val="center"/>
              <w:rPr>
                <w:rFonts w:ascii="Calibri" w:eastAsia="Times New Roman" w:hAnsi="Calibri"/>
                <w:b/>
                <w:bCs/>
                <w:color w:val="FFFFFF"/>
              </w:rPr>
            </w:pPr>
            <w:r>
              <w:rPr>
                <w:rFonts w:ascii="Calibri" w:eastAsia="Times New Roman" w:hAnsi="Calibri"/>
                <w:b/>
                <w:bCs/>
                <w:color w:val="FFFFFF"/>
              </w:rPr>
              <w:t>Sector</w:t>
            </w:r>
          </w:p>
        </w:tc>
        <w:tc>
          <w:tcPr>
            <w:tcW w:w="1208" w:type="dxa"/>
            <w:tcBorders>
              <w:top w:val="single" w:sz="4" w:space="0" w:color="auto"/>
              <w:left w:val="nil"/>
              <w:bottom w:val="single" w:sz="4" w:space="0" w:color="auto"/>
              <w:right w:val="single" w:sz="4" w:space="0" w:color="auto"/>
            </w:tcBorders>
            <w:shd w:val="clear" w:color="000000" w:fill="000000"/>
            <w:vAlign w:val="center"/>
            <w:hideMark/>
          </w:tcPr>
          <w:p w14:paraId="5979EDA1" w14:textId="77777777" w:rsidR="00BE73F5" w:rsidRDefault="00BE73F5" w:rsidP="007E5957">
            <w:pPr>
              <w:jc w:val="center"/>
              <w:rPr>
                <w:rFonts w:ascii="Calibri" w:eastAsia="Times New Roman" w:hAnsi="Calibri"/>
                <w:b/>
                <w:bCs/>
                <w:color w:val="FFFFFF"/>
              </w:rPr>
            </w:pPr>
            <w:r>
              <w:rPr>
                <w:rFonts w:ascii="Calibri" w:eastAsia="Times New Roman" w:hAnsi="Calibri"/>
                <w:b/>
                <w:bCs/>
                <w:color w:val="FFFFFF"/>
              </w:rPr>
              <w:t xml:space="preserve">Energy Saved </w:t>
            </w:r>
            <w:r>
              <w:rPr>
                <w:rFonts w:ascii="Calibri" w:eastAsia="Times New Roman" w:hAnsi="Calibri"/>
                <w:b/>
                <w:bCs/>
                <w:color w:val="FFFFFF"/>
              </w:rPr>
              <w:br/>
              <w:t>(cumulative GWh)</w:t>
            </w:r>
          </w:p>
        </w:tc>
        <w:tc>
          <w:tcPr>
            <w:tcW w:w="1129" w:type="dxa"/>
            <w:tcBorders>
              <w:top w:val="single" w:sz="4" w:space="0" w:color="auto"/>
              <w:left w:val="nil"/>
              <w:bottom w:val="single" w:sz="4" w:space="0" w:color="auto"/>
              <w:right w:val="single" w:sz="4" w:space="0" w:color="auto"/>
            </w:tcBorders>
            <w:shd w:val="clear" w:color="000000" w:fill="000000"/>
            <w:vAlign w:val="center"/>
            <w:hideMark/>
          </w:tcPr>
          <w:p w14:paraId="359E1520" w14:textId="77777777" w:rsidR="00BE73F5" w:rsidRDefault="00BE73F5" w:rsidP="007E5957">
            <w:pPr>
              <w:jc w:val="center"/>
              <w:rPr>
                <w:rFonts w:ascii="Calibri" w:eastAsia="Times New Roman" w:hAnsi="Calibri"/>
                <w:b/>
                <w:bCs/>
                <w:color w:val="FFFFFF"/>
              </w:rPr>
            </w:pPr>
            <w:r>
              <w:rPr>
                <w:rFonts w:ascii="Calibri" w:eastAsia="Times New Roman" w:hAnsi="Calibri"/>
                <w:b/>
                <w:bCs/>
                <w:color w:val="FFFFFF"/>
              </w:rPr>
              <w:t>GHG Emissions Reduction</w:t>
            </w:r>
            <w:r>
              <w:rPr>
                <w:rFonts w:ascii="Calibri" w:eastAsia="Times New Roman" w:hAnsi="Calibri"/>
                <w:b/>
                <w:bCs/>
                <w:color w:val="FFFFFF"/>
              </w:rPr>
              <w:br/>
              <w:t>(cumulative Mt)</w:t>
            </w:r>
          </w:p>
        </w:tc>
        <w:tc>
          <w:tcPr>
            <w:tcW w:w="1155" w:type="dxa"/>
            <w:tcBorders>
              <w:top w:val="single" w:sz="4" w:space="0" w:color="auto"/>
              <w:left w:val="nil"/>
              <w:bottom w:val="single" w:sz="4" w:space="0" w:color="auto"/>
              <w:right w:val="single" w:sz="4" w:space="0" w:color="auto"/>
            </w:tcBorders>
            <w:shd w:val="clear" w:color="000000" w:fill="000000"/>
            <w:vAlign w:val="center"/>
            <w:hideMark/>
          </w:tcPr>
          <w:p w14:paraId="0C9D4C16" w14:textId="77777777" w:rsidR="00BE73F5" w:rsidRDefault="00BE73F5" w:rsidP="007E5957">
            <w:pPr>
              <w:jc w:val="center"/>
              <w:rPr>
                <w:rFonts w:ascii="Calibri" w:eastAsia="Times New Roman" w:hAnsi="Calibri"/>
                <w:b/>
                <w:bCs/>
                <w:color w:val="FFFFFF"/>
              </w:rPr>
            </w:pPr>
            <w:r>
              <w:rPr>
                <w:rFonts w:ascii="Calibri" w:eastAsia="Times New Roman" w:hAnsi="Calibri"/>
                <w:b/>
                <w:bCs/>
                <w:color w:val="FFFFFF"/>
              </w:rPr>
              <w:t>Total (Gross) Benefit (NPV, $M)</w:t>
            </w:r>
          </w:p>
        </w:tc>
        <w:tc>
          <w:tcPr>
            <w:tcW w:w="1484" w:type="dxa"/>
            <w:tcBorders>
              <w:top w:val="single" w:sz="4" w:space="0" w:color="auto"/>
              <w:left w:val="nil"/>
              <w:bottom w:val="single" w:sz="4" w:space="0" w:color="auto"/>
              <w:right w:val="single" w:sz="4" w:space="0" w:color="auto"/>
            </w:tcBorders>
            <w:shd w:val="clear" w:color="000000" w:fill="000000"/>
            <w:vAlign w:val="center"/>
            <w:hideMark/>
          </w:tcPr>
          <w:p w14:paraId="097CAB35" w14:textId="77777777" w:rsidR="00BE73F5" w:rsidRDefault="00BE73F5" w:rsidP="007E5957">
            <w:pPr>
              <w:jc w:val="center"/>
              <w:rPr>
                <w:rFonts w:ascii="Calibri" w:eastAsia="Times New Roman" w:hAnsi="Calibri"/>
                <w:b/>
                <w:bCs/>
                <w:color w:val="FFFFFF"/>
              </w:rPr>
            </w:pPr>
            <w:r>
              <w:rPr>
                <w:rFonts w:ascii="Calibri" w:eastAsia="Times New Roman" w:hAnsi="Calibri"/>
                <w:b/>
                <w:bCs/>
                <w:color w:val="FFFFFF"/>
              </w:rPr>
              <w:t xml:space="preserve">Total Investment </w:t>
            </w:r>
            <w:r>
              <w:rPr>
                <w:rFonts w:ascii="Calibri" w:eastAsia="Times New Roman" w:hAnsi="Calibri"/>
                <w:b/>
                <w:bCs/>
                <w:color w:val="FFFFFF"/>
              </w:rPr>
              <w:br/>
              <w:t>(NPV, $M)</w:t>
            </w:r>
          </w:p>
        </w:tc>
        <w:tc>
          <w:tcPr>
            <w:tcW w:w="1103" w:type="dxa"/>
            <w:tcBorders>
              <w:top w:val="single" w:sz="4" w:space="0" w:color="auto"/>
              <w:left w:val="nil"/>
              <w:bottom w:val="single" w:sz="4" w:space="0" w:color="auto"/>
              <w:right w:val="single" w:sz="4" w:space="0" w:color="auto"/>
            </w:tcBorders>
            <w:shd w:val="clear" w:color="000000" w:fill="000000"/>
            <w:vAlign w:val="center"/>
            <w:hideMark/>
          </w:tcPr>
          <w:p w14:paraId="0EC0C11C" w14:textId="77777777" w:rsidR="00BE73F5" w:rsidRDefault="00BE73F5" w:rsidP="007E5957">
            <w:pPr>
              <w:jc w:val="center"/>
              <w:rPr>
                <w:rFonts w:ascii="Calibri" w:eastAsia="Times New Roman" w:hAnsi="Calibri"/>
                <w:b/>
                <w:bCs/>
                <w:color w:val="FFFFFF"/>
              </w:rPr>
            </w:pPr>
            <w:r>
              <w:rPr>
                <w:rFonts w:ascii="Calibri" w:eastAsia="Times New Roman" w:hAnsi="Calibri"/>
                <w:b/>
                <w:bCs/>
                <w:color w:val="FFFFFF"/>
              </w:rPr>
              <w:t>Net Benefit (NPV, $M)</w:t>
            </w:r>
          </w:p>
        </w:tc>
        <w:tc>
          <w:tcPr>
            <w:tcW w:w="918" w:type="dxa"/>
            <w:tcBorders>
              <w:top w:val="single" w:sz="4" w:space="0" w:color="auto"/>
              <w:left w:val="nil"/>
              <w:bottom w:val="single" w:sz="4" w:space="0" w:color="auto"/>
              <w:right w:val="single" w:sz="4" w:space="0" w:color="auto"/>
            </w:tcBorders>
            <w:shd w:val="clear" w:color="000000" w:fill="000000"/>
            <w:vAlign w:val="center"/>
            <w:hideMark/>
          </w:tcPr>
          <w:p w14:paraId="13BD1323" w14:textId="77777777" w:rsidR="00BE73F5" w:rsidRDefault="00BE73F5" w:rsidP="007E5957">
            <w:pPr>
              <w:jc w:val="center"/>
              <w:rPr>
                <w:rFonts w:ascii="Calibri" w:eastAsia="Times New Roman" w:hAnsi="Calibri"/>
                <w:b/>
                <w:bCs/>
                <w:color w:val="FFFFFF"/>
              </w:rPr>
            </w:pPr>
            <w:r>
              <w:rPr>
                <w:rFonts w:ascii="Calibri" w:eastAsia="Times New Roman" w:hAnsi="Calibri"/>
                <w:b/>
                <w:bCs/>
                <w:color w:val="FFFFFF"/>
              </w:rPr>
              <w:t>(Gross) Benefit to Cost Ratio</w:t>
            </w:r>
          </w:p>
        </w:tc>
      </w:tr>
      <w:tr w:rsidR="00BE73F5" w14:paraId="4B5D7046" w14:textId="77777777" w:rsidTr="00BE73F5">
        <w:trPr>
          <w:trHeight w:val="280"/>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5C8D2F27" w14:textId="77777777" w:rsidR="00BE73F5" w:rsidRDefault="00BE73F5" w:rsidP="007E5957">
            <w:pPr>
              <w:rPr>
                <w:rFonts w:ascii="Calibri" w:eastAsia="Times New Roman" w:hAnsi="Calibri"/>
                <w:b/>
                <w:bCs/>
                <w:color w:val="000000"/>
              </w:rPr>
            </w:pPr>
            <w:r>
              <w:rPr>
                <w:rFonts w:ascii="Calibri" w:eastAsia="Times New Roman" w:hAnsi="Calibri"/>
                <w:b/>
                <w:bCs/>
                <w:color w:val="000000"/>
              </w:rPr>
              <w:t>MEPS LED Lamps</w:t>
            </w:r>
          </w:p>
        </w:tc>
        <w:tc>
          <w:tcPr>
            <w:tcW w:w="0" w:type="auto"/>
            <w:tcBorders>
              <w:top w:val="nil"/>
              <w:left w:val="nil"/>
              <w:bottom w:val="single" w:sz="4" w:space="0" w:color="auto"/>
              <w:right w:val="single" w:sz="4" w:space="0" w:color="auto"/>
            </w:tcBorders>
            <w:shd w:val="clear" w:color="auto" w:fill="auto"/>
            <w:noWrap/>
            <w:vAlign w:val="center"/>
            <w:hideMark/>
          </w:tcPr>
          <w:p w14:paraId="2F56E574" w14:textId="77777777" w:rsidR="00BE73F5" w:rsidRDefault="00BE73F5" w:rsidP="007E5957">
            <w:pPr>
              <w:jc w:val="center"/>
              <w:rPr>
                <w:rFonts w:ascii="Calibri" w:eastAsia="Times New Roman" w:hAnsi="Calibri"/>
                <w:color w:val="000000"/>
              </w:rPr>
            </w:pPr>
            <w:r>
              <w:rPr>
                <w:rFonts w:ascii="Calibri" w:eastAsia="Times New Roman" w:hAnsi="Calibri"/>
                <w:color w:val="000000"/>
              </w:rPr>
              <w:t>Res</w:t>
            </w:r>
          </w:p>
        </w:tc>
        <w:tc>
          <w:tcPr>
            <w:tcW w:w="0" w:type="auto"/>
            <w:tcBorders>
              <w:top w:val="nil"/>
              <w:left w:val="nil"/>
              <w:bottom w:val="single" w:sz="4" w:space="0" w:color="auto"/>
              <w:right w:val="single" w:sz="4" w:space="0" w:color="auto"/>
            </w:tcBorders>
            <w:shd w:val="clear" w:color="auto" w:fill="auto"/>
            <w:noWrap/>
            <w:vAlign w:val="center"/>
            <w:hideMark/>
          </w:tcPr>
          <w:p w14:paraId="33AD5767" w14:textId="77777777" w:rsidR="00BE73F5" w:rsidRDefault="00BE73F5" w:rsidP="007E5957">
            <w:pPr>
              <w:jc w:val="center"/>
              <w:rPr>
                <w:rFonts w:ascii="Calibri" w:eastAsia="Times New Roman" w:hAnsi="Calibri"/>
                <w:color w:val="000000"/>
              </w:rPr>
            </w:pPr>
            <w:r>
              <w:rPr>
                <w:rFonts w:ascii="Calibri" w:eastAsia="Times New Roman" w:hAnsi="Calibri"/>
                <w:color w:val="000000"/>
              </w:rPr>
              <w:t xml:space="preserve">1,382 </w:t>
            </w:r>
          </w:p>
        </w:tc>
        <w:tc>
          <w:tcPr>
            <w:tcW w:w="0" w:type="auto"/>
            <w:tcBorders>
              <w:top w:val="nil"/>
              <w:left w:val="nil"/>
              <w:bottom w:val="single" w:sz="4" w:space="0" w:color="auto"/>
              <w:right w:val="single" w:sz="4" w:space="0" w:color="auto"/>
            </w:tcBorders>
            <w:shd w:val="clear" w:color="auto" w:fill="auto"/>
            <w:noWrap/>
            <w:vAlign w:val="center"/>
            <w:hideMark/>
          </w:tcPr>
          <w:p w14:paraId="1BFED01B" w14:textId="77777777" w:rsidR="00BE73F5" w:rsidRDefault="00BE73F5" w:rsidP="007E5957">
            <w:pPr>
              <w:jc w:val="center"/>
              <w:rPr>
                <w:rFonts w:ascii="Calibri" w:eastAsia="Times New Roman" w:hAnsi="Calibri"/>
                <w:color w:val="000000"/>
              </w:rPr>
            </w:pPr>
            <w:r>
              <w:rPr>
                <w:rFonts w:ascii="Calibri" w:eastAsia="Times New Roman" w:hAnsi="Calibri"/>
                <w:color w:val="000000"/>
              </w:rPr>
              <w:t xml:space="preserve">0.8 </w:t>
            </w:r>
          </w:p>
        </w:tc>
        <w:tc>
          <w:tcPr>
            <w:tcW w:w="0" w:type="auto"/>
            <w:tcBorders>
              <w:top w:val="nil"/>
              <w:left w:val="nil"/>
              <w:bottom w:val="single" w:sz="4" w:space="0" w:color="auto"/>
              <w:right w:val="single" w:sz="4" w:space="0" w:color="auto"/>
            </w:tcBorders>
            <w:shd w:val="clear" w:color="auto" w:fill="auto"/>
            <w:noWrap/>
            <w:vAlign w:val="center"/>
            <w:hideMark/>
          </w:tcPr>
          <w:p w14:paraId="19824C71" w14:textId="77777777" w:rsidR="00BE73F5" w:rsidRDefault="00BE73F5" w:rsidP="007E5957">
            <w:pPr>
              <w:jc w:val="center"/>
              <w:rPr>
                <w:rFonts w:ascii="Calibri" w:eastAsia="Times New Roman" w:hAnsi="Calibri"/>
                <w:color w:val="000000"/>
              </w:rPr>
            </w:pPr>
            <w:r>
              <w:rPr>
                <w:rFonts w:ascii="Calibri" w:eastAsia="Times New Roman" w:hAnsi="Calibri"/>
                <w:color w:val="000000"/>
              </w:rPr>
              <w:t xml:space="preserve">195 </w:t>
            </w:r>
          </w:p>
        </w:tc>
        <w:tc>
          <w:tcPr>
            <w:tcW w:w="0" w:type="auto"/>
            <w:tcBorders>
              <w:top w:val="nil"/>
              <w:left w:val="nil"/>
              <w:bottom w:val="single" w:sz="4" w:space="0" w:color="auto"/>
              <w:right w:val="single" w:sz="4" w:space="0" w:color="auto"/>
            </w:tcBorders>
            <w:shd w:val="clear" w:color="auto" w:fill="auto"/>
            <w:noWrap/>
            <w:vAlign w:val="center"/>
            <w:hideMark/>
          </w:tcPr>
          <w:p w14:paraId="36BB3A1B" w14:textId="77777777" w:rsidR="00BE73F5" w:rsidRDefault="00BE73F5" w:rsidP="007E5957">
            <w:pPr>
              <w:jc w:val="center"/>
              <w:rPr>
                <w:rFonts w:ascii="Calibri" w:eastAsia="Times New Roman" w:hAnsi="Calibri"/>
                <w:color w:val="000000"/>
              </w:rPr>
            </w:pPr>
            <w:r>
              <w:rPr>
                <w:rFonts w:ascii="Calibri" w:eastAsia="Times New Roman" w:hAnsi="Calibri"/>
                <w:color w:val="000000"/>
              </w:rPr>
              <w:t>0</w:t>
            </w:r>
          </w:p>
        </w:tc>
        <w:tc>
          <w:tcPr>
            <w:tcW w:w="0" w:type="auto"/>
            <w:tcBorders>
              <w:top w:val="nil"/>
              <w:left w:val="nil"/>
              <w:bottom w:val="single" w:sz="4" w:space="0" w:color="auto"/>
              <w:right w:val="single" w:sz="4" w:space="0" w:color="auto"/>
            </w:tcBorders>
            <w:shd w:val="clear" w:color="auto" w:fill="auto"/>
            <w:noWrap/>
            <w:vAlign w:val="center"/>
            <w:hideMark/>
          </w:tcPr>
          <w:p w14:paraId="47B0FA58" w14:textId="77777777" w:rsidR="00BE73F5" w:rsidRDefault="00BE73F5" w:rsidP="007E5957">
            <w:pPr>
              <w:jc w:val="center"/>
              <w:rPr>
                <w:rFonts w:ascii="Calibri" w:eastAsia="Times New Roman" w:hAnsi="Calibri"/>
                <w:color w:val="000000"/>
              </w:rPr>
            </w:pPr>
            <w:r>
              <w:rPr>
                <w:rFonts w:ascii="Calibri" w:eastAsia="Times New Roman" w:hAnsi="Calibri"/>
                <w:color w:val="000000"/>
              </w:rPr>
              <w:t xml:space="preserve">195 </w:t>
            </w:r>
          </w:p>
        </w:tc>
        <w:tc>
          <w:tcPr>
            <w:tcW w:w="0" w:type="auto"/>
            <w:tcBorders>
              <w:top w:val="nil"/>
              <w:left w:val="nil"/>
              <w:bottom w:val="single" w:sz="4" w:space="0" w:color="auto"/>
              <w:right w:val="single" w:sz="4" w:space="0" w:color="auto"/>
            </w:tcBorders>
            <w:shd w:val="clear" w:color="auto" w:fill="auto"/>
            <w:noWrap/>
            <w:vAlign w:val="center"/>
            <w:hideMark/>
          </w:tcPr>
          <w:p w14:paraId="6B80E852" w14:textId="77777777" w:rsidR="00BE73F5" w:rsidRDefault="00BE73F5" w:rsidP="007E5957">
            <w:pPr>
              <w:jc w:val="center"/>
              <w:rPr>
                <w:rFonts w:ascii="Calibri" w:eastAsia="Times New Roman" w:hAnsi="Calibri"/>
                <w:color w:val="000000"/>
              </w:rPr>
            </w:pPr>
            <w:r>
              <w:rPr>
                <w:rFonts w:ascii="Calibri" w:eastAsia="Times New Roman" w:hAnsi="Calibri"/>
                <w:color w:val="000000"/>
              </w:rPr>
              <w:t> </w:t>
            </w:r>
          </w:p>
        </w:tc>
      </w:tr>
      <w:tr w:rsidR="00BE73F5" w14:paraId="6BE6E58F" w14:textId="77777777" w:rsidTr="00BE73F5">
        <w:trPr>
          <w:trHeight w:val="280"/>
        </w:trPr>
        <w:tc>
          <w:tcPr>
            <w:tcW w:w="0" w:type="auto"/>
            <w:vMerge/>
            <w:tcBorders>
              <w:top w:val="nil"/>
              <w:left w:val="single" w:sz="4" w:space="0" w:color="auto"/>
              <w:bottom w:val="single" w:sz="4" w:space="0" w:color="000000"/>
              <w:right w:val="single" w:sz="4" w:space="0" w:color="auto"/>
            </w:tcBorders>
            <w:vAlign w:val="center"/>
            <w:hideMark/>
          </w:tcPr>
          <w:p w14:paraId="5AA90937" w14:textId="77777777" w:rsidR="00BE73F5" w:rsidRDefault="00BE73F5" w:rsidP="007E5957">
            <w:pPr>
              <w:rPr>
                <w:rFonts w:ascii="Calibri" w:eastAsia="Times New Roman" w:hAnsi="Calibri"/>
                <w:b/>
                <w:bCs/>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14:paraId="21D37061" w14:textId="77777777" w:rsidR="00BE73F5" w:rsidRDefault="00BE73F5" w:rsidP="007E5957">
            <w:pPr>
              <w:jc w:val="center"/>
              <w:rPr>
                <w:rFonts w:ascii="Calibri" w:eastAsia="Times New Roman" w:hAnsi="Calibri"/>
                <w:color w:val="000000"/>
              </w:rPr>
            </w:pPr>
            <w:r>
              <w:rPr>
                <w:rFonts w:ascii="Calibri" w:eastAsia="Times New Roman" w:hAnsi="Calibri"/>
                <w:color w:val="000000"/>
              </w:rPr>
              <w:t>Com</w:t>
            </w:r>
          </w:p>
        </w:tc>
        <w:tc>
          <w:tcPr>
            <w:tcW w:w="0" w:type="auto"/>
            <w:tcBorders>
              <w:top w:val="nil"/>
              <w:left w:val="nil"/>
              <w:bottom w:val="single" w:sz="4" w:space="0" w:color="auto"/>
              <w:right w:val="single" w:sz="4" w:space="0" w:color="auto"/>
            </w:tcBorders>
            <w:shd w:val="clear" w:color="auto" w:fill="auto"/>
            <w:noWrap/>
            <w:vAlign w:val="center"/>
            <w:hideMark/>
          </w:tcPr>
          <w:p w14:paraId="478AF435" w14:textId="77777777" w:rsidR="00BE73F5" w:rsidRDefault="00BE73F5" w:rsidP="007E5957">
            <w:pPr>
              <w:jc w:val="center"/>
              <w:rPr>
                <w:rFonts w:ascii="Calibri" w:eastAsia="Times New Roman" w:hAnsi="Calibri"/>
                <w:color w:val="000000"/>
              </w:rPr>
            </w:pPr>
            <w:r>
              <w:rPr>
                <w:rFonts w:ascii="Calibri" w:eastAsia="Times New Roman" w:hAnsi="Calibri"/>
                <w:color w:val="000000"/>
              </w:rPr>
              <w:t xml:space="preserve">2,055 </w:t>
            </w:r>
          </w:p>
        </w:tc>
        <w:tc>
          <w:tcPr>
            <w:tcW w:w="0" w:type="auto"/>
            <w:tcBorders>
              <w:top w:val="nil"/>
              <w:left w:val="nil"/>
              <w:bottom w:val="single" w:sz="4" w:space="0" w:color="auto"/>
              <w:right w:val="single" w:sz="4" w:space="0" w:color="auto"/>
            </w:tcBorders>
            <w:shd w:val="clear" w:color="auto" w:fill="auto"/>
            <w:noWrap/>
            <w:vAlign w:val="center"/>
            <w:hideMark/>
          </w:tcPr>
          <w:p w14:paraId="38C76D38" w14:textId="77777777" w:rsidR="00BE73F5" w:rsidRDefault="00BE73F5" w:rsidP="007E5957">
            <w:pPr>
              <w:jc w:val="center"/>
              <w:rPr>
                <w:rFonts w:ascii="Calibri" w:eastAsia="Times New Roman" w:hAnsi="Calibri"/>
                <w:color w:val="000000"/>
              </w:rPr>
            </w:pPr>
            <w:r>
              <w:rPr>
                <w:rFonts w:ascii="Calibri" w:eastAsia="Times New Roman" w:hAnsi="Calibri"/>
                <w:color w:val="000000"/>
              </w:rPr>
              <w:t xml:space="preserve">1.4 </w:t>
            </w:r>
          </w:p>
        </w:tc>
        <w:tc>
          <w:tcPr>
            <w:tcW w:w="0" w:type="auto"/>
            <w:tcBorders>
              <w:top w:val="nil"/>
              <w:left w:val="nil"/>
              <w:bottom w:val="single" w:sz="4" w:space="0" w:color="auto"/>
              <w:right w:val="single" w:sz="4" w:space="0" w:color="auto"/>
            </w:tcBorders>
            <w:shd w:val="clear" w:color="auto" w:fill="auto"/>
            <w:noWrap/>
            <w:vAlign w:val="center"/>
            <w:hideMark/>
          </w:tcPr>
          <w:p w14:paraId="55B5E09F" w14:textId="77777777" w:rsidR="00BE73F5" w:rsidRDefault="00BE73F5" w:rsidP="007E5957">
            <w:pPr>
              <w:jc w:val="center"/>
              <w:rPr>
                <w:rFonts w:ascii="Calibri" w:eastAsia="Times New Roman" w:hAnsi="Calibri"/>
                <w:color w:val="000000"/>
              </w:rPr>
            </w:pPr>
            <w:r>
              <w:rPr>
                <w:rFonts w:ascii="Calibri" w:eastAsia="Times New Roman" w:hAnsi="Calibri"/>
                <w:color w:val="000000"/>
              </w:rPr>
              <w:t xml:space="preserve">210 </w:t>
            </w:r>
          </w:p>
        </w:tc>
        <w:tc>
          <w:tcPr>
            <w:tcW w:w="0" w:type="auto"/>
            <w:tcBorders>
              <w:top w:val="nil"/>
              <w:left w:val="nil"/>
              <w:bottom w:val="single" w:sz="4" w:space="0" w:color="auto"/>
              <w:right w:val="single" w:sz="4" w:space="0" w:color="auto"/>
            </w:tcBorders>
            <w:shd w:val="clear" w:color="auto" w:fill="auto"/>
            <w:noWrap/>
            <w:vAlign w:val="center"/>
            <w:hideMark/>
          </w:tcPr>
          <w:p w14:paraId="3D772774" w14:textId="77777777" w:rsidR="00BE73F5" w:rsidRDefault="00BE73F5" w:rsidP="007E5957">
            <w:pPr>
              <w:jc w:val="center"/>
              <w:rPr>
                <w:rFonts w:ascii="Calibri" w:eastAsia="Times New Roman" w:hAnsi="Calibri"/>
                <w:color w:val="000000"/>
              </w:rPr>
            </w:pPr>
            <w:r>
              <w:rPr>
                <w:rFonts w:ascii="Calibri" w:eastAsia="Times New Roman" w:hAnsi="Calibri"/>
                <w:color w:val="000000"/>
              </w:rPr>
              <w:t>0</w:t>
            </w:r>
          </w:p>
        </w:tc>
        <w:tc>
          <w:tcPr>
            <w:tcW w:w="0" w:type="auto"/>
            <w:tcBorders>
              <w:top w:val="nil"/>
              <w:left w:val="nil"/>
              <w:bottom w:val="single" w:sz="4" w:space="0" w:color="auto"/>
              <w:right w:val="single" w:sz="4" w:space="0" w:color="auto"/>
            </w:tcBorders>
            <w:shd w:val="clear" w:color="auto" w:fill="auto"/>
            <w:noWrap/>
            <w:vAlign w:val="center"/>
            <w:hideMark/>
          </w:tcPr>
          <w:p w14:paraId="1F315201" w14:textId="77777777" w:rsidR="00BE73F5" w:rsidRDefault="00BE73F5" w:rsidP="007E5957">
            <w:pPr>
              <w:jc w:val="center"/>
              <w:rPr>
                <w:rFonts w:ascii="Calibri" w:eastAsia="Times New Roman" w:hAnsi="Calibri"/>
                <w:color w:val="000000"/>
              </w:rPr>
            </w:pPr>
            <w:r>
              <w:rPr>
                <w:rFonts w:ascii="Calibri" w:eastAsia="Times New Roman" w:hAnsi="Calibri"/>
                <w:color w:val="000000"/>
              </w:rPr>
              <w:t xml:space="preserve">210 </w:t>
            </w:r>
          </w:p>
        </w:tc>
        <w:tc>
          <w:tcPr>
            <w:tcW w:w="0" w:type="auto"/>
            <w:tcBorders>
              <w:top w:val="nil"/>
              <w:left w:val="nil"/>
              <w:bottom w:val="single" w:sz="4" w:space="0" w:color="auto"/>
              <w:right w:val="single" w:sz="4" w:space="0" w:color="auto"/>
            </w:tcBorders>
            <w:shd w:val="clear" w:color="auto" w:fill="auto"/>
            <w:noWrap/>
            <w:vAlign w:val="center"/>
            <w:hideMark/>
          </w:tcPr>
          <w:p w14:paraId="4223A111" w14:textId="77777777" w:rsidR="00BE73F5" w:rsidRDefault="00BE73F5" w:rsidP="007E5957">
            <w:pPr>
              <w:jc w:val="center"/>
              <w:rPr>
                <w:rFonts w:ascii="Calibri" w:eastAsia="Times New Roman" w:hAnsi="Calibri"/>
                <w:color w:val="000000"/>
              </w:rPr>
            </w:pPr>
            <w:r>
              <w:rPr>
                <w:rFonts w:ascii="Calibri" w:eastAsia="Times New Roman" w:hAnsi="Calibri"/>
                <w:color w:val="000000"/>
              </w:rPr>
              <w:t> </w:t>
            </w:r>
          </w:p>
        </w:tc>
      </w:tr>
      <w:tr w:rsidR="00BE73F5" w14:paraId="2002B5CC" w14:textId="77777777" w:rsidTr="00BE73F5">
        <w:trPr>
          <w:trHeight w:val="2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019DBB" w14:textId="77777777" w:rsidR="00BE73F5" w:rsidRDefault="00BE73F5" w:rsidP="007E5957">
            <w:pPr>
              <w:rPr>
                <w:rFonts w:ascii="Calibri" w:eastAsia="Times New Roman" w:hAnsi="Calibri"/>
                <w:b/>
                <w:bCs/>
                <w:color w:val="000000"/>
              </w:rPr>
            </w:pPr>
            <w:r>
              <w:rPr>
                <w:rFonts w:ascii="Calibri" w:eastAsia="Times New Roman" w:hAnsi="Calibri"/>
                <w:b/>
                <w:bCs/>
                <w:color w:val="000000"/>
              </w:rPr>
              <w:t>Phase Out Halogen</w:t>
            </w:r>
          </w:p>
        </w:tc>
        <w:tc>
          <w:tcPr>
            <w:tcW w:w="0" w:type="auto"/>
            <w:tcBorders>
              <w:top w:val="nil"/>
              <w:left w:val="nil"/>
              <w:bottom w:val="single" w:sz="4" w:space="0" w:color="auto"/>
              <w:right w:val="single" w:sz="4" w:space="0" w:color="auto"/>
            </w:tcBorders>
            <w:shd w:val="clear" w:color="auto" w:fill="auto"/>
            <w:noWrap/>
            <w:vAlign w:val="center"/>
            <w:hideMark/>
          </w:tcPr>
          <w:p w14:paraId="1D0CCF4D" w14:textId="77777777" w:rsidR="00BE73F5" w:rsidRDefault="00BE73F5" w:rsidP="007E5957">
            <w:pPr>
              <w:jc w:val="center"/>
              <w:rPr>
                <w:rFonts w:ascii="Calibri" w:eastAsia="Times New Roman" w:hAnsi="Calibri"/>
                <w:color w:val="000000"/>
              </w:rPr>
            </w:pPr>
            <w:r>
              <w:rPr>
                <w:rFonts w:ascii="Calibri" w:eastAsia="Times New Roman" w:hAnsi="Calibri"/>
                <w:color w:val="000000"/>
              </w:rPr>
              <w:t>Res</w:t>
            </w:r>
          </w:p>
        </w:tc>
        <w:tc>
          <w:tcPr>
            <w:tcW w:w="0" w:type="auto"/>
            <w:tcBorders>
              <w:top w:val="nil"/>
              <w:left w:val="nil"/>
              <w:bottom w:val="single" w:sz="4" w:space="0" w:color="auto"/>
              <w:right w:val="single" w:sz="4" w:space="0" w:color="auto"/>
            </w:tcBorders>
            <w:shd w:val="clear" w:color="auto" w:fill="auto"/>
            <w:noWrap/>
            <w:vAlign w:val="center"/>
            <w:hideMark/>
          </w:tcPr>
          <w:p w14:paraId="0F797193" w14:textId="77777777" w:rsidR="00BE73F5" w:rsidRDefault="00BE73F5" w:rsidP="007E5957">
            <w:pPr>
              <w:jc w:val="center"/>
              <w:rPr>
                <w:rFonts w:ascii="Calibri" w:eastAsia="Times New Roman" w:hAnsi="Calibri"/>
                <w:color w:val="000000"/>
              </w:rPr>
            </w:pPr>
            <w:r>
              <w:rPr>
                <w:rFonts w:ascii="Calibri" w:eastAsia="Times New Roman" w:hAnsi="Calibri"/>
                <w:color w:val="000000"/>
              </w:rPr>
              <w:t xml:space="preserve">7,622 </w:t>
            </w:r>
          </w:p>
        </w:tc>
        <w:tc>
          <w:tcPr>
            <w:tcW w:w="0" w:type="auto"/>
            <w:tcBorders>
              <w:top w:val="nil"/>
              <w:left w:val="nil"/>
              <w:bottom w:val="single" w:sz="4" w:space="0" w:color="auto"/>
              <w:right w:val="single" w:sz="4" w:space="0" w:color="auto"/>
            </w:tcBorders>
            <w:shd w:val="clear" w:color="auto" w:fill="auto"/>
            <w:noWrap/>
            <w:vAlign w:val="center"/>
            <w:hideMark/>
          </w:tcPr>
          <w:p w14:paraId="4106DB82" w14:textId="77777777" w:rsidR="00BE73F5" w:rsidRDefault="00BE73F5" w:rsidP="007E5957">
            <w:pPr>
              <w:jc w:val="center"/>
              <w:rPr>
                <w:rFonts w:ascii="Calibri" w:eastAsia="Times New Roman" w:hAnsi="Calibri"/>
                <w:color w:val="000000"/>
              </w:rPr>
            </w:pPr>
            <w:r>
              <w:rPr>
                <w:rFonts w:ascii="Calibri" w:eastAsia="Times New Roman" w:hAnsi="Calibri"/>
                <w:color w:val="000000"/>
              </w:rPr>
              <w:t xml:space="preserve">5.3 </w:t>
            </w:r>
          </w:p>
        </w:tc>
        <w:tc>
          <w:tcPr>
            <w:tcW w:w="0" w:type="auto"/>
            <w:tcBorders>
              <w:top w:val="nil"/>
              <w:left w:val="nil"/>
              <w:bottom w:val="single" w:sz="4" w:space="0" w:color="auto"/>
              <w:right w:val="single" w:sz="4" w:space="0" w:color="auto"/>
            </w:tcBorders>
            <w:shd w:val="clear" w:color="auto" w:fill="auto"/>
            <w:noWrap/>
            <w:vAlign w:val="center"/>
            <w:hideMark/>
          </w:tcPr>
          <w:p w14:paraId="3F1FF287" w14:textId="77777777" w:rsidR="00BE73F5" w:rsidRDefault="00BE73F5" w:rsidP="007E5957">
            <w:pPr>
              <w:jc w:val="center"/>
              <w:rPr>
                <w:rFonts w:ascii="Calibri" w:eastAsia="Times New Roman" w:hAnsi="Calibri"/>
                <w:color w:val="000000"/>
              </w:rPr>
            </w:pPr>
            <w:r>
              <w:rPr>
                <w:rFonts w:ascii="Calibri" w:eastAsia="Times New Roman" w:hAnsi="Calibri"/>
                <w:color w:val="000000"/>
              </w:rPr>
              <w:t xml:space="preserve">1,185 </w:t>
            </w:r>
          </w:p>
        </w:tc>
        <w:tc>
          <w:tcPr>
            <w:tcW w:w="0" w:type="auto"/>
            <w:tcBorders>
              <w:top w:val="nil"/>
              <w:left w:val="nil"/>
              <w:bottom w:val="single" w:sz="4" w:space="0" w:color="auto"/>
              <w:right w:val="single" w:sz="4" w:space="0" w:color="auto"/>
            </w:tcBorders>
            <w:shd w:val="clear" w:color="auto" w:fill="auto"/>
            <w:noWrap/>
            <w:vAlign w:val="center"/>
            <w:hideMark/>
          </w:tcPr>
          <w:p w14:paraId="47A7F8E3" w14:textId="77777777" w:rsidR="00BE73F5" w:rsidRDefault="00BE73F5" w:rsidP="007E5957">
            <w:pPr>
              <w:jc w:val="center"/>
              <w:rPr>
                <w:rFonts w:ascii="Calibri" w:eastAsia="Times New Roman" w:hAnsi="Calibri"/>
                <w:color w:val="000000"/>
              </w:rPr>
            </w:pPr>
            <w:r>
              <w:rPr>
                <w:rFonts w:ascii="Calibri" w:eastAsia="Times New Roman" w:hAnsi="Calibri"/>
                <w:color w:val="000000"/>
              </w:rPr>
              <w:t>168</w:t>
            </w:r>
          </w:p>
        </w:tc>
        <w:tc>
          <w:tcPr>
            <w:tcW w:w="0" w:type="auto"/>
            <w:tcBorders>
              <w:top w:val="nil"/>
              <w:left w:val="nil"/>
              <w:bottom w:val="single" w:sz="4" w:space="0" w:color="auto"/>
              <w:right w:val="single" w:sz="4" w:space="0" w:color="auto"/>
            </w:tcBorders>
            <w:shd w:val="clear" w:color="auto" w:fill="auto"/>
            <w:noWrap/>
            <w:vAlign w:val="center"/>
            <w:hideMark/>
          </w:tcPr>
          <w:p w14:paraId="1204001F" w14:textId="77777777" w:rsidR="00BE73F5" w:rsidRDefault="00BE73F5" w:rsidP="007E5957">
            <w:pPr>
              <w:jc w:val="center"/>
              <w:rPr>
                <w:rFonts w:ascii="Calibri" w:eastAsia="Times New Roman" w:hAnsi="Calibri"/>
                <w:color w:val="000000"/>
              </w:rPr>
            </w:pPr>
            <w:r>
              <w:rPr>
                <w:rFonts w:ascii="Calibri" w:eastAsia="Times New Roman" w:hAnsi="Calibri"/>
                <w:color w:val="000000"/>
              </w:rPr>
              <w:t xml:space="preserve">1,018 </w:t>
            </w:r>
          </w:p>
        </w:tc>
        <w:tc>
          <w:tcPr>
            <w:tcW w:w="0" w:type="auto"/>
            <w:tcBorders>
              <w:top w:val="nil"/>
              <w:left w:val="nil"/>
              <w:bottom w:val="single" w:sz="4" w:space="0" w:color="auto"/>
              <w:right w:val="single" w:sz="4" w:space="0" w:color="auto"/>
            </w:tcBorders>
            <w:shd w:val="clear" w:color="auto" w:fill="auto"/>
            <w:noWrap/>
            <w:vAlign w:val="center"/>
            <w:hideMark/>
          </w:tcPr>
          <w:p w14:paraId="3E856F11" w14:textId="77777777" w:rsidR="00BE73F5" w:rsidRDefault="00BE73F5" w:rsidP="007E5957">
            <w:pPr>
              <w:jc w:val="center"/>
              <w:rPr>
                <w:rFonts w:ascii="Calibri" w:eastAsia="Times New Roman" w:hAnsi="Calibri"/>
                <w:color w:val="000000"/>
              </w:rPr>
            </w:pPr>
            <w:r>
              <w:rPr>
                <w:rFonts w:ascii="Calibri" w:eastAsia="Times New Roman" w:hAnsi="Calibri"/>
                <w:color w:val="000000"/>
              </w:rPr>
              <w:t xml:space="preserve">7.1 </w:t>
            </w:r>
          </w:p>
        </w:tc>
      </w:tr>
      <w:tr w:rsidR="00BE73F5" w14:paraId="018DB331" w14:textId="77777777" w:rsidTr="00BE73F5">
        <w:trPr>
          <w:trHeight w:val="2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0505B0" w14:textId="77777777" w:rsidR="00BE73F5" w:rsidRDefault="00BE73F5" w:rsidP="007E5957">
            <w:pPr>
              <w:rPr>
                <w:rFonts w:ascii="Calibri" w:eastAsia="Times New Roman" w:hAnsi="Calibri"/>
                <w:b/>
                <w:bCs/>
                <w:color w:val="000000"/>
              </w:rPr>
            </w:pPr>
            <w:r>
              <w:rPr>
                <w:rFonts w:ascii="Calibri" w:eastAsia="Times New Roman" w:hAnsi="Calibri"/>
                <w:b/>
                <w:bCs/>
                <w:color w:val="000000"/>
              </w:rPr>
              <w:t>Industry + Govt Costs</w:t>
            </w:r>
          </w:p>
        </w:tc>
        <w:tc>
          <w:tcPr>
            <w:tcW w:w="0" w:type="auto"/>
            <w:tcBorders>
              <w:top w:val="nil"/>
              <w:left w:val="nil"/>
              <w:bottom w:val="single" w:sz="4" w:space="0" w:color="auto"/>
              <w:right w:val="single" w:sz="4" w:space="0" w:color="auto"/>
            </w:tcBorders>
            <w:shd w:val="clear" w:color="auto" w:fill="auto"/>
            <w:noWrap/>
            <w:vAlign w:val="center"/>
            <w:hideMark/>
          </w:tcPr>
          <w:p w14:paraId="12B7FBB8" w14:textId="77777777" w:rsidR="00BE73F5" w:rsidRDefault="00BE73F5" w:rsidP="007E5957">
            <w:pPr>
              <w:jc w:val="center"/>
              <w:rPr>
                <w:rFonts w:ascii="Calibri" w:eastAsia="Times New Roman" w:hAnsi="Calibri"/>
                <w:color w:val="000000"/>
              </w:rPr>
            </w:pPr>
            <w:r>
              <w:rPr>
                <w:rFonts w:ascii="Calibri" w:eastAsia="Times New Roman" w:hAnsi="Calibri"/>
                <w:color w:val="000000"/>
              </w:rPr>
              <w:t>Admin</w:t>
            </w:r>
          </w:p>
        </w:tc>
        <w:tc>
          <w:tcPr>
            <w:tcW w:w="0" w:type="auto"/>
            <w:tcBorders>
              <w:top w:val="nil"/>
              <w:left w:val="nil"/>
              <w:bottom w:val="single" w:sz="4" w:space="0" w:color="auto"/>
              <w:right w:val="single" w:sz="4" w:space="0" w:color="auto"/>
            </w:tcBorders>
            <w:shd w:val="clear" w:color="auto" w:fill="auto"/>
            <w:noWrap/>
            <w:vAlign w:val="center"/>
            <w:hideMark/>
          </w:tcPr>
          <w:p w14:paraId="37407FF6" w14:textId="77777777" w:rsidR="00BE73F5" w:rsidRDefault="00BE73F5" w:rsidP="007E5957">
            <w:pPr>
              <w:jc w:val="center"/>
              <w:rPr>
                <w:rFonts w:ascii="Calibri" w:eastAsia="Times New Roman" w:hAnsi="Calibri"/>
                <w:color w:val="000000"/>
              </w:rPr>
            </w:pPr>
            <w:r>
              <w:rPr>
                <w:rFonts w:ascii="Calibri" w:eastAsia="Times New Roman" w:hAnsi="Calibri"/>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14:paraId="4079CA19" w14:textId="77777777" w:rsidR="00BE73F5" w:rsidRDefault="00BE73F5" w:rsidP="007E5957">
            <w:pPr>
              <w:jc w:val="center"/>
              <w:rPr>
                <w:rFonts w:ascii="Calibri" w:eastAsia="Times New Roman" w:hAnsi="Calibri"/>
                <w:color w:val="000000"/>
              </w:rPr>
            </w:pPr>
            <w:r>
              <w:rPr>
                <w:rFonts w:ascii="Calibri" w:eastAsia="Times New Roman" w:hAnsi="Calibri"/>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14:paraId="1B4AF0BC" w14:textId="77777777" w:rsidR="00BE73F5" w:rsidRDefault="00BE73F5" w:rsidP="007E5957">
            <w:pPr>
              <w:jc w:val="center"/>
              <w:rPr>
                <w:rFonts w:ascii="Calibri" w:eastAsia="Times New Roman" w:hAnsi="Calibri"/>
                <w:color w:val="000000"/>
              </w:rPr>
            </w:pPr>
            <w:r>
              <w:rPr>
                <w:rFonts w:ascii="Calibri" w:eastAsia="Times New Roman" w:hAnsi="Calibri"/>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14:paraId="250212FF" w14:textId="77777777" w:rsidR="00BE73F5" w:rsidRDefault="00BE73F5" w:rsidP="007E5957">
            <w:pPr>
              <w:jc w:val="center"/>
              <w:rPr>
                <w:rFonts w:ascii="Calibri" w:eastAsia="Times New Roman" w:hAnsi="Calibri"/>
                <w:color w:val="000000"/>
              </w:rPr>
            </w:pPr>
            <w:r>
              <w:rPr>
                <w:rFonts w:ascii="Calibri" w:eastAsia="Times New Roman" w:hAnsi="Calibri"/>
                <w:color w:val="000000"/>
              </w:rPr>
              <w:t>14</w:t>
            </w:r>
          </w:p>
        </w:tc>
        <w:tc>
          <w:tcPr>
            <w:tcW w:w="0" w:type="auto"/>
            <w:tcBorders>
              <w:top w:val="nil"/>
              <w:left w:val="nil"/>
              <w:bottom w:val="single" w:sz="4" w:space="0" w:color="auto"/>
              <w:right w:val="single" w:sz="4" w:space="0" w:color="auto"/>
            </w:tcBorders>
            <w:shd w:val="clear" w:color="auto" w:fill="auto"/>
            <w:noWrap/>
            <w:vAlign w:val="center"/>
            <w:hideMark/>
          </w:tcPr>
          <w:p w14:paraId="5B9F8B0A" w14:textId="77777777" w:rsidR="00BE73F5" w:rsidRDefault="00BE73F5" w:rsidP="007E5957">
            <w:pPr>
              <w:jc w:val="center"/>
              <w:rPr>
                <w:rFonts w:ascii="Calibri" w:eastAsia="Times New Roman" w:hAnsi="Calibri"/>
                <w:color w:val="000000"/>
              </w:rPr>
            </w:pPr>
            <w:r>
              <w:rPr>
                <w:rFonts w:ascii="Calibri" w:eastAsia="Times New Roman" w:hAnsi="Calibri"/>
                <w:color w:val="000000"/>
              </w:rPr>
              <w:t>-14</w:t>
            </w:r>
          </w:p>
        </w:tc>
        <w:tc>
          <w:tcPr>
            <w:tcW w:w="0" w:type="auto"/>
            <w:tcBorders>
              <w:top w:val="nil"/>
              <w:left w:val="nil"/>
              <w:bottom w:val="single" w:sz="4" w:space="0" w:color="auto"/>
              <w:right w:val="single" w:sz="4" w:space="0" w:color="auto"/>
            </w:tcBorders>
            <w:shd w:val="clear" w:color="auto" w:fill="auto"/>
            <w:noWrap/>
            <w:vAlign w:val="center"/>
            <w:hideMark/>
          </w:tcPr>
          <w:p w14:paraId="12A5E6A3" w14:textId="77777777" w:rsidR="00BE73F5" w:rsidRDefault="00BE73F5" w:rsidP="007E5957">
            <w:pPr>
              <w:jc w:val="center"/>
              <w:rPr>
                <w:rFonts w:ascii="Calibri" w:eastAsia="Times New Roman" w:hAnsi="Calibri"/>
                <w:color w:val="000000"/>
              </w:rPr>
            </w:pPr>
            <w:r>
              <w:rPr>
                <w:rFonts w:ascii="Calibri" w:eastAsia="Times New Roman" w:hAnsi="Calibri"/>
                <w:color w:val="000000"/>
              </w:rPr>
              <w:t> </w:t>
            </w:r>
          </w:p>
        </w:tc>
      </w:tr>
      <w:tr w:rsidR="00BE73F5" w14:paraId="0FA2BBE3" w14:textId="77777777" w:rsidTr="00BE73F5">
        <w:trPr>
          <w:trHeight w:val="203"/>
        </w:trPr>
        <w:tc>
          <w:tcPr>
            <w:tcW w:w="0" w:type="auto"/>
            <w:tcBorders>
              <w:top w:val="nil"/>
              <w:left w:val="nil"/>
              <w:bottom w:val="nil"/>
              <w:right w:val="nil"/>
            </w:tcBorders>
            <w:shd w:val="clear" w:color="auto" w:fill="auto"/>
            <w:noWrap/>
            <w:vAlign w:val="center"/>
            <w:hideMark/>
          </w:tcPr>
          <w:p w14:paraId="34200637" w14:textId="77777777" w:rsidR="00BE73F5" w:rsidRDefault="00BE73F5" w:rsidP="007E5957">
            <w:pPr>
              <w:jc w:val="center"/>
              <w:rPr>
                <w:rFonts w:ascii="Calibri" w:eastAsia="Times New Roman" w:hAnsi="Calibri"/>
                <w:color w:val="000000"/>
              </w:rPr>
            </w:pPr>
          </w:p>
        </w:tc>
        <w:tc>
          <w:tcPr>
            <w:tcW w:w="0" w:type="auto"/>
            <w:tcBorders>
              <w:top w:val="nil"/>
              <w:left w:val="nil"/>
              <w:bottom w:val="nil"/>
              <w:right w:val="nil"/>
            </w:tcBorders>
            <w:shd w:val="clear" w:color="auto" w:fill="auto"/>
            <w:noWrap/>
            <w:vAlign w:val="center"/>
            <w:hideMark/>
          </w:tcPr>
          <w:p w14:paraId="4B9B3449" w14:textId="77777777" w:rsidR="00BE73F5" w:rsidRDefault="00BE73F5" w:rsidP="007E5957">
            <w:pPr>
              <w:jc w:val="center"/>
              <w:rPr>
                <w:rFonts w:ascii="Calibri" w:eastAsia="Times New Roman" w:hAnsi="Calibri"/>
                <w:color w:val="000000"/>
              </w:rPr>
            </w:pPr>
          </w:p>
        </w:tc>
        <w:tc>
          <w:tcPr>
            <w:tcW w:w="0" w:type="auto"/>
            <w:tcBorders>
              <w:top w:val="nil"/>
              <w:left w:val="nil"/>
              <w:bottom w:val="nil"/>
              <w:right w:val="nil"/>
            </w:tcBorders>
            <w:shd w:val="clear" w:color="auto" w:fill="auto"/>
            <w:noWrap/>
            <w:vAlign w:val="center"/>
            <w:hideMark/>
          </w:tcPr>
          <w:p w14:paraId="1C31C4BA" w14:textId="77777777" w:rsidR="00BE73F5" w:rsidRDefault="00BE73F5" w:rsidP="007E5957">
            <w:pPr>
              <w:jc w:val="center"/>
              <w:rPr>
                <w:rFonts w:ascii="Calibri" w:eastAsia="Times New Roman" w:hAnsi="Calibri"/>
                <w:color w:val="000000"/>
              </w:rPr>
            </w:pPr>
          </w:p>
        </w:tc>
        <w:tc>
          <w:tcPr>
            <w:tcW w:w="0" w:type="auto"/>
            <w:tcBorders>
              <w:top w:val="nil"/>
              <w:left w:val="nil"/>
              <w:bottom w:val="nil"/>
              <w:right w:val="nil"/>
            </w:tcBorders>
            <w:shd w:val="clear" w:color="auto" w:fill="auto"/>
            <w:noWrap/>
            <w:vAlign w:val="center"/>
            <w:hideMark/>
          </w:tcPr>
          <w:p w14:paraId="3C54DA74" w14:textId="77777777" w:rsidR="00BE73F5" w:rsidRDefault="00BE73F5" w:rsidP="007E5957">
            <w:pPr>
              <w:jc w:val="center"/>
              <w:rPr>
                <w:rFonts w:ascii="Calibri" w:eastAsia="Times New Roman" w:hAnsi="Calibri"/>
                <w:color w:val="000000"/>
              </w:rPr>
            </w:pPr>
          </w:p>
        </w:tc>
        <w:tc>
          <w:tcPr>
            <w:tcW w:w="0" w:type="auto"/>
            <w:tcBorders>
              <w:top w:val="nil"/>
              <w:left w:val="nil"/>
              <w:bottom w:val="nil"/>
              <w:right w:val="nil"/>
            </w:tcBorders>
            <w:shd w:val="clear" w:color="auto" w:fill="auto"/>
            <w:noWrap/>
            <w:vAlign w:val="center"/>
            <w:hideMark/>
          </w:tcPr>
          <w:p w14:paraId="1E4D678A" w14:textId="77777777" w:rsidR="00BE73F5" w:rsidRDefault="00BE73F5" w:rsidP="007E5957">
            <w:pPr>
              <w:jc w:val="center"/>
              <w:rPr>
                <w:rFonts w:ascii="Calibri" w:eastAsia="Times New Roman" w:hAnsi="Calibri"/>
                <w:color w:val="008000"/>
              </w:rPr>
            </w:pPr>
          </w:p>
        </w:tc>
        <w:tc>
          <w:tcPr>
            <w:tcW w:w="0" w:type="auto"/>
            <w:tcBorders>
              <w:top w:val="nil"/>
              <w:left w:val="nil"/>
              <w:bottom w:val="nil"/>
              <w:right w:val="nil"/>
            </w:tcBorders>
            <w:shd w:val="clear" w:color="auto" w:fill="auto"/>
            <w:noWrap/>
            <w:vAlign w:val="center"/>
            <w:hideMark/>
          </w:tcPr>
          <w:p w14:paraId="1A89D2FB" w14:textId="77777777" w:rsidR="00BE73F5" w:rsidRDefault="00BE73F5" w:rsidP="007E5957">
            <w:pPr>
              <w:jc w:val="center"/>
              <w:rPr>
                <w:rFonts w:ascii="Calibri" w:eastAsia="Times New Roman" w:hAnsi="Calibri"/>
                <w:color w:val="008000"/>
              </w:rPr>
            </w:pPr>
          </w:p>
        </w:tc>
        <w:tc>
          <w:tcPr>
            <w:tcW w:w="0" w:type="auto"/>
            <w:tcBorders>
              <w:top w:val="nil"/>
              <w:left w:val="nil"/>
              <w:bottom w:val="nil"/>
              <w:right w:val="nil"/>
            </w:tcBorders>
            <w:shd w:val="clear" w:color="auto" w:fill="auto"/>
            <w:noWrap/>
            <w:vAlign w:val="center"/>
            <w:hideMark/>
          </w:tcPr>
          <w:p w14:paraId="346FA35A" w14:textId="77777777" w:rsidR="00BE73F5" w:rsidRDefault="00BE73F5" w:rsidP="007E5957">
            <w:pPr>
              <w:jc w:val="center"/>
              <w:rPr>
                <w:rFonts w:ascii="Calibri" w:eastAsia="Times New Roman" w:hAnsi="Calibri"/>
                <w:color w:val="008000"/>
              </w:rPr>
            </w:pPr>
          </w:p>
        </w:tc>
        <w:tc>
          <w:tcPr>
            <w:tcW w:w="0" w:type="auto"/>
            <w:tcBorders>
              <w:top w:val="nil"/>
              <w:left w:val="nil"/>
              <w:bottom w:val="nil"/>
              <w:right w:val="nil"/>
            </w:tcBorders>
            <w:shd w:val="clear" w:color="auto" w:fill="auto"/>
            <w:noWrap/>
            <w:vAlign w:val="center"/>
            <w:hideMark/>
          </w:tcPr>
          <w:p w14:paraId="39DA8811" w14:textId="77777777" w:rsidR="00BE73F5" w:rsidRDefault="00BE73F5" w:rsidP="007E5957">
            <w:pPr>
              <w:jc w:val="center"/>
              <w:rPr>
                <w:rFonts w:ascii="Calibri" w:eastAsia="Times New Roman" w:hAnsi="Calibri"/>
                <w:color w:val="008000"/>
              </w:rPr>
            </w:pPr>
          </w:p>
        </w:tc>
      </w:tr>
      <w:tr w:rsidR="00BE73F5" w14:paraId="5168C1BC" w14:textId="77777777" w:rsidTr="00BE73F5">
        <w:trPr>
          <w:trHeight w:val="229"/>
        </w:trPr>
        <w:tc>
          <w:tcPr>
            <w:tcW w:w="0" w:type="auto"/>
            <w:tcBorders>
              <w:top w:val="nil"/>
              <w:left w:val="nil"/>
              <w:bottom w:val="nil"/>
              <w:right w:val="nil"/>
            </w:tcBorders>
            <w:shd w:val="clear" w:color="auto" w:fill="auto"/>
            <w:noWrap/>
            <w:vAlign w:val="center"/>
            <w:hideMark/>
          </w:tcPr>
          <w:p w14:paraId="710EA06B" w14:textId="77777777" w:rsidR="00BE73F5" w:rsidRDefault="00BE73F5" w:rsidP="007E5957">
            <w:pPr>
              <w:rPr>
                <w:rFonts w:ascii="Calibri" w:eastAsia="Times New Roman" w:hAnsi="Calibri"/>
                <w:b/>
                <w:bCs/>
                <w:color w:val="000000"/>
              </w:rPr>
            </w:pPr>
            <w:r>
              <w:rPr>
                <w:rFonts w:ascii="Calibri" w:eastAsia="Times New Roman" w:hAnsi="Calibri"/>
                <w:b/>
                <w:bCs/>
                <w:color w:val="000000"/>
              </w:rPr>
              <w:t>Total Res</w:t>
            </w:r>
          </w:p>
        </w:tc>
        <w:tc>
          <w:tcPr>
            <w:tcW w:w="0" w:type="auto"/>
            <w:tcBorders>
              <w:top w:val="nil"/>
              <w:left w:val="nil"/>
              <w:bottom w:val="nil"/>
              <w:right w:val="nil"/>
            </w:tcBorders>
            <w:shd w:val="clear" w:color="auto" w:fill="auto"/>
            <w:noWrap/>
            <w:vAlign w:val="center"/>
            <w:hideMark/>
          </w:tcPr>
          <w:p w14:paraId="592D2879" w14:textId="77777777" w:rsidR="00BE73F5" w:rsidRDefault="00BE73F5" w:rsidP="007E5957">
            <w:pPr>
              <w:jc w:val="center"/>
              <w:rPr>
                <w:rFonts w:ascii="Calibri" w:eastAsia="Times New Roman" w:hAnsi="Calibri"/>
                <w:b/>
                <w:bCs/>
                <w:color w:val="000000"/>
              </w:rPr>
            </w:pPr>
          </w:p>
        </w:tc>
        <w:tc>
          <w:tcPr>
            <w:tcW w:w="0" w:type="auto"/>
            <w:tcBorders>
              <w:top w:val="nil"/>
              <w:left w:val="nil"/>
              <w:bottom w:val="nil"/>
              <w:right w:val="nil"/>
            </w:tcBorders>
            <w:shd w:val="clear" w:color="auto" w:fill="auto"/>
            <w:noWrap/>
            <w:vAlign w:val="center"/>
            <w:hideMark/>
          </w:tcPr>
          <w:p w14:paraId="347690AF" w14:textId="77777777" w:rsidR="00BE73F5" w:rsidRDefault="00BE73F5" w:rsidP="007E5957">
            <w:pPr>
              <w:jc w:val="center"/>
              <w:rPr>
                <w:rFonts w:ascii="Calibri" w:eastAsia="Times New Roman" w:hAnsi="Calibri"/>
                <w:b/>
                <w:bCs/>
                <w:color w:val="000000"/>
              </w:rPr>
            </w:pPr>
            <w:r>
              <w:rPr>
                <w:rFonts w:ascii="Calibri" w:eastAsia="Times New Roman" w:hAnsi="Calibri"/>
                <w:b/>
                <w:bCs/>
                <w:color w:val="000000"/>
              </w:rPr>
              <w:t xml:space="preserve">9,003 </w:t>
            </w:r>
          </w:p>
        </w:tc>
        <w:tc>
          <w:tcPr>
            <w:tcW w:w="0" w:type="auto"/>
            <w:tcBorders>
              <w:top w:val="nil"/>
              <w:left w:val="nil"/>
              <w:bottom w:val="nil"/>
              <w:right w:val="nil"/>
            </w:tcBorders>
            <w:shd w:val="clear" w:color="auto" w:fill="auto"/>
            <w:noWrap/>
            <w:vAlign w:val="center"/>
            <w:hideMark/>
          </w:tcPr>
          <w:p w14:paraId="4399648A" w14:textId="77777777" w:rsidR="00BE73F5" w:rsidRDefault="00BE73F5" w:rsidP="007E5957">
            <w:pPr>
              <w:jc w:val="center"/>
              <w:rPr>
                <w:rFonts w:ascii="Calibri" w:eastAsia="Times New Roman" w:hAnsi="Calibri"/>
                <w:b/>
                <w:bCs/>
                <w:color w:val="000000"/>
              </w:rPr>
            </w:pPr>
            <w:r>
              <w:rPr>
                <w:rFonts w:ascii="Calibri" w:eastAsia="Times New Roman" w:hAnsi="Calibri"/>
                <w:b/>
                <w:bCs/>
                <w:color w:val="000000"/>
              </w:rPr>
              <w:t xml:space="preserve">6.1 </w:t>
            </w:r>
          </w:p>
        </w:tc>
        <w:tc>
          <w:tcPr>
            <w:tcW w:w="0" w:type="auto"/>
            <w:tcBorders>
              <w:top w:val="nil"/>
              <w:left w:val="nil"/>
              <w:bottom w:val="nil"/>
              <w:right w:val="nil"/>
            </w:tcBorders>
            <w:shd w:val="clear" w:color="auto" w:fill="auto"/>
            <w:noWrap/>
            <w:vAlign w:val="center"/>
            <w:hideMark/>
          </w:tcPr>
          <w:p w14:paraId="6EB2C93D" w14:textId="77777777" w:rsidR="00BE73F5" w:rsidRDefault="00BE73F5" w:rsidP="007E5957">
            <w:pPr>
              <w:jc w:val="center"/>
              <w:rPr>
                <w:rFonts w:ascii="Calibri" w:eastAsia="Times New Roman" w:hAnsi="Calibri"/>
                <w:b/>
                <w:bCs/>
                <w:color w:val="000000"/>
              </w:rPr>
            </w:pPr>
            <w:r>
              <w:rPr>
                <w:rFonts w:ascii="Calibri" w:eastAsia="Times New Roman" w:hAnsi="Calibri"/>
                <w:b/>
                <w:bCs/>
                <w:color w:val="000000"/>
              </w:rPr>
              <w:t xml:space="preserve">1,380 </w:t>
            </w:r>
          </w:p>
        </w:tc>
        <w:tc>
          <w:tcPr>
            <w:tcW w:w="0" w:type="auto"/>
            <w:tcBorders>
              <w:top w:val="nil"/>
              <w:left w:val="nil"/>
              <w:bottom w:val="nil"/>
              <w:right w:val="nil"/>
            </w:tcBorders>
            <w:shd w:val="clear" w:color="auto" w:fill="auto"/>
            <w:noWrap/>
            <w:vAlign w:val="center"/>
            <w:hideMark/>
          </w:tcPr>
          <w:p w14:paraId="5BDF1175" w14:textId="77777777" w:rsidR="00BE73F5" w:rsidRDefault="00BE73F5" w:rsidP="007E5957">
            <w:pPr>
              <w:jc w:val="center"/>
              <w:rPr>
                <w:rFonts w:ascii="Calibri" w:eastAsia="Times New Roman" w:hAnsi="Calibri"/>
                <w:b/>
                <w:bCs/>
                <w:color w:val="000000"/>
              </w:rPr>
            </w:pPr>
            <w:r>
              <w:rPr>
                <w:rFonts w:ascii="Calibri" w:eastAsia="Times New Roman" w:hAnsi="Calibri"/>
                <w:b/>
                <w:bCs/>
                <w:color w:val="000000"/>
              </w:rPr>
              <w:t>168</w:t>
            </w:r>
          </w:p>
        </w:tc>
        <w:tc>
          <w:tcPr>
            <w:tcW w:w="0" w:type="auto"/>
            <w:tcBorders>
              <w:top w:val="nil"/>
              <w:left w:val="nil"/>
              <w:bottom w:val="nil"/>
              <w:right w:val="nil"/>
            </w:tcBorders>
            <w:shd w:val="clear" w:color="auto" w:fill="auto"/>
            <w:noWrap/>
            <w:vAlign w:val="center"/>
            <w:hideMark/>
          </w:tcPr>
          <w:p w14:paraId="17ADAFB7" w14:textId="77777777" w:rsidR="00BE73F5" w:rsidRDefault="00BE73F5" w:rsidP="007E5957">
            <w:pPr>
              <w:jc w:val="center"/>
              <w:rPr>
                <w:rFonts w:ascii="Calibri" w:eastAsia="Times New Roman" w:hAnsi="Calibri"/>
                <w:b/>
                <w:bCs/>
                <w:color w:val="000000"/>
              </w:rPr>
            </w:pPr>
            <w:r>
              <w:rPr>
                <w:rFonts w:ascii="Calibri" w:eastAsia="Times New Roman" w:hAnsi="Calibri"/>
                <w:b/>
                <w:bCs/>
                <w:color w:val="000000"/>
              </w:rPr>
              <w:t xml:space="preserve">1,212 </w:t>
            </w:r>
          </w:p>
        </w:tc>
        <w:tc>
          <w:tcPr>
            <w:tcW w:w="0" w:type="auto"/>
            <w:tcBorders>
              <w:top w:val="nil"/>
              <w:left w:val="nil"/>
              <w:bottom w:val="nil"/>
              <w:right w:val="nil"/>
            </w:tcBorders>
            <w:shd w:val="clear" w:color="auto" w:fill="auto"/>
            <w:noWrap/>
            <w:vAlign w:val="center"/>
            <w:hideMark/>
          </w:tcPr>
          <w:p w14:paraId="7D3ABCC5" w14:textId="77777777" w:rsidR="00BE73F5" w:rsidRDefault="00BE73F5" w:rsidP="007E5957">
            <w:pPr>
              <w:jc w:val="center"/>
              <w:rPr>
                <w:rFonts w:ascii="Calibri" w:eastAsia="Times New Roman" w:hAnsi="Calibri"/>
                <w:b/>
                <w:bCs/>
                <w:color w:val="000000"/>
              </w:rPr>
            </w:pPr>
            <w:r>
              <w:rPr>
                <w:rFonts w:ascii="Calibri" w:eastAsia="Times New Roman" w:hAnsi="Calibri"/>
                <w:b/>
                <w:bCs/>
                <w:color w:val="000000"/>
              </w:rPr>
              <w:t xml:space="preserve">8.2 </w:t>
            </w:r>
          </w:p>
        </w:tc>
      </w:tr>
      <w:tr w:rsidR="00BE73F5" w14:paraId="7DB0B1EC" w14:textId="77777777" w:rsidTr="00BE73F5">
        <w:trPr>
          <w:trHeight w:val="216"/>
        </w:trPr>
        <w:tc>
          <w:tcPr>
            <w:tcW w:w="0" w:type="auto"/>
            <w:tcBorders>
              <w:top w:val="nil"/>
              <w:left w:val="nil"/>
              <w:bottom w:val="nil"/>
              <w:right w:val="nil"/>
            </w:tcBorders>
            <w:shd w:val="clear" w:color="auto" w:fill="auto"/>
            <w:noWrap/>
            <w:vAlign w:val="center"/>
            <w:hideMark/>
          </w:tcPr>
          <w:p w14:paraId="3ADD1FFD" w14:textId="77777777" w:rsidR="00BE73F5" w:rsidRDefault="00BE73F5" w:rsidP="007E5957">
            <w:pPr>
              <w:rPr>
                <w:rFonts w:ascii="Calibri" w:eastAsia="Times New Roman" w:hAnsi="Calibri"/>
                <w:b/>
                <w:bCs/>
                <w:color w:val="000000"/>
              </w:rPr>
            </w:pPr>
            <w:r>
              <w:rPr>
                <w:rFonts w:ascii="Calibri" w:eastAsia="Times New Roman" w:hAnsi="Calibri"/>
                <w:b/>
                <w:bCs/>
                <w:color w:val="000000"/>
              </w:rPr>
              <w:t>Total Com</w:t>
            </w:r>
          </w:p>
        </w:tc>
        <w:tc>
          <w:tcPr>
            <w:tcW w:w="0" w:type="auto"/>
            <w:tcBorders>
              <w:top w:val="nil"/>
              <w:left w:val="nil"/>
              <w:bottom w:val="nil"/>
              <w:right w:val="nil"/>
            </w:tcBorders>
            <w:shd w:val="clear" w:color="auto" w:fill="auto"/>
            <w:noWrap/>
            <w:vAlign w:val="center"/>
            <w:hideMark/>
          </w:tcPr>
          <w:p w14:paraId="50210CD1" w14:textId="77777777" w:rsidR="00BE73F5" w:rsidRDefault="00BE73F5" w:rsidP="007E5957">
            <w:pPr>
              <w:jc w:val="center"/>
              <w:rPr>
                <w:rFonts w:ascii="Calibri" w:eastAsia="Times New Roman" w:hAnsi="Calibri"/>
                <w:b/>
                <w:bCs/>
                <w:color w:val="000000"/>
              </w:rPr>
            </w:pPr>
          </w:p>
        </w:tc>
        <w:tc>
          <w:tcPr>
            <w:tcW w:w="0" w:type="auto"/>
            <w:tcBorders>
              <w:top w:val="nil"/>
              <w:left w:val="nil"/>
              <w:bottom w:val="nil"/>
              <w:right w:val="nil"/>
            </w:tcBorders>
            <w:shd w:val="clear" w:color="auto" w:fill="auto"/>
            <w:noWrap/>
            <w:vAlign w:val="center"/>
            <w:hideMark/>
          </w:tcPr>
          <w:p w14:paraId="1EF59AF3" w14:textId="77777777" w:rsidR="00BE73F5" w:rsidRDefault="00BE73F5" w:rsidP="007E5957">
            <w:pPr>
              <w:jc w:val="center"/>
              <w:rPr>
                <w:rFonts w:ascii="Calibri" w:eastAsia="Times New Roman" w:hAnsi="Calibri"/>
                <w:b/>
                <w:bCs/>
                <w:color w:val="000000"/>
              </w:rPr>
            </w:pPr>
            <w:r>
              <w:rPr>
                <w:rFonts w:ascii="Calibri" w:eastAsia="Times New Roman" w:hAnsi="Calibri"/>
                <w:b/>
                <w:bCs/>
                <w:color w:val="000000"/>
              </w:rPr>
              <w:t xml:space="preserve">2,055 </w:t>
            </w:r>
          </w:p>
        </w:tc>
        <w:tc>
          <w:tcPr>
            <w:tcW w:w="0" w:type="auto"/>
            <w:tcBorders>
              <w:top w:val="nil"/>
              <w:left w:val="nil"/>
              <w:bottom w:val="nil"/>
              <w:right w:val="nil"/>
            </w:tcBorders>
            <w:shd w:val="clear" w:color="auto" w:fill="auto"/>
            <w:noWrap/>
            <w:vAlign w:val="center"/>
            <w:hideMark/>
          </w:tcPr>
          <w:p w14:paraId="4F461AC4" w14:textId="77777777" w:rsidR="00BE73F5" w:rsidRDefault="00BE73F5" w:rsidP="007E5957">
            <w:pPr>
              <w:jc w:val="center"/>
              <w:rPr>
                <w:rFonts w:ascii="Calibri" w:eastAsia="Times New Roman" w:hAnsi="Calibri"/>
                <w:b/>
                <w:bCs/>
                <w:color w:val="000000"/>
              </w:rPr>
            </w:pPr>
            <w:r>
              <w:rPr>
                <w:rFonts w:ascii="Calibri" w:eastAsia="Times New Roman" w:hAnsi="Calibri"/>
                <w:b/>
                <w:bCs/>
                <w:color w:val="000000"/>
              </w:rPr>
              <w:t xml:space="preserve">1.4 </w:t>
            </w:r>
          </w:p>
        </w:tc>
        <w:tc>
          <w:tcPr>
            <w:tcW w:w="0" w:type="auto"/>
            <w:tcBorders>
              <w:top w:val="nil"/>
              <w:left w:val="nil"/>
              <w:bottom w:val="nil"/>
              <w:right w:val="nil"/>
            </w:tcBorders>
            <w:shd w:val="clear" w:color="auto" w:fill="auto"/>
            <w:noWrap/>
            <w:vAlign w:val="center"/>
            <w:hideMark/>
          </w:tcPr>
          <w:p w14:paraId="4F7DBDC6" w14:textId="77777777" w:rsidR="00BE73F5" w:rsidRDefault="00BE73F5" w:rsidP="007E5957">
            <w:pPr>
              <w:jc w:val="center"/>
              <w:rPr>
                <w:rFonts w:ascii="Calibri" w:eastAsia="Times New Roman" w:hAnsi="Calibri"/>
                <w:b/>
                <w:bCs/>
                <w:color w:val="000000"/>
              </w:rPr>
            </w:pPr>
            <w:r>
              <w:rPr>
                <w:rFonts w:ascii="Calibri" w:eastAsia="Times New Roman" w:hAnsi="Calibri"/>
                <w:b/>
                <w:bCs/>
                <w:color w:val="000000"/>
              </w:rPr>
              <w:t xml:space="preserve">210 </w:t>
            </w:r>
          </w:p>
        </w:tc>
        <w:tc>
          <w:tcPr>
            <w:tcW w:w="0" w:type="auto"/>
            <w:tcBorders>
              <w:top w:val="nil"/>
              <w:left w:val="nil"/>
              <w:bottom w:val="nil"/>
              <w:right w:val="nil"/>
            </w:tcBorders>
            <w:shd w:val="clear" w:color="auto" w:fill="auto"/>
            <w:noWrap/>
            <w:vAlign w:val="center"/>
            <w:hideMark/>
          </w:tcPr>
          <w:p w14:paraId="25E63657" w14:textId="77777777" w:rsidR="00BE73F5" w:rsidRDefault="00BE73F5" w:rsidP="007E5957">
            <w:pPr>
              <w:jc w:val="center"/>
              <w:rPr>
                <w:rFonts w:ascii="Calibri" w:eastAsia="Times New Roman" w:hAnsi="Calibri"/>
                <w:b/>
                <w:bCs/>
                <w:color w:val="000000"/>
              </w:rPr>
            </w:pPr>
            <w:r>
              <w:rPr>
                <w:rFonts w:ascii="Calibri" w:eastAsia="Times New Roman" w:hAnsi="Calibri"/>
                <w:b/>
                <w:bCs/>
                <w:color w:val="000000"/>
              </w:rPr>
              <w:t>0</w:t>
            </w:r>
          </w:p>
        </w:tc>
        <w:tc>
          <w:tcPr>
            <w:tcW w:w="0" w:type="auto"/>
            <w:tcBorders>
              <w:top w:val="nil"/>
              <w:left w:val="nil"/>
              <w:bottom w:val="nil"/>
              <w:right w:val="nil"/>
            </w:tcBorders>
            <w:shd w:val="clear" w:color="auto" w:fill="auto"/>
            <w:noWrap/>
            <w:vAlign w:val="center"/>
            <w:hideMark/>
          </w:tcPr>
          <w:p w14:paraId="0BBF602E" w14:textId="77777777" w:rsidR="00BE73F5" w:rsidRDefault="00BE73F5" w:rsidP="007E5957">
            <w:pPr>
              <w:jc w:val="center"/>
              <w:rPr>
                <w:rFonts w:ascii="Calibri" w:eastAsia="Times New Roman" w:hAnsi="Calibri"/>
                <w:b/>
                <w:bCs/>
                <w:color w:val="000000"/>
              </w:rPr>
            </w:pPr>
            <w:r>
              <w:rPr>
                <w:rFonts w:ascii="Calibri" w:eastAsia="Times New Roman" w:hAnsi="Calibri"/>
                <w:b/>
                <w:bCs/>
                <w:color w:val="000000"/>
              </w:rPr>
              <w:t xml:space="preserve">210 </w:t>
            </w:r>
          </w:p>
        </w:tc>
        <w:tc>
          <w:tcPr>
            <w:tcW w:w="0" w:type="auto"/>
            <w:tcBorders>
              <w:top w:val="nil"/>
              <w:left w:val="nil"/>
              <w:bottom w:val="nil"/>
              <w:right w:val="nil"/>
            </w:tcBorders>
            <w:shd w:val="clear" w:color="auto" w:fill="auto"/>
            <w:noWrap/>
            <w:vAlign w:val="center"/>
            <w:hideMark/>
          </w:tcPr>
          <w:p w14:paraId="47D97D82" w14:textId="77777777" w:rsidR="00BE73F5" w:rsidRDefault="00BE73F5" w:rsidP="007E5957">
            <w:pPr>
              <w:jc w:val="center"/>
              <w:rPr>
                <w:rFonts w:ascii="Calibri" w:eastAsia="Times New Roman" w:hAnsi="Calibri"/>
                <w:b/>
                <w:bCs/>
                <w:color w:val="000000"/>
              </w:rPr>
            </w:pPr>
          </w:p>
        </w:tc>
      </w:tr>
      <w:tr w:rsidR="00BE73F5" w14:paraId="48C0760F" w14:textId="77777777" w:rsidTr="00BE73F5">
        <w:trPr>
          <w:trHeight w:val="242"/>
        </w:trPr>
        <w:tc>
          <w:tcPr>
            <w:tcW w:w="0" w:type="auto"/>
            <w:tcBorders>
              <w:top w:val="nil"/>
              <w:left w:val="nil"/>
              <w:bottom w:val="nil"/>
              <w:right w:val="nil"/>
            </w:tcBorders>
            <w:shd w:val="clear" w:color="auto" w:fill="auto"/>
            <w:noWrap/>
            <w:vAlign w:val="center"/>
            <w:hideMark/>
          </w:tcPr>
          <w:p w14:paraId="7EA6B8CB" w14:textId="77777777" w:rsidR="00BE73F5" w:rsidRDefault="00BE73F5" w:rsidP="007E5957">
            <w:pPr>
              <w:rPr>
                <w:rFonts w:ascii="Calibri" w:eastAsia="Times New Roman" w:hAnsi="Calibri"/>
                <w:b/>
                <w:bCs/>
                <w:color w:val="000000"/>
              </w:rPr>
            </w:pPr>
            <w:r>
              <w:rPr>
                <w:rFonts w:ascii="Calibri" w:eastAsia="Times New Roman" w:hAnsi="Calibri"/>
                <w:b/>
                <w:bCs/>
                <w:color w:val="000000"/>
              </w:rPr>
              <w:t>Total Industry/Govt</w:t>
            </w:r>
          </w:p>
        </w:tc>
        <w:tc>
          <w:tcPr>
            <w:tcW w:w="0" w:type="auto"/>
            <w:tcBorders>
              <w:top w:val="nil"/>
              <w:left w:val="nil"/>
              <w:bottom w:val="nil"/>
              <w:right w:val="nil"/>
            </w:tcBorders>
            <w:shd w:val="clear" w:color="auto" w:fill="auto"/>
            <w:noWrap/>
            <w:vAlign w:val="center"/>
            <w:hideMark/>
          </w:tcPr>
          <w:p w14:paraId="5D0C52EF" w14:textId="77777777" w:rsidR="00BE73F5" w:rsidRDefault="00BE73F5" w:rsidP="007E5957">
            <w:pPr>
              <w:jc w:val="center"/>
              <w:rPr>
                <w:rFonts w:ascii="Calibri" w:eastAsia="Times New Roman" w:hAnsi="Calibri"/>
                <w:color w:val="000000"/>
              </w:rPr>
            </w:pPr>
          </w:p>
        </w:tc>
        <w:tc>
          <w:tcPr>
            <w:tcW w:w="0" w:type="auto"/>
            <w:tcBorders>
              <w:top w:val="nil"/>
              <w:left w:val="nil"/>
              <w:bottom w:val="nil"/>
              <w:right w:val="nil"/>
            </w:tcBorders>
            <w:shd w:val="clear" w:color="auto" w:fill="auto"/>
            <w:noWrap/>
            <w:vAlign w:val="center"/>
            <w:hideMark/>
          </w:tcPr>
          <w:p w14:paraId="3CD67929" w14:textId="77777777" w:rsidR="00BE73F5" w:rsidRDefault="00BE73F5" w:rsidP="007E5957">
            <w:pPr>
              <w:jc w:val="center"/>
              <w:rPr>
                <w:rFonts w:ascii="Calibri" w:eastAsia="Times New Roman" w:hAnsi="Calibri"/>
                <w:b/>
                <w:bCs/>
                <w:color w:val="000000"/>
              </w:rPr>
            </w:pPr>
          </w:p>
        </w:tc>
        <w:tc>
          <w:tcPr>
            <w:tcW w:w="0" w:type="auto"/>
            <w:tcBorders>
              <w:top w:val="nil"/>
              <w:left w:val="nil"/>
              <w:bottom w:val="nil"/>
              <w:right w:val="nil"/>
            </w:tcBorders>
            <w:shd w:val="clear" w:color="auto" w:fill="auto"/>
            <w:noWrap/>
            <w:vAlign w:val="center"/>
            <w:hideMark/>
          </w:tcPr>
          <w:p w14:paraId="0AF2E7AC" w14:textId="77777777" w:rsidR="00BE73F5" w:rsidRDefault="00BE73F5" w:rsidP="007E5957">
            <w:pPr>
              <w:jc w:val="center"/>
              <w:rPr>
                <w:rFonts w:ascii="Calibri" w:eastAsia="Times New Roman" w:hAnsi="Calibri"/>
                <w:b/>
                <w:bCs/>
                <w:color w:val="000000"/>
              </w:rPr>
            </w:pPr>
          </w:p>
        </w:tc>
        <w:tc>
          <w:tcPr>
            <w:tcW w:w="0" w:type="auto"/>
            <w:tcBorders>
              <w:top w:val="nil"/>
              <w:left w:val="nil"/>
              <w:bottom w:val="nil"/>
              <w:right w:val="nil"/>
            </w:tcBorders>
            <w:shd w:val="clear" w:color="auto" w:fill="auto"/>
            <w:noWrap/>
            <w:vAlign w:val="center"/>
            <w:hideMark/>
          </w:tcPr>
          <w:p w14:paraId="23AE79CB" w14:textId="77777777" w:rsidR="00BE73F5" w:rsidRDefault="00BE73F5" w:rsidP="007E5957">
            <w:pPr>
              <w:jc w:val="center"/>
              <w:rPr>
                <w:rFonts w:ascii="Calibri" w:eastAsia="Times New Roman" w:hAnsi="Calibri"/>
                <w:b/>
                <w:bCs/>
                <w:color w:val="000000"/>
              </w:rPr>
            </w:pPr>
          </w:p>
        </w:tc>
        <w:tc>
          <w:tcPr>
            <w:tcW w:w="0" w:type="auto"/>
            <w:tcBorders>
              <w:top w:val="nil"/>
              <w:left w:val="nil"/>
              <w:bottom w:val="nil"/>
              <w:right w:val="nil"/>
            </w:tcBorders>
            <w:shd w:val="clear" w:color="auto" w:fill="auto"/>
            <w:noWrap/>
            <w:vAlign w:val="center"/>
            <w:hideMark/>
          </w:tcPr>
          <w:p w14:paraId="77831F15" w14:textId="77777777" w:rsidR="00BE73F5" w:rsidRDefault="00BE73F5" w:rsidP="007E5957">
            <w:pPr>
              <w:jc w:val="center"/>
              <w:rPr>
                <w:rFonts w:ascii="Calibri" w:eastAsia="Times New Roman" w:hAnsi="Calibri"/>
                <w:b/>
                <w:bCs/>
                <w:color w:val="000000"/>
              </w:rPr>
            </w:pPr>
            <w:r>
              <w:rPr>
                <w:rFonts w:ascii="Calibri" w:eastAsia="Times New Roman" w:hAnsi="Calibri"/>
                <w:b/>
                <w:bCs/>
                <w:color w:val="000000"/>
              </w:rPr>
              <w:t>14</w:t>
            </w:r>
          </w:p>
        </w:tc>
        <w:tc>
          <w:tcPr>
            <w:tcW w:w="0" w:type="auto"/>
            <w:tcBorders>
              <w:top w:val="nil"/>
              <w:left w:val="nil"/>
              <w:bottom w:val="nil"/>
              <w:right w:val="nil"/>
            </w:tcBorders>
            <w:shd w:val="clear" w:color="auto" w:fill="auto"/>
            <w:noWrap/>
            <w:vAlign w:val="center"/>
            <w:hideMark/>
          </w:tcPr>
          <w:p w14:paraId="7C4C6DA0" w14:textId="77777777" w:rsidR="00BE73F5" w:rsidRDefault="00BE73F5" w:rsidP="007E5957">
            <w:pPr>
              <w:jc w:val="center"/>
              <w:rPr>
                <w:rFonts w:ascii="Calibri" w:eastAsia="Times New Roman" w:hAnsi="Calibri"/>
                <w:b/>
                <w:bCs/>
                <w:color w:val="000000"/>
              </w:rPr>
            </w:pPr>
            <w:r>
              <w:rPr>
                <w:rFonts w:ascii="Calibri" w:eastAsia="Times New Roman" w:hAnsi="Calibri"/>
                <w:b/>
                <w:bCs/>
                <w:color w:val="000000"/>
              </w:rPr>
              <w:t>-14</w:t>
            </w:r>
          </w:p>
        </w:tc>
        <w:tc>
          <w:tcPr>
            <w:tcW w:w="0" w:type="auto"/>
            <w:tcBorders>
              <w:top w:val="nil"/>
              <w:left w:val="nil"/>
              <w:bottom w:val="nil"/>
              <w:right w:val="nil"/>
            </w:tcBorders>
            <w:shd w:val="clear" w:color="auto" w:fill="auto"/>
            <w:noWrap/>
            <w:vAlign w:val="center"/>
            <w:hideMark/>
          </w:tcPr>
          <w:p w14:paraId="1B167CDA" w14:textId="77777777" w:rsidR="00BE73F5" w:rsidRDefault="00BE73F5" w:rsidP="007E5957">
            <w:pPr>
              <w:jc w:val="center"/>
              <w:rPr>
                <w:rFonts w:ascii="Calibri" w:eastAsia="Times New Roman" w:hAnsi="Calibri"/>
                <w:b/>
                <w:bCs/>
                <w:color w:val="000000"/>
              </w:rPr>
            </w:pPr>
          </w:p>
        </w:tc>
      </w:tr>
      <w:tr w:rsidR="00BE73F5" w14:paraId="204DF2ED" w14:textId="77777777" w:rsidTr="00BE73F5">
        <w:trPr>
          <w:trHeight w:val="242"/>
        </w:trPr>
        <w:tc>
          <w:tcPr>
            <w:tcW w:w="0" w:type="auto"/>
            <w:tcBorders>
              <w:top w:val="single" w:sz="4" w:space="0" w:color="auto"/>
              <w:left w:val="nil"/>
              <w:bottom w:val="single" w:sz="4" w:space="0" w:color="auto"/>
              <w:right w:val="nil"/>
            </w:tcBorders>
            <w:shd w:val="clear" w:color="auto" w:fill="auto"/>
            <w:noWrap/>
            <w:vAlign w:val="center"/>
            <w:hideMark/>
          </w:tcPr>
          <w:p w14:paraId="1A7E0680" w14:textId="77777777" w:rsidR="00BE73F5" w:rsidRDefault="00BE73F5" w:rsidP="007E5957">
            <w:pPr>
              <w:rPr>
                <w:rFonts w:ascii="Calibri" w:eastAsia="Times New Roman" w:hAnsi="Calibri"/>
                <w:b/>
                <w:bCs/>
                <w:color w:val="000000"/>
              </w:rPr>
            </w:pPr>
            <w:r>
              <w:rPr>
                <w:rFonts w:ascii="Calibri" w:eastAsia="Times New Roman" w:hAnsi="Calibri"/>
                <w:b/>
                <w:bCs/>
                <w:color w:val="000000"/>
              </w:rPr>
              <w:t>Grand Total</w:t>
            </w:r>
          </w:p>
        </w:tc>
        <w:tc>
          <w:tcPr>
            <w:tcW w:w="0" w:type="auto"/>
            <w:tcBorders>
              <w:top w:val="single" w:sz="4" w:space="0" w:color="auto"/>
              <w:left w:val="nil"/>
              <w:bottom w:val="single" w:sz="4" w:space="0" w:color="auto"/>
              <w:right w:val="nil"/>
            </w:tcBorders>
            <w:shd w:val="clear" w:color="auto" w:fill="auto"/>
            <w:noWrap/>
            <w:vAlign w:val="center"/>
            <w:hideMark/>
          </w:tcPr>
          <w:p w14:paraId="6FCC294D" w14:textId="77777777" w:rsidR="00BE73F5" w:rsidRDefault="00BE73F5" w:rsidP="007E5957">
            <w:pPr>
              <w:jc w:val="center"/>
              <w:rPr>
                <w:rFonts w:ascii="Calibri" w:eastAsia="Times New Roman" w:hAnsi="Calibri"/>
                <w:b/>
                <w:bCs/>
                <w:color w:val="000000"/>
              </w:rPr>
            </w:pPr>
            <w:r>
              <w:rPr>
                <w:rFonts w:ascii="Calibri" w:eastAsia="Times New Roman" w:hAnsi="Calibri"/>
                <w:b/>
                <w:bCs/>
                <w:color w:val="000000"/>
              </w:rPr>
              <w:t> </w:t>
            </w:r>
          </w:p>
        </w:tc>
        <w:tc>
          <w:tcPr>
            <w:tcW w:w="0" w:type="auto"/>
            <w:tcBorders>
              <w:top w:val="single" w:sz="4" w:space="0" w:color="auto"/>
              <w:left w:val="nil"/>
              <w:bottom w:val="single" w:sz="4" w:space="0" w:color="auto"/>
              <w:right w:val="nil"/>
            </w:tcBorders>
            <w:shd w:val="clear" w:color="auto" w:fill="auto"/>
            <w:noWrap/>
            <w:vAlign w:val="center"/>
            <w:hideMark/>
          </w:tcPr>
          <w:p w14:paraId="06594FC9" w14:textId="77777777" w:rsidR="00BE73F5" w:rsidRDefault="00BE73F5" w:rsidP="007E5957">
            <w:pPr>
              <w:jc w:val="center"/>
              <w:rPr>
                <w:rFonts w:ascii="Calibri" w:eastAsia="Times New Roman" w:hAnsi="Calibri"/>
                <w:b/>
                <w:bCs/>
                <w:color w:val="000000"/>
              </w:rPr>
            </w:pPr>
            <w:r>
              <w:rPr>
                <w:rFonts w:ascii="Calibri" w:eastAsia="Times New Roman" w:hAnsi="Calibri"/>
                <w:b/>
                <w:bCs/>
                <w:color w:val="000000"/>
              </w:rPr>
              <w:t xml:space="preserve">11,058 </w:t>
            </w:r>
          </w:p>
        </w:tc>
        <w:tc>
          <w:tcPr>
            <w:tcW w:w="0" w:type="auto"/>
            <w:tcBorders>
              <w:top w:val="single" w:sz="4" w:space="0" w:color="auto"/>
              <w:left w:val="nil"/>
              <w:bottom w:val="single" w:sz="4" w:space="0" w:color="auto"/>
              <w:right w:val="nil"/>
            </w:tcBorders>
            <w:shd w:val="clear" w:color="auto" w:fill="auto"/>
            <w:noWrap/>
            <w:vAlign w:val="center"/>
            <w:hideMark/>
          </w:tcPr>
          <w:p w14:paraId="2B567935" w14:textId="77777777" w:rsidR="00BE73F5" w:rsidRDefault="00BE73F5" w:rsidP="007E5957">
            <w:pPr>
              <w:jc w:val="center"/>
              <w:rPr>
                <w:rFonts w:ascii="Calibri" w:eastAsia="Times New Roman" w:hAnsi="Calibri"/>
                <w:b/>
                <w:bCs/>
                <w:color w:val="000000"/>
              </w:rPr>
            </w:pPr>
            <w:r>
              <w:rPr>
                <w:rFonts w:ascii="Calibri" w:eastAsia="Times New Roman" w:hAnsi="Calibri"/>
                <w:b/>
                <w:bCs/>
                <w:color w:val="000000"/>
              </w:rPr>
              <w:t xml:space="preserve">7.5 </w:t>
            </w:r>
          </w:p>
        </w:tc>
        <w:tc>
          <w:tcPr>
            <w:tcW w:w="0" w:type="auto"/>
            <w:tcBorders>
              <w:top w:val="single" w:sz="4" w:space="0" w:color="auto"/>
              <w:left w:val="nil"/>
              <w:bottom w:val="single" w:sz="4" w:space="0" w:color="auto"/>
              <w:right w:val="nil"/>
            </w:tcBorders>
            <w:shd w:val="clear" w:color="auto" w:fill="auto"/>
            <w:noWrap/>
            <w:vAlign w:val="center"/>
            <w:hideMark/>
          </w:tcPr>
          <w:p w14:paraId="2F74C005" w14:textId="77777777" w:rsidR="00BE73F5" w:rsidRDefault="00BE73F5" w:rsidP="007E5957">
            <w:pPr>
              <w:jc w:val="center"/>
              <w:rPr>
                <w:rFonts w:ascii="Calibri" w:eastAsia="Times New Roman" w:hAnsi="Calibri"/>
                <w:b/>
                <w:bCs/>
                <w:color w:val="000000"/>
              </w:rPr>
            </w:pPr>
            <w:r>
              <w:rPr>
                <w:rFonts w:ascii="Calibri" w:eastAsia="Times New Roman" w:hAnsi="Calibri"/>
                <w:b/>
                <w:bCs/>
                <w:color w:val="000000"/>
              </w:rPr>
              <w:t xml:space="preserve">1,590 </w:t>
            </w:r>
          </w:p>
        </w:tc>
        <w:tc>
          <w:tcPr>
            <w:tcW w:w="0" w:type="auto"/>
            <w:tcBorders>
              <w:top w:val="single" w:sz="4" w:space="0" w:color="auto"/>
              <w:left w:val="nil"/>
              <w:bottom w:val="single" w:sz="4" w:space="0" w:color="auto"/>
              <w:right w:val="nil"/>
            </w:tcBorders>
            <w:shd w:val="clear" w:color="auto" w:fill="auto"/>
            <w:noWrap/>
            <w:vAlign w:val="center"/>
            <w:hideMark/>
          </w:tcPr>
          <w:p w14:paraId="2CF74A85" w14:textId="77777777" w:rsidR="00BE73F5" w:rsidRDefault="00BE73F5" w:rsidP="007E5957">
            <w:pPr>
              <w:jc w:val="center"/>
              <w:rPr>
                <w:rFonts w:ascii="Calibri" w:eastAsia="Times New Roman" w:hAnsi="Calibri"/>
                <w:b/>
                <w:bCs/>
                <w:color w:val="000000"/>
              </w:rPr>
            </w:pPr>
            <w:r>
              <w:rPr>
                <w:rFonts w:ascii="Calibri" w:eastAsia="Times New Roman" w:hAnsi="Calibri"/>
                <w:b/>
                <w:bCs/>
                <w:color w:val="000000"/>
              </w:rPr>
              <w:t xml:space="preserve">182 </w:t>
            </w:r>
          </w:p>
        </w:tc>
        <w:tc>
          <w:tcPr>
            <w:tcW w:w="0" w:type="auto"/>
            <w:tcBorders>
              <w:top w:val="single" w:sz="4" w:space="0" w:color="auto"/>
              <w:left w:val="nil"/>
              <w:bottom w:val="single" w:sz="4" w:space="0" w:color="auto"/>
              <w:right w:val="nil"/>
            </w:tcBorders>
            <w:shd w:val="clear" w:color="auto" w:fill="auto"/>
            <w:noWrap/>
            <w:vAlign w:val="center"/>
            <w:hideMark/>
          </w:tcPr>
          <w:p w14:paraId="25F2ADD4" w14:textId="77777777" w:rsidR="00BE73F5" w:rsidRDefault="00BE73F5" w:rsidP="007E5957">
            <w:pPr>
              <w:jc w:val="center"/>
              <w:rPr>
                <w:rFonts w:ascii="Calibri" w:eastAsia="Times New Roman" w:hAnsi="Calibri"/>
                <w:b/>
                <w:bCs/>
                <w:color w:val="000000"/>
              </w:rPr>
            </w:pPr>
            <w:r>
              <w:rPr>
                <w:rFonts w:ascii="Calibri" w:eastAsia="Times New Roman" w:hAnsi="Calibri"/>
                <w:b/>
                <w:bCs/>
                <w:color w:val="000000"/>
              </w:rPr>
              <w:t xml:space="preserve">1,408 </w:t>
            </w:r>
          </w:p>
        </w:tc>
        <w:tc>
          <w:tcPr>
            <w:tcW w:w="0" w:type="auto"/>
            <w:tcBorders>
              <w:top w:val="single" w:sz="4" w:space="0" w:color="auto"/>
              <w:left w:val="nil"/>
              <w:bottom w:val="single" w:sz="4" w:space="0" w:color="auto"/>
              <w:right w:val="nil"/>
            </w:tcBorders>
            <w:shd w:val="clear" w:color="auto" w:fill="auto"/>
            <w:noWrap/>
            <w:vAlign w:val="center"/>
            <w:hideMark/>
          </w:tcPr>
          <w:p w14:paraId="6A036BDD" w14:textId="77777777" w:rsidR="00BE73F5" w:rsidRDefault="00BE73F5" w:rsidP="007E5957">
            <w:pPr>
              <w:jc w:val="center"/>
              <w:rPr>
                <w:rFonts w:ascii="Calibri" w:eastAsia="Times New Roman" w:hAnsi="Calibri"/>
                <w:b/>
                <w:bCs/>
                <w:color w:val="000000"/>
              </w:rPr>
            </w:pPr>
            <w:r>
              <w:rPr>
                <w:rFonts w:ascii="Calibri" w:eastAsia="Times New Roman" w:hAnsi="Calibri"/>
                <w:b/>
                <w:bCs/>
                <w:color w:val="000000"/>
              </w:rPr>
              <w:t xml:space="preserve">8.7 </w:t>
            </w:r>
          </w:p>
        </w:tc>
      </w:tr>
      <w:tr w:rsidR="00BE73F5" w14:paraId="59C4B3D4" w14:textId="77777777" w:rsidTr="00BE73F5">
        <w:trPr>
          <w:trHeight w:val="242"/>
        </w:trPr>
        <w:tc>
          <w:tcPr>
            <w:tcW w:w="0" w:type="auto"/>
            <w:tcBorders>
              <w:top w:val="nil"/>
              <w:left w:val="nil"/>
              <w:bottom w:val="nil"/>
              <w:right w:val="nil"/>
            </w:tcBorders>
            <w:shd w:val="clear" w:color="auto" w:fill="auto"/>
            <w:noWrap/>
            <w:vAlign w:val="center"/>
            <w:hideMark/>
          </w:tcPr>
          <w:p w14:paraId="696D2851" w14:textId="77777777" w:rsidR="00BE73F5" w:rsidRDefault="00BE73F5" w:rsidP="007E5957">
            <w:pPr>
              <w:jc w:val="center"/>
              <w:rPr>
                <w:rFonts w:ascii="Calibri" w:eastAsia="Times New Roman" w:hAnsi="Calibri"/>
                <w:color w:val="000000"/>
              </w:rPr>
            </w:pPr>
          </w:p>
        </w:tc>
        <w:tc>
          <w:tcPr>
            <w:tcW w:w="0" w:type="auto"/>
            <w:tcBorders>
              <w:top w:val="nil"/>
              <w:left w:val="nil"/>
              <w:bottom w:val="nil"/>
              <w:right w:val="nil"/>
            </w:tcBorders>
            <w:shd w:val="clear" w:color="auto" w:fill="auto"/>
            <w:noWrap/>
            <w:vAlign w:val="center"/>
            <w:hideMark/>
          </w:tcPr>
          <w:p w14:paraId="1BB08A70" w14:textId="77777777" w:rsidR="00BE73F5" w:rsidRDefault="00BE73F5" w:rsidP="007E5957">
            <w:pPr>
              <w:jc w:val="center"/>
              <w:rPr>
                <w:rFonts w:ascii="Calibri" w:eastAsia="Times New Roman" w:hAnsi="Calibri"/>
                <w:color w:val="000000"/>
              </w:rPr>
            </w:pPr>
          </w:p>
        </w:tc>
        <w:tc>
          <w:tcPr>
            <w:tcW w:w="0" w:type="auto"/>
            <w:tcBorders>
              <w:top w:val="nil"/>
              <w:left w:val="nil"/>
              <w:bottom w:val="nil"/>
              <w:right w:val="nil"/>
            </w:tcBorders>
            <w:shd w:val="clear" w:color="auto" w:fill="auto"/>
            <w:noWrap/>
            <w:vAlign w:val="center"/>
            <w:hideMark/>
          </w:tcPr>
          <w:p w14:paraId="5EBBAA73" w14:textId="77777777" w:rsidR="00BE73F5" w:rsidRDefault="00BE73F5" w:rsidP="007E5957">
            <w:pPr>
              <w:jc w:val="center"/>
              <w:rPr>
                <w:rFonts w:ascii="Calibri" w:eastAsia="Times New Roman" w:hAnsi="Calibri"/>
                <w:color w:val="000000"/>
              </w:rPr>
            </w:pPr>
          </w:p>
        </w:tc>
        <w:tc>
          <w:tcPr>
            <w:tcW w:w="0" w:type="auto"/>
            <w:tcBorders>
              <w:top w:val="nil"/>
              <w:left w:val="nil"/>
              <w:bottom w:val="nil"/>
              <w:right w:val="nil"/>
            </w:tcBorders>
            <w:shd w:val="clear" w:color="auto" w:fill="auto"/>
            <w:noWrap/>
            <w:vAlign w:val="center"/>
            <w:hideMark/>
          </w:tcPr>
          <w:p w14:paraId="6086EDB8" w14:textId="77777777" w:rsidR="00BE73F5" w:rsidRDefault="00BE73F5" w:rsidP="007E5957">
            <w:pPr>
              <w:jc w:val="center"/>
              <w:rPr>
                <w:rFonts w:ascii="Calibri" w:eastAsia="Times New Roman" w:hAnsi="Calibri"/>
                <w:color w:val="000000"/>
              </w:rPr>
            </w:pPr>
          </w:p>
        </w:tc>
        <w:tc>
          <w:tcPr>
            <w:tcW w:w="0" w:type="auto"/>
            <w:tcBorders>
              <w:top w:val="nil"/>
              <w:left w:val="nil"/>
              <w:bottom w:val="nil"/>
              <w:right w:val="nil"/>
            </w:tcBorders>
            <w:shd w:val="clear" w:color="auto" w:fill="auto"/>
            <w:noWrap/>
            <w:vAlign w:val="center"/>
            <w:hideMark/>
          </w:tcPr>
          <w:p w14:paraId="335A93EC" w14:textId="77777777" w:rsidR="00BE73F5" w:rsidRDefault="00BE73F5" w:rsidP="007E5957">
            <w:pPr>
              <w:jc w:val="center"/>
              <w:rPr>
                <w:rFonts w:ascii="Calibri" w:eastAsia="Times New Roman" w:hAnsi="Calibri"/>
                <w:color w:val="008000"/>
              </w:rPr>
            </w:pPr>
          </w:p>
        </w:tc>
        <w:tc>
          <w:tcPr>
            <w:tcW w:w="0" w:type="auto"/>
            <w:tcBorders>
              <w:top w:val="nil"/>
              <w:left w:val="nil"/>
              <w:bottom w:val="nil"/>
              <w:right w:val="nil"/>
            </w:tcBorders>
            <w:shd w:val="clear" w:color="auto" w:fill="auto"/>
            <w:noWrap/>
            <w:vAlign w:val="center"/>
            <w:hideMark/>
          </w:tcPr>
          <w:p w14:paraId="34E983AD" w14:textId="77777777" w:rsidR="00BE73F5" w:rsidRDefault="00BE73F5" w:rsidP="007E5957">
            <w:pPr>
              <w:jc w:val="center"/>
              <w:rPr>
                <w:rFonts w:ascii="Calibri" w:eastAsia="Times New Roman" w:hAnsi="Calibri"/>
                <w:color w:val="008000"/>
              </w:rPr>
            </w:pPr>
          </w:p>
        </w:tc>
        <w:tc>
          <w:tcPr>
            <w:tcW w:w="0" w:type="auto"/>
            <w:tcBorders>
              <w:top w:val="nil"/>
              <w:left w:val="nil"/>
              <w:bottom w:val="nil"/>
              <w:right w:val="nil"/>
            </w:tcBorders>
            <w:shd w:val="clear" w:color="auto" w:fill="auto"/>
            <w:noWrap/>
            <w:vAlign w:val="center"/>
            <w:hideMark/>
          </w:tcPr>
          <w:p w14:paraId="7D6D4D80" w14:textId="77777777" w:rsidR="00BE73F5" w:rsidRDefault="00BE73F5" w:rsidP="007E5957">
            <w:pPr>
              <w:jc w:val="center"/>
              <w:rPr>
                <w:rFonts w:ascii="Calibri" w:eastAsia="Times New Roman" w:hAnsi="Calibri"/>
                <w:color w:val="008000"/>
              </w:rPr>
            </w:pPr>
          </w:p>
        </w:tc>
        <w:tc>
          <w:tcPr>
            <w:tcW w:w="0" w:type="auto"/>
            <w:tcBorders>
              <w:top w:val="nil"/>
              <w:left w:val="nil"/>
              <w:bottom w:val="nil"/>
              <w:right w:val="nil"/>
            </w:tcBorders>
            <w:shd w:val="clear" w:color="auto" w:fill="auto"/>
            <w:noWrap/>
            <w:vAlign w:val="center"/>
            <w:hideMark/>
          </w:tcPr>
          <w:p w14:paraId="6543168B" w14:textId="77777777" w:rsidR="00BE73F5" w:rsidRDefault="00BE73F5" w:rsidP="007E5957">
            <w:pPr>
              <w:jc w:val="center"/>
              <w:rPr>
                <w:rFonts w:ascii="Calibri" w:eastAsia="Times New Roman" w:hAnsi="Calibri"/>
                <w:color w:val="008000"/>
              </w:rPr>
            </w:pPr>
          </w:p>
        </w:tc>
      </w:tr>
      <w:tr w:rsidR="00BE73F5" w14:paraId="19876A36" w14:textId="77777777" w:rsidTr="00BE73F5">
        <w:trPr>
          <w:trHeight w:val="242"/>
        </w:trPr>
        <w:tc>
          <w:tcPr>
            <w:tcW w:w="0" w:type="auto"/>
            <w:tcBorders>
              <w:top w:val="nil"/>
              <w:left w:val="nil"/>
              <w:bottom w:val="nil"/>
              <w:right w:val="nil"/>
            </w:tcBorders>
            <w:shd w:val="clear" w:color="auto" w:fill="auto"/>
            <w:noWrap/>
            <w:vAlign w:val="center"/>
            <w:hideMark/>
          </w:tcPr>
          <w:p w14:paraId="6A33A3FB" w14:textId="77777777" w:rsidR="00BE73F5" w:rsidRDefault="00BE73F5" w:rsidP="007E5957">
            <w:pPr>
              <w:rPr>
                <w:rFonts w:ascii="Calibri" w:eastAsia="Times New Roman" w:hAnsi="Calibri"/>
                <w:color w:val="000000"/>
                <w:sz w:val="28"/>
                <w:szCs w:val="28"/>
              </w:rPr>
            </w:pPr>
          </w:p>
        </w:tc>
        <w:tc>
          <w:tcPr>
            <w:tcW w:w="0" w:type="auto"/>
            <w:tcBorders>
              <w:top w:val="nil"/>
              <w:left w:val="nil"/>
              <w:bottom w:val="nil"/>
              <w:right w:val="nil"/>
            </w:tcBorders>
            <w:shd w:val="clear" w:color="auto" w:fill="auto"/>
            <w:noWrap/>
            <w:vAlign w:val="center"/>
            <w:hideMark/>
          </w:tcPr>
          <w:p w14:paraId="5A26B776" w14:textId="77777777" w:rsidR="00BE73F5" w:rsidRDefault="00BE73F5" w:rsidP="007E5957">
            <w:pPr>
              <w:jc w:val="center"/>
              <w:rPr>
                <w:rFonts w:ascii="Calibri" w:eastAsia="Times New Roman" w:hAnsi="Calibri"/>
                <w:color w:val="000000"/>
              </w:rPr>
            </w:pPr>
          </w:p>
        </w:tc>
        <w:tc>
          <w:tcPr>
            <w:tcW w:w="0" w:type="auto"/>
            <w:tcBorders>
              <w:top w:val="nil"/>
              <w:left w:val="nil"/>
              <w:bottom w:val="nil"/>
              <w:right w:val="nil"/>
            </w:tcBorders>
            <w:shd w:val="clear" w:color="auto" w:fill="auto"/>
            <w:noWrap/>
            <w:vAlign w:val="center"/>
            <w:hideMark/>
          </w:tcPr>
          <w:p w14:paraId="1A591D8F" w14:textId="77777777" w:rsidR="00BE73F5" w:rsidRDefault="00BE73F5" w:rsidP="007E5957">
            <w:pPr>
              <w:jc w:val="center"/>
              <w:rPr>
                <w:rFonts w:ascii="Calibri" w:eastAsia="Times New Roman" w:hAnsi="Calibri"/>
                <w:color w:val="000000"/>
              </w:rPr>
            </w:pPr>
          </w:p>
        </w:tc>
        <w:tc>
          <w:tcPr>
            <w:tcW w:w="0" w:type="auto"/>
            <w:tcBorders>
              <w:top w:val="nil"/>
              <w:left w:val="nil"/>
              <w:bottom w:val="nil"/>
              <w:right w:val="nil"/>
            </w:tcBorders>
            <w:shd w:val="clear" w:color="auto" w:fill="auto"/>
            <w:noWrap/>
            <w:vAlign w:val="center"/>
            <w:hideMark/>
          </w:tcPr>
          <w:p w14:paraId="67CFBBCE" w14:textId="77777777" w:rsidR="00BE73F5" w:rsidRDefault="00BE73F5" w:rsidP="007E5957">
            <w:pPr>
              <w:jc w:val="center"/>
              <w:rPr>
                <w:rFonts w:ascii="Calibri" w:eastAsia="Times New Roman" w:hAnsi="Calibri"/>
                <w:color w:val="000000"/>
              </w:rPr>
            </w:pPr>
          </w:p>
        </w:tc>
        <w:tc>
          <w:tcPr>
            <w:tcW w:w="0" w:type="auto"/>
            <w:tcBorders>
              <w:top w:val="nil"/>
              <w:left w:val="nil"/>
              <w:bottom w:val="nil"/>
              <w:right w:val="nil"/>
            </w:tcBorders>
            <w:shd w:val="clear" w:color="auto" w:fill="auto"/>
            <w:noWrap/>
            <w:vAlign w:val="center"/>
            <w:hideMark/>
          </w:tcPr>
          <w:p w14:paraId="2764CB45" w14:textId="77777777" w:rsidR="00BE73F5" w:rsidRDefault="00BE73F5" w:rsidP="007E5957">
            <w:pPr>
              <w:jc w:val="center"/>
              <w:rPr>
                <w:rFonts w:ascii="Calibri" w:eastAsia="Times New Roman" w:hAnsi="Calibri"/>
                <w:color w:val="008000"/>
              </w:rPr>
            </w:pPr>
          </w:p>
        </w:tc>
        <w:tc>
          <w:tcPr>
            <w:tcW w:w="0" w:type="auto"/>
            <w:tcBorders>
              <w:top w:val="nil"/>
              <w:left w:val="nil"/>
              <w:bottom w:val="nil"/>
              <w:right w:val="nil"/>
            </w:tcBorders>
            <w:shd w:val="clear" w:color="auto" w:fill="auto"/>
            <w:noWrap/>
            <w:vAlign w:val="center"/>
            <w:hideMark/>
          </w:tcPr>
          <w:p w14:paraId="60D6CC17" w14:textId="77777777" w:rsidR="00BE73F5" w:rsidRDefault="00BE73F5" w:rsidP="007E5957">
            <w:pPr>
              <w:jc w:val="right"/>
              <w:rPr>
                <w:rFonts w:ascii="Calibri" w:eastAsia="Times New Roman" w:hAnsi="Calibri"/>
                <w:b/>
                <w:bCs/>
                <w:color w:val="000000"/>
              </w:rPr>
            </w:pPr>
            <w:r>
              <w:rPr>
                <w:rFonts w:ascii="Calibri" w:eastAsia="Times New Roman" w:hAnsi="Calibri"/>
                <w:b/>
                <w:bCs/>
                <w:color w:val="000000"/>
              </w:rPr>
              <w:t>Net benefit per tonne:</w:t>
            </w:r>
          </w:p>
        </w:tc>
        <w:tc>
          <w:tcPr>
            <w:tcW w:w="0" w:type="auto"/>
            <w:tcBorders>
              <w:top w:val="nil"/>
              <w:left w:val="nil"/>
              <w:bottom w:val="nil"/>
              <w:right w:val="nil"/>
            </w:tcBorders>
            <w:shd w:val="clear" w:color="auto" w:fill="auto"/>
            <w:noWrap/>
            <w:vAlign w:val="center"/>
            <w:hideMark/>
          </w:tcPr>
          <w:p w14:paraId="2B6066C6" w14:textId="77777777" w:rsidR="00BE73F5" w:rsidRDefault="00BE73F5" w:rsidP="007E5957">
            <w:pPr>
              <w:jc w:val="center"/>
              <w:rPr>
                <w:rFonts w:ascii="Calibri" w:eastAsia="Times New Roman" w:hAnsi="Calibri"/>
                <w:b/>
                <w:bCs/>
                <w:color w:val="000000"/>
              </w:rPr>
            </w:pPr>
            <w:r>
              <w:rPr>
                <w:rFonts w:ascii="Calibri" w:eastAsia="Times New Roman" w:hAnsi="Calibri"/>
                <w:b/>
                <w:bCs/>
                <w:color w:val="000000"/>
              </w:rPr>
              <w:t>-187</w:t>
            </w:r>
          </w:p>
        </w:tc>
        <w:tc>
          <w:tcPr>
            <w:tcW w:w="0" w:type="auto"/>
            <w:tcBorders>
              <w:top w:val="nil"/>
              <w:left w:val="nil"/>
              <w:bottom w:val="nil"/>
              <w:right w:val="nil"/>
            </w:tcBorders>
            <w:shd w:val="clear" w:color="auto" w:fill="auto"/>
            <w:noWrap/>
            <w:vAlign w:val="center"/>
            <w:hideMark/>
          </w:tcPr>
          <w:p w14:paraId="2C537A4B" w14:textId="77777777" w:rsidR="00BE73F5" w:rsidRDefault="00BE73F5" w:rsidP="007E5957">
            <w:pPr>
              <w:jc w:val="center"/>
              <w:rPr>
                <w:rFonts w:ascii="Calibri" w:eastAsia="Times New Roman" w:hAnsi="Calibri"/>
                <w:color w:val="008000"/>
              </w:rPr>
            </w:pPr>
          </w:p>
        </w:tc>
      </w:tr>
    </w:tbl>
    <w:p w14:paraId="7CFECA43" w14:textId="77777777" w:rsidR="00BE73F5" w:rsidRDefault="00BE73F5" w:rsidP="0012172E">
      <w:pPr>
        <w:pStyle w:val="Caption"/>
      </w:pPr>
    </w:p>
    <w:p w14:paraId="16287517" w14:textId="139D9DDD" w:rsidR="00567E69" w:rsidRDefault="0012172E" w:rsidP="0012172E">
      <w:pPr>
        <w:pStyle w:val="Caption"/>
      </w:pPr>
      <w:bookmarkStart w:id="50" w:name="_Ref492043018"/>
      <w:bookmarkStart w:id="51" w:name="_Toc493158338"/>
      <w:r>
        <w:t xml:space="preserve">Table </w:t>
      </w:r>
      <w:r>
        <w:fldChar w:fldCharType="begin"/>
      </w:r>
      <w:r>
        <w:instrText xml:space="preserve"> SEQ Table \* ARABIC </w:instrText>
      </w:r>
      <w:r>
        <w:fldChar w:fldCharType="separate"/>
      </w:r>
      <w:r w:rsidR="005933B0">
        <w:t>6</w:t>
      </w:r>
      <w:r>
        <w:fldChar w:fldCharType="end"/>
      </w:r>
      <w:bookmarkEnd w:id="50"/>
      <w:r w:rsidR="00567E69" w:rsidRPr="00B64E90">
        <w:t xml:space="preserve">: Cost benefit estimates – New Zealand (Real discount rate: </w:t>
      </w:r>
      <w:r w:rsidR="00CC7DAD">
        <w:t>6</w:t>
      </w:r>
      <w:r w:rsidR="00567E69" w:rsidRPr="00B64E90">
        <w:t>%)</w:t>
      </w:r>
      <w:bookmarkEnd w:id="51"/>
    </w:p>
    <w:tbl>
      <w:tblPr>
        <w:tblW w:w="9684" w:type="dxa"/>
        <w:tblInd w:w="108" w:type="dxa"/>
        <w:tblLook w:val="04A0" w:firstRow="1" w:lastRow="0" w:firstColumn="1" w:lastColumn="0" w:noHBand="0" w:noVBand="1"/>
      </w:tblPr>
      <w:tblGrid>
        <w:gridCol w:w="1622"/>
        <w:gridCol w:w="748"/>
        <w:gridCol w:w="1296"/>
        <w:gridCol w:w="1408"/>
        <w:gridCol w:w="1182"/>
        <w:gridCol w:w="1247"/>
        <w:gridCol w:w="1045"/>
        <w:gridCol w:w="1136"/>
      </w:tblGrid>
      <w:tr w:rsidR="00132A97" w:rsidRPr="00132A97" w14:paraId="24F5DA5C" w14:textId="77777777" w:rsidTr="00132A97">
        <w:trPr>
          <w:trHeight w:val="227"/>
        </w:trPr>
        <w:tc>
          <w:tcPr>
            <w:tcW w:w="0" w:type="auto"/>
            <w:tcBorders>
              <w:top w:val="nil"/>
              <w:left w:val="nil"/>
              <w:bottom w:val="nil"/>
              <w:right w:val="nil"/>
            </w:tcBorders>
            <w:shd w:val="clear" w:color="auto" w:fill="auto"/>
            <w:noWrap/>
            <w:vAlign w:val="center"/>
            <w:hideMark/>
          </w:tcPr>
          <w:p w14:paraId="060C3573" w14:textId="77777777" w:rsidR="00132A97" w:rsidRPr="00132A97" w:rsidRDefault="00132A97" w:rsidP="00132A97">
            <w:pPr>
              <w:spacing w:after="0" w:line="240" w:lineRule="auto"/>
              <w:rPr>
                <w:rFonts w:ascii="Calibri" w:eastAsia="Times New Roman" w:hAnsi="Calibri"/>
                <w:b/>
                <w:bCs/>
                <w:noProof w:val="0"/>
                <w:color w:val="000000"/>
                <w:sz w:val="20"/>
                <w:szCs w:val="20"/>
                <w:lang w:val="en-US"/>
              </w:rPr>
            </w:pPr>
            <w:r w:rsidRPr="00132A97">
              <w:rPr>
                <w:rFonts w:ascii="Calibri" w:eastAsia="Times New Roman" w:hAnsi="Calibri"/>
                <w:b/>
                <w:bCs/>
                <w:noProof w:val="0"/>
                <w:color w:val="000000"/>
                <w:sz w:val="20"/>
                <w:szCs w:val="20"/>
                <w:lang w:val="en-US"/>
              </w:rPr>
              <w:t>New Zealand</w:t>
            </w:r>
          </w:p>
        </w:tc>
        <w:tc>
          <w:tcPr>
            <w:tcW w:w="0" w:type="auto"/>
            <w:tcBorders>
              <w:top w:val="nil"/>
              <w:left w:val="nil"/>
              <w:bottom w:val="nil"/>
              <w:right w:val="nil"/>
            </w:tcBorders>
            <w:shd w:val="clear" w:color="auto" w:fill="auto"/>
            <w:noWrap/>
            <w:vAlign w:val="center"/>
            <w:hideMark/>
          </w:tcPr>
          <w:p w14:paraId="1D6B4130" w14:textId="77777777" w:rsidR="00132A97" w:rsidRPr="00132A97" w:rsidRDefault="00132A97" w:rsidP="00132A97">
            <w:pPr>
              <w:spacing w:after="0" w:line="240" w:lineRule="auto"/>
              <w:rPr>
                <w:rFonts w:ascii="Calibri" w:eastAsia="Times New Roman" w:hAnsi="Calibri"/>
                <w:noProof w:val="0"/>
                <w:color w:val="000000"/>
                <w:sz w:val="20"/>
                <w:szCs w:val="20"/>
                <w:lang w:val="en-US"/>
              </w:rPr>
            </w:pPr>
          </w:p>
        </w:tc>
        <w:tc>
          <w:tcPr>
            <w:tcW w:w="0" w:type="auto"/>
            <w:tcBorders>
              <w:top w:val="nil"/>
              <w:left w:val="nil"/>
              <w:bottom w:val="nil"/>
              <w:right w:val="nil"/>
            </w:tcBorders>
            <w:shd w:val="clear" w:color="auto" w:fill="auto"/>
            <w:noWrap/>
            <w:vAlign w:val="center"/>
            <w:hideMark/>
          </w:tcPr>
          <w:p w14:paraId="36B0A20F" w14:textId="77777777" w:rsidR="00132A97" w:rsidRPr="00132A97" w:rsidRDefault="00132A97" w:rsidP="00132A97">
            <w:pPr>
              <w:spacing w:after="0" w:line="240" w:lineRule="auto"/>
              <w:rPr>
                <w:rFonts w:ascii="Calibri" w:eastAsia="Times New Roman" w:hAnsi="Calibri"/>
                <w:noProof w:val="0"/>
                <w:color w:val="000000"/>
                <w:sz w:val="20"/>
                <w:szCs w:val="20"/>
                <w:lang w:val="en-US"/>
              </w:rPr>
            </w:pPr>
          </w:p>
        </w:tc>
        <w:tc>
          <w:tcPr>
            <w:tcW w:w="0" w:type="auto"/>
            <w:tcBorders>
              <w:top w:val="nil"/>
              <w:left w:val="nil"/>
              <w:bottom w:val="nil"/>
              <w:right w:val="nil"/>
            </w:tcBorders>
            <w:shd w:val="clear" w:color="auto" w:fill="auto"/>
            <w:noWrap/>
            <w:vAlign w:val="center"/>
            <w:hideMark/>
          </w:tcPr>
          <w:p w14:paraId="3145E833" w14:textId="77777777" w:rsidR="00132A97" w:rsidRPr="00132A97" w:rsidRDefault="00132A97" w:rsidP="00132A97">
            <w:pPr>
              <w:spacing w:after="0" w:line="240" w:lineRule="auto"/>
              <w:jc w:val="center"/>
              <w:rPr>
                <w:rFonts w:ascii="Calibri" w:eastAsia="Times New Roman" w:hAnsi="Calibri"/>
                <w:noProof w:val="0"/>
                <w:color w:val="000000"/>
                <w:sz w:val="20"/>
                <w:szCs w:val="20"/>
                <w:lang w:val="en-US"/>
              </w:rPr>
            </w:pPr>
          </w:p>
        </w:tc>
        <w:tc>
          <w:tcPr>
            <w:tcW w:w="0" w:type="auto"/>
            <w:tcBorders>
              <w:top w:val="nil"/>
              <w:left w:val="nil"/>
              <w:bottom w:val="nil"/>
              <w:right w:val="nil"/>
            </w:tcBorders>
            <w:shd w:val="clear" w:color="auto" w:fill="auto"/>
            <w:noWrap/>
            <w:vAlign w:val="center"/>
            <w:hideMark/>
          </w:tcPr>
          <w:p w14:paraId="61E9C2B1" w14:textId="77777777" w:rsidR="00132A97" w:rsidRPr="00132A97" w:rsidRDefault="00132A97" w:rsidP="00132A97">
            <w:pPr>
              <w:spacing w:after="0" w:line="240" w:lineRule="auto"/>
              <w:jc w:val="center"/>
              <w:rPr>
                <w:rFonts w:ascii="Calibri" w:eastAsia="Times New Roman" w:hAnsi="Calibri"/>
                <w:noProof w:val="0"/>
                <w:color w:val="000000"/>
                <w:sz w:val="20"/>
                <w:szCs w:val="20"/>
                <w:lang w:val="en-US"/>
              </w:rPr>
            </w:pPr>
          </w:p>
        </w:tc>
        <w:tc>
          <w:tcPr>
            <w:tcW w:w="0" w:type="auto"/>
            <w:tcBorders>
              <w:top w:val="nil"/>
              <w:left w:val="nil"/>
              <w:bottom w:val="nil"/>
              <w:right w:val="nil"/>
            </w:tcBorders>
            <w:shd w:val="clear" w:color="auto" w:fill="auto"/>
            <w:noWrap/>
            <w:vAlign w:val="center"/>
            <w:hideMark/>
          </w:tcPr>
          <w:p w14:paraId="5FDEFC28" w14:textId="77777777" w:rsidR="00132A97" w:rsidRPr="00132A97" w:rsidRDefault="00132A97" w:rsidP="00132A97">
            <w:pPr>
              <w:spacing w:after="0" w:line="240" w:lineRule="auto"/>
              <w:jc w:val="center"/>
              <w:rPr>
                <w:rFonts w:ascii="Calibri" w:eastAsia="Times New Roman" w:hAnsi="Calibri"/>
                <w:noProof w:val="0"/>
                <w:color w:val="000000"/>
                <w:sz w:val="20"/>
                <w:szCs w:val="20"/>
                <w:lang w:val="en-US"/>
              </w:rPr>
            </w:pPr>
          </w:p>
        </w:tc>
        <w:tc>
          <w:tcPr>
            <w:tcW w:w="0" w:type="auto"/>
            <w:tcBorders>
              <w:top w:val="nil"/>
              <w:left w:val="nil"/>
              <w:bottom w:val="nil"/>
              <w:right w:val="nil"/>
            </w:tcBorders>
            <w:shd w:val="clear" w:color="auto" w:fill="auto"/>
            <w:noWrap/>
            <w:vAlign w:val="center"/>
            <w:hideMark/>
          </w:tcPr>
          <w:p w14:paraId="087C6E0A" w14:textId="77777777" w:rsidR="00132A97" w:rsidRPr="00132A97" w:rsidRDefault="00132A97" w:rsidP="00132A97">
            <w:pPr>
              <w:spacing w:after="0" w:line="240" w:lineRule="auto"/>
              <w:jc w:val="center"/>
              <w:rPr>
                <w:rFonts w:ascii="Calibri" w:eastAsia="Times New Roman" w:hAnsi="Calibri"/>
                <w:noProof w:val="0"/>
                <w:color w:val="000000"/>
                <w:sz w:val="20"/>
                <w:szCs w:val="20"/>
                <w:lang w:val="en-US"/>
              </w:rPr>
            </w:pPr>
          </w:p>
        </w:tc>
        <w:tc>
          <w:tcPr>
            <w:tcW w:w="0" w:type="auto"/>
            <w:tcBorders>
              <w:top w:val="nil"/>
              <w:left w:val="nil"/>
              <w:bottom w:val="nil"/>
              <w:right w:val="nil"/>
            </w:tcBorders>
            <w:shd w:val="clear" w:color="auto" w:fill="auto"/>
            <w:noWrap/>
            <w:vAlign w:val="center"/>
            <w:hideMark/>
          </w:tcPr>
          <w:p w14:paraId="28963181" w14:textId="77777777" w:rsidR="00132A97" w:rsidRPr="00132A97" w:rsidRDefault="00132A97" w:rsidP="00132A97">
            <w:pPr>
              <w:spacing w:after="0" w:line="240" w:lineRule="auto"/>
              <w:jc w:val="center"/>
              <w:rPr>
                <w:rFonts w:ascii="Calibri" w:eastAsia="Times New Roman" w:hAnsi="Calibri"/>
                <w:noProof w:val="0"/>
                <w:color w:val="000000"/>
                <w:sz w:val="20"/>
                <w:szCs w:val="20"/>
                <w:lang w:val="en-US"/>
              </w:rPr>
            </w:pPr>
          </w:p>
        </w:tc>
      </w:tr>
      <w:tr w:rsidR="00132A97" w:rsidRPr="00132A97" w14:paraId="21A2FC4A" w14:textId="77777777" w:rsidTr="00132A97">
        <w:trPr>
          <w:trHeight w:val="696"/>
        </w:trPr>
        <w:tc>
          <w:tcPr>
            <w:tcW w:w="0" w:type="auto"/>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06C6D39E" w14:textId="77777777" w:rsidR="00132A97" w:rsidRPr="00132A97" w:rsidRDefault="00132A97" w:rsidP="00132A97">
            <w:pPr>
              <w:spacing w:after="0" w:line="240" w:lineRule="auto"/>
              <w:rPr>
                <w:rFonts w:ascii="Calibri" w:eastAsia="Times New Roman" w:hAnsi="Calibri"/>
                <w:b/>
                <w:bCs/>
                <w:noProof w:val="0"/>
                <w:color w:val="FFFFFF"/>
                <w:sz w:val="20"/>
                <w:szCs w:val="20"/>
                <w:lang w:val="en-US"/>
              </w:rPr>
            </w:pPr>
            <w:r w:rsidRPr="00132A97">
              <w:rPr>
                <w:rFonts w:ascii="Calibri" w:eastAsia="Times New Roman" w:hAnsi="Calibri"/>
                <w:b/>
                <w:bCs/>
                <w:noProof w:val="0"/>
                <w:color w:val="FFFFFF"/>
                <w:sz w:val="20"/>
                <w:szCs w:val="20"/>
                <w:lang w:val="en-US"/>
              </w:rPr>
              <w:t>Proposal</w:t>
            </w:r>
          </w:p>
        </w:tc>
        <w:tc>
          <w:tcPr>
            <w:tcW w:w="0" w:type="auto"/>
            <w:tcBorders>
              <w:top w:val="single" w:sz="4" w:space="0" w:color="auto"/>
              <w:left w:val="nil"/>
              <w:bottom w:val="single" w:sz="4" w:space="0" w:color="auto"/>
              <w:right w:val="single" w:sz="4" w:space="0" w:color="auto"/>
            </w:tcBorders>
            <w:shd w:val="clear" w:color="000000" w:fill="000000"/>
            <w:vAlign w:val="center"/>
            <w:hideMark/>
          </w:tcPr>
          <w:p w14:paraId="14B0FFDC" w14:textId="77777777" w:rsidR="00132A97" w:rsidRPr="00132A97" w:rsidRDefault="00132A97" w:rsidP="00132A97">
            <w:pPr>
              <w:spacing w:after="0" w:line="240" w:lineRule="auto"/>
              <w:jc w:val="center"/>
              <w:rPr>
                <w:rFonts w:ascii="Calibri" w:eastAsia="Times New Roman" w:hAnsi="Calibri"/>
                <w:b/>
                <w:bCs/>
                <w:noProof w:val="0"/>
                <w:color w:val="FFFFFF"/>
                <w:sz w:val="20"/>
                <w:szCs w:val="20"/>
                <w:lang w:val="en-US"/>
              </w:rPr>
            </w:pPr>
            <w:r w:rsidRPr="00132A97">
              <w:rPr>
                <w:rFonts w:ascii="Calibri" w:eastAsia="Times New Roman" w:hAnsi="Calibri"/>
                <w:b/>
                <w:bCs/>
                <w:noProof w:val="0"/>
                <w:color w:val="FFFFFF"/>
                <w:sz w:val="20"/>
                <w:szCs w:val="20"/>
                <w:lang w:val="en-US"/>
              </w:rPr>
              <w:t>Sector</w:t>
            </w:r>
          </w:p>
        </w:tc>
        <w:tc>
          <w:tcPr>
            <w:tcW w:w="0" w:type="auto"/>
            <w:tcBorders>
              <w:top w:val="single" w:sz="4" w:space="0" w:color="auto"/>
              <w:left w:val="nil"/>
              <w:bottom w:val="single" w:sz="4" w:space="0" w:color="auto"/>
              <w:right w:val="single" w:sz="4" w:space="0" w:color="auto"/>
            </w:tcBorders>
            <w:shd w:val="clear" w:color="000000" w:fill="000000"/>
            <w:vAlign w:val="center"/>
            <w:hideMark/>
          </w:tcPr>
          <w:p w14:paraId="65545BE2" w14:textId="77777777" w:rsidR="00132A97" w:rsidRPr="00132A97" w:rsidRDefault="00132A97" w:rsidP="00132A97">
            <w:pPr>
              <w:spacing w:after="0" w:line="240" w:lineRule="auto"/>
              <w:jc w:val="center"/>
              <w:rPr>
                <w:rFonts w:ascii="Calibri" w:eastAsia="Times New Roman" w:hAnsi="Calibri"/>
                <w:b/>
                <w:bCs/>
                <w:noProof w:val="0"/>
                <w:color w:val="FFFFFF"/>
                <w:sz w:val="20"/>
                <w:szCs w:val="20"/>
                <w:lang w:val="en-US"/>
              </w:rPr>
            </w:pPr>
            <w:r w:rsidRPr="00132A97">
              <w:rPr>
                <w:rFonts w:ascii="Calibri" w:eastAsia="Times New Roman" w:hAnsi="Calibri"/>
                <w:b/>
                <w:bCs/>
                <w:noProof w:val="0"/>
                <w:color w:val="FFFFFF"/>
                <w:sz w:val="20"/>
                <w:szCs w:val="20"/>
                <w:lang w:val="en-US"/>
              </w:rPr>
              <w:t xml:space="preserve">Energy Saved </w:t>
            </w:r>
            <w:r w:rsidRPr="00132A97">
              <w:rPr>
                <w:rFonts w:ascii="Calibri" w:eastAsia="Times New Roman" w:hAnsi="Calibri"/>
                <w:b/>
                <w:bCs/>
                <w:noProof w:val="0"/>
                <w:color w:val="FFFFFF"/>
                <w:sz w:val="20"/>
                <w:szCs w:val="20"/>
                <w:lang w:val="en-US"/>
              </w:rPr>
              <w:br/>
              <w:t>(cumulative GWh)</w:t>
            </w:r>
          </w:p>
        </w:tc>
        <w:tc>
          <w:tcPr>
            <w:tcW w:w="0" w:type="auto"/>
            <w:tcBorders>
              <w:top w:val="single" w:sz="4" w:space="0" w:color="auto"/>
              <w:left w:val="nil"/>
              <w:bottom w:val="single" w:sz="4" w:space="0" w:color="auto"/>
              <w:right w:val="single" w:sz="4" w:space="0" w:color="auto"/>
            </w:tcBorders>
            <w:shd w:val="clear" w:color="000000" w:fill="000000"/>
            <w:vAlign w:val="center"/>
            <w:hideMark/>
          </w:tcPr>
          <w:p w14:paraId="7055D972" w14:textId="77777777" w:rsidR="00132A97" w:rsidRPr="00132A97" w:rsidRDefault="00132A97" w:rsidP="00132A97">
            <w:pPr>
              <w:spacing w:after="0" w:line="240" w:lineRule="auto"/>
              <w:jc w:val="center"/>
              <w:rPr>
                <w:rFonts w:ascii="Calibri" w:eastAsia="Times New Roman" w:hAnsi="Calibri"/>
                <w:b/>
                <w:bCs/>
                <w:noProof w:val="0"/>
                <w:color w:val="FFFFFF"/>
                <w:sz w:val="20"/>
                <w:szCs w:val="20"/>
                <w:lang w:val="en-US"/>
              </w:rPr>
            </w:pPr>
            <w:r w:rsidRPr="00132A97">
              <w:rPr>
                <w:rFonts w:ascii="Calibri" w:eastAsia="Times New Roman" w:hAnsi="Calibri"/>
                <w:b/>
                <w:bCs/>
                <w:noProof w:val="0"/>
                <w:color w:val="FFFFFF"/>
                <w:sz w:val="20"/>
                <w:szCs w:val="20"/>
                <w:lang w:val="en-US"/>
              </w:rPr>
              <w:t>GHG Emissions Reduction</w:t>
            </w:r>
            <w:r w:rsidRPr="00132A97">
              <w:rPr>
                <w:rFonts w:ascii="Calibri" w:eastAsia="Times New Roman" w:hAnsi="Calibri"/>
                <w:b/>
                <w:bCs/>
                <w:noProof w:val="0"/>
                <w:color w:val="FFFFFF"/>
                <w:sz w:val="20"/>
                <w:szCs w:val="20"/>
                <w:lang w:val="en-US"/>
              </w:rPr>
              <w:br/>
              <w:t>(cumulative Mt)</w:t>
            </w:r>
          </w:p>
        </w:tc>
        <w:tc>
          <w:tcPr>
            <w:tcW w:w="0" w:type="auto"/>
            <w:tcBorders>
              <w:top w:val="single" w:sz="4" w:space="0" w:color="auto"/>
              <w:left w:val="nil"/>
              <w:bottom w:val="single" w:sz="4" w:space="0" w:color="auto"/>
              <w:right w:val="single" w:sz="4" w:space="0" w:color="auto"/>
            </w:tcBorders>
            <w:shd w:val="clear" w:color="000000" w:fill="000000"/>
            <w:vAlign w:val="center"/>
            <w:hideMark/>
          </w:tcPr>
          <w:p w14:paraId="2883DD48" w14:textId="77777777" w:rsidR="00132A97" w:rsidRPr="00132A97" w:rsidRDefault="00132A97" w:rsidP="00132A97">
            <w:pPr>
              <w:spacing w:after="0" w:line="240" w:lineRule="auto"/>
              <w:jc w:val="center"/>
              <w:rPr>
                <w:rFonts w:ascii="Calibri" w:eastAsia="Times New Roman" w:hAnsi="Calibri"/>
                <w:b/>
                <w:bCs/>
                <w:noProof w:val="0"/>
                <w:color w:val="FFFFFF"/>
                <w:sz w:val="20"/>
                <w:szCs w:val="20"/>
                <w:lang w:val="en-US"/>
              </w:rPr>
            </w:pPr>
            <w:r w:rsidRPr="00132A97">
              <w:rPr>
                <w:rFonts w:ascii="Calibri" w:eastAsia="Times New Roman" w:hAnsi="Calibri"/>
                <w:b/>
                <w:bCs/>
                <w:noProof w:val="0"/>
                <w:color w:val="FFFFFF"/>
                <w:sz w:val="20"/>
                <w:szCs w:val="20"/>
                <w:lang w:val="en-US"/>
              </w:rPr>
              <w:t>Total (Gross) Benefit (NPV, $M)</w:t>
            </w:r>
          </w:p>
        </w:tc>
        <w:tc>
          <w:tcPr>
            <w:tcW w:w="0" w:type="auto"/>
            <w:tcBorders>
              <w:top w:val="single" w:sz="4" w:space="0" w:color="auto"/>
              <w:left w:val="nil"/>
              <w:bottom w:val="single" w:sz="4" w:space="0" w:color="auto"/>
              <w:right w:val="single" w:sz="4" w:space="0" w:color="auto"/>
            </w:tcBorders>
            <w:shd w:val="clear" w:color="000000" w:fill="000000"/>
            <w:vAlign w:val="center"/>
            <w:hideMark/>
          </w:tcPr>
          <w:p w14:paraId="65CCD82A" w14:textId="2B472F12" w:rsidR="00132A97" w:rsidRPr="00132A97" w:rsidRDefault="00132A97" w:rsidP="00132A97">
            <w:pPr>
              <w:spacing w:after="0" w:line="240" w:lineRule="auto"/>
              <w:jc w:val="center"/>
              <w:rPr>
                <w:rFonts w:ascii="Calibri" w:eastAsia="Times New Roman" w:hAnsi="Calibri"/>
                <w:b/>
                <w:bCs/>
                <w:noProof w:val="0"/>
                <w:color w:val="FFFFFF"/>
                <w:sz w:val="20"/>
                <w:szCs w:val="20"/>
                <w:lang w:val="en-US"/>
              </w:rPr>
            </w:pPr>
            <w:r w:rsidRPr="00132A97">
              <w:rPr>
                <w:rFonts w:ascii="Calibri" w:eastAsia="Times New Roman" w:hAnsi="Calibri"/>
                <w:b/>
                <w:bCs/>
                <w:noProof w:val="0"/>
                <w:color w:val="FFFFFF"/>
                <w:sz w:val="20"/>
                <w:szCs w:val="20"/>
                <w:lang w:val="en-US"/>
              </w:rPr>
              <w:t xml:space="preserve">Total Investment </w:t>
            </w:r>
            <w:r w:rsidRPr="00132A97">
              <w:rPr>
                <w:rFonts w:ascii="Calibri" w:eastAsia="Times New Roman" w:hAnsi="Calibri"/>
                <w:b/>
                <w:bCs/>
                <w:noProof w:val="0"/>
                <w:color w:val="FFFFFF"/>
                <w:sz w:val="20"/>
                <w:szCs w:val="20"/>
                <w:lang w:val="en-US"/>
              </w:rPr>
              <w:br/>
              <w:t>(NPV, $M)</w:t>
            </w:r>
            <w:r>
              <w:rPr>
                <w:rStyle w:val="FootnoteReference"/>
                <w:rFonts w:ascii="Calibri" w:eastAsia="Times New Roman" w:hAnsi="Calibri"/>
                <w:b/>
                <w:bCs/>
                <w:noProof w:val="0"/>
                <w:color w:val="FFFFFF"/>
                <w:sz w:val="20"/>
                <w:szCs w:val="20"/>
                <w:lang w:val="en-US"/>
              </w:rPr>
              <w:footnoteReference w:id="4"/>
            </w:r>
          </w:p>
        </w:tc>
        <w:tc>
          <w:tcPr>
            <w:tcW w:w="0" w:type="auto"/>
            <w:tcBorders>
              <w:top w:val="single" w:sz="4" w:space="0" w:color="auto"/>
              <w:left w:val="nil"/>
              <w:bottom w:val="single" w:sz="4" w:space="0" w:color="auto"/>
              <w:right w:val="single" w:sz="4" w:space="0" w:color="auto"/>
            </w:tcBorders>
            <w:shd w:val="clear" w:color="000000" w:fill="000000"/>
            <w:vAlign w:val="center"/>
            <w:hideMark/>
          </w:tcPr>
          <w:p w14:paraId="7E8DA842" w14:textId="77777777" w:rsidR="00132A97" w:rsidRPr="00132A97" w:rsidRDefault="00132A97" w:rsidP="00132A97">
            <w:pPr>
              <w:spacing w:after="0" w:line="240" w:lineRule="auto"/>
              <w:jc w:val="center"/>
              <w:rPr>
                <w:rFonts w:ascii="Calibri" w:eastAsia="Times New Roman" w:hAnsi="Calibri"/>
                <w:b/>
                <w:bCs/>
                <w:noProof w:val="0"/>
                <w:color w:val="FFFFFF"/>
                <w:sz w:val="20"/>
                <w:szCs w:val="20"/>
                <w:lang w:val="en-US"/>
              </w:rPr>
            </w:pPr>
            <w:r w:rsidRPr="00132A97">
              <w:rPr>
                <w:rFonts w:ascii="Calibri" w:eastAsia="Times New Roman" w:hAnsi="Calibri"/>
                <w:b/>
                <w:bCs/>
                <w:noProof w:val="0"/>
                <w:color w:val="FFFFFF"/>
                <w:sz w:val="20"/>
                <w:szCs w:val="20"/>
                <w:lang w:val="en-US"/>
              </w:rPr>
              <w:t>Net Benefit (NPV, $M)</w:t>
            </w:r>
          </w:p>
        </w:tc>
        <w:tc>
          <w:tcPr>
            <w:tcW w:w="0" w:type="auto"/>
            <w:tcBorders>
              <w:top w:val="single" w:sz="4" w:space="0" w:color="auto"/>
              <w:left w:val="nil"/>
              <w:bottom w:val="single" w:sz="4" w:space="0" w:color="auto"/>
              <w:right w:val="single" w:sz="4" w:space="0" w:color="auto"/>
            </w:tcBorders>
            <w:shd w:val="clear" w:color="000000" w:fill="000000"/>
            <w:vAlign w:val="center"/>
            <w:hideMark/>
          </w:tcPr>
          <w:p w14:paraId="1B7CE67D" w14:textId="77777777" w:rsidR="00132A97" w:rsidRPr="00132A97" w:rsidRDefault="00132A97" w:rsidP="00132A97">
            <w:pPr>
              <w:spacing w:after="0" w:line="240" w:lineRule="auto"/>
              <w:jc w:val="center"/>
              <w:rPr>
                <w:rFonts w:ascii="Calibri" w:eastAsia="Times New Roman" w:hAnsi="Calibri"/>
                <w:b/>
                <w:bCs/>
                <w:noProof w:val="0"/>
                <w:color w:val="FFFFFF"/>
                <w:sz w:val="20"/>
                <w:szCs w:val="20"/>
                <w:lang w:val="en-US"/>
              </w:rPr>
            </w:pPr>
            <w:r w:rsidRPr="00132A97">
              <w:rPr>
                <w:rFonts w:ascii="Calibri" w:eastAsia="Times New Roman" w:hAnsi="Calibri"/>
                <w:b/>
                <w:bCs/>
                <w:noProof w:val="0"/>
                <w:color w:val="FFFFFF"/>
                <w:sz w:val="20"/>
                <w:szCs w:val="20"/>
                <w:lang w:val="en-US"/>
              </w:rPr>
              <w:t>(Gross) Benefit to Cost Ratio</w:t>
            </w:r>
          </w:p>
        </w:tc>
      </w:tr>
      <w:tr w:rsidR="00132A97" w:rsidRPr="00132A97" w14:paraId="43439D9A" w14:textId="77777777" w:rsidTr="00132A97">
        <w:trPr>
          <w:trHeight w:val="227"/>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04B5632D" w14:textId="77777777" w:rsidR="00132A97" w:rsidRPr="00132A97" w:rsidRDefault="00132A97" w:rsidP="00132A97">
            <w:pPr>
              <w:spacing w:after="0" w:line="240" w:lineRule="auto"/>
              <w:rPr>
                <w:rFonts w:ascii="Calibri" w:eastAsia="Times New Roman" w:hAnsi="Calibri"/>
                <w:b/>
                <w:bCs/>
                <w:noProof w:val="0"/>
                <w:color w:val="000000"/>
                <w:sz w:val="20"/>
                <w:szCs w:val="20"/>
                <w:lang w:val="en-US"/>
              </w:rPr>
            </w:pPr>
            <w:r w:rsidRPr="00132A97">
              <w:rPr>
                <w:rFonts w:ascii="Calibri" w:eastAsia="Times New Roman" w:hAnsi="Calibri"/>
                <w:b/>
                <w:bCs/>
                <w:noProof w:val="0"/>
                <w:color w:val="000000"/>
                <w:sz w:val="20"/>
                <w:szCs w:val="20"/>
                <w:lang w:val="en-US"/>
              </w:rPr>
              <w:t>MEPS LED Lamps</w:t>
            </w:r>
          </w:p>
        </w:tc>
        <w:tc>
          <w:tcPr>
            <w:tcW w:w="0" w:type="auto"/>
            <w:tcBorders>
              <w:top w:val="nil"/>
              <w:left w:val="nil"/>
              <w:bottom w:val="single" w:sz="4" w:space="0" w:color="auto"/>
              <w:right w:val="single" w:sz="4" w:space="0" w:color="auto"/>
            </w:tcBorders>
            <w:shd w:val="clear" w:color="auto" w:fill="auto"/>
            <w:noWrap/>
            <w:vAlign w:val="center"/>
            <w:hideMark/>
          </w:tcPr>
          <w:p w14:paraId="3DAA62FB" w14:textId="77777777" w:rsidR="00132A97" w:rsidRPr="00132A97" w:rsidRDefault="00132A97" w:rsidP="00132A97">
            <w:pPr>
              <w:spacing w:after="0" w:line="240" w:lineRule="auto"/>
              <w:jc w:val="center"/>
              <w:rPr>
                <w:rFonts w:ascii="Calibri" w:eastAsia="Times New Roman" w:hAnsi="Calibri"/>
                <w:noProof w:val="0"/>
                <w:color w:val="000000"/>
                <w:sz w:val="20"/>
                <w:szCs w:val="20"/>
                <w:lang w:val="en-US"/>
              </w:rPr>
            </w:pPr>
            <w:r w:rsidRPr="00132A97">
              <w:rPr>
                <w:rFonts w:ascii="Calibri" w:eastAsia="Times New Roman" w:hAnsi="Calibri"/>
                <w:noProof w:val="0"/>
                <w:color w:val="000000"/>
                <w:sz w:val="20"/>
                <w:szCs w:val="20"/>
                <w:lang w:val="en-US"/>
              </w:rPr>
              <w:t>Res</w:t>
            </w:r>
          </w:p>
        </w:tc>
        <w:tc>
          <w:tcPr>
            <w:tcW w:w="0" w:type="auto"/>
            <w:tcBorders>
              <w:top w:val="nil"/>
              <w:left w:val="nil"/>
              <w:bottom w:val="single" w:sz="4" w:space="0" w:color="auto"/>
              <w:right w:val="single" w:sz="4" w:space="0" w:color="auto"/>
            </w:tcBorders>
            <w:shd w:val="clear" w:color="auto" w:fill="auto"/>
            <w:noWrap/>
            <w:vAlign w:val="center"/>
            <w:hideMark/>
          </w:tcPr>
          <w:p w14:paraId="4CA40269" w14:textId="77777777" w:rsidR="00132A97" w:rsidRPr="00132A97" w:rsidRDefault="00132A97" w:rsidP="00132A97">
            <w:pPr>
              <w:spacing w:after="0" w:line="240" w:lineRule="auto"/>
              <w:jc w:val="center"/>
              <w:rPr>
                <w:rFonts w:ascii="Calibri" w:eastAsia="Times New Roman" w:hAnsi="Calibri"/>
                <w:noProof w:val="0"/>
                <w:color w:val="000000"/>
                <w:sz w:val="20"/>
                <w:szCs w:val="20"/>
                <w:lang w:val="en-US"/>
              </w:rPr>
            </w:pPr>
            <w:r w:rsidRPr="00132A97">
              <w:rPr>
                <w:rFonts w:ascii="Calibri" w:eastAsia="Times New Roman" w:hAnsi="Calibri"/>
                <w:noProof w:val="0"/>
                <w:color w:val="000000"/>
                <w:sz w:val="20"/>
                <w:szCs w:val="20"/>
                <w:lang w:val="en-US"/>
              </w:rPr>
              <w:t xml:space="preserve">216 </w:t>
            </w:r>
          </w:p>
        </w:tc>
        <w:tc>
          <w:tcPr>
            <w:tcW w:w="0" w:type="auto"/>
            <w:tcBorders>
              <w:top w:val="nil"/>
              <w:left w:val="nil"/>
              <w:bottom w:val="single" w:sz="4" w:space="0" w:color="auto"/>
              <w:right w:val="single" w:sz="4" w:space="0" w:color="auto"/>
            </w:tcBorders>
            <w:shd w:val="clear" w:color="auto" w:fill="auto"/>
            <w:noWrap/>
            <w:vAlign w:val="center"/>
            <w:hideMark/>
          </w:tcPr>
          <w:p w14:paraId="4AFD5E12" w14:textId="77777777" w:rsidR="00132A97" w:rsidRPr="00132A97" w:rsidRDefault="00132A97" w:rsidP="00132A97">
            <w:pPr>
              <w:spacing w:after="0" w:line="240" w:lineRule="auto"/>
              <w:jc w:val="center"/>
              <w:rPr>
                <w:rFonts w:ascii="Calibri" w:eastAsia="Times New Roman" w:hAnsi="Calibri"/>
                <w:noProof w:val="0"/>
                <w:color w:val="000000"/>
                <w:sz w:val="20"/>
                <w:szCs w:val="20"/>
                <w:lang w:val="en-US"/>
              </w:rPr>
            </w:pPr>
            <w:r w:rsidRPr="00132A97">
              <w:rPr>
                <w:rFonts w:ascii="Calibri" w:eastAsia="Times New Roman" w:hAnsi="Calibri"/>
                <w:noProof w:val="0"/>
                <w:color w:val="000000"/>
                <w:sz w:val="20"/>
                <w:szCs w:val="20"/>
                <w:lang w:val="en-US"/>
              </w:rPr>
              <w:t xml:space="preserve">0.013 </w:t>
            </w:r>
          </w:p>
        </w:tc>
        <w:tc>
          <w:tcPr>
            <w:tcW w:w="0" w:type="auto"/>
            <w:tcBorders>
              <w:top w:val="nil"/>
              <w:left w:val="nil"/>
              <w:bottom w:val="single" w:sz="4" w:space="0" w:color="auto"/>
              <w:right w:val="single" w:sz="4" w:space="0" w:color="auto"/>
            </w:tcBorders>
            <w:shd w:val="clear" w:color="auto" w:fill="auto"/>
            <w:noWrap/>
            <w:vAlign w:val="center"/>
            <w:hideMark/>
          </w:tcPr>
          <w:p w14:paraId="750EAFE7" w14:textId="77777777" w:rsidR="00132A97" w:rsidRPr="00132A97" w:rsidRDefault="00132A97" w:rsidP="00132A97">
            <w:pPr>
              <w:spacing w:after="0" w:line="240" w:lineRule="auto"/>
              <w:jc w:val="center"/>
              <w:rPr>
                <w:rFonts w:ascii="Calibri" w:eastAsia="Times New Roman" w:hAnsi="Calibri"/>
                <w:noProof w:val="0"/>
                <w:color w:val="000000"/>
                <w:sz w:val="20"/>
                <w:szCs w:val="20"/>
                <w:lang w:val="en-US"/>
              </w:rPr>
            </w:pPr>
            <w:r w:rsidRPr="00132A97">
              <w:rPr>
                <w:rFonts w:ascii="Calibri" w:eastAsia="Times New Roman" w:hAnsi="Calibri"/>
                <w:noProof w:val="0"/>
                <w:color w:val="000000"/>
                <w:sz w:val="20"/>
                <w:szCs w:val="20"/>
                <w:lang w:val="en-US"/>
              </w:rPr>
              <w:t xml:space="preserve">9 </w:t>
            </w:r>
          </w:p>
        </w:tc>
        <w:tc>
          <w:tcPr>
            <w:tcW w:w="0" w:type="auto"/>
            <w:tcBorders>
              <w:top w:val="nil"/>
              <w:left w:val="nil"/>
              <w:bottom w:val="single" w:sz="4" w:space="0" w:color="auto"/>
              <w:right w:val="single" w:sz="4" w:space="0" w:color="auto"/>
            </w:tcBorders>
            <w:shd w:val="clear" w:color="auto" w:fill="auto"/>
            <w:noWrap/>
            <w:vAlign w:val="center"/>
            <w:hideMark/>
          </w:tcPr>
          <w:p w14:paraId="4F7F292D" w14:textId="77777777" w:rsidR="00132A97" w:rsidRPr="00132A97" w:rsidRDefault="00132A97" w:rsidP="00132A97">
            <w:pPr>
              <w:spacing w:after="0" w:line="240" w:lineRule="auto"/>
              <w:jc w:val="center"/>
              <w:rPr>
                <w:rFonts w:ascii="Calibri" w:eastAsia="Times New Roman" w:hAnsi="Calibri"/>
                <w:noProof w:val="0"/>
                <w:color w:val="000000"/>
                <w:sz w:val="20"/>
                <w:szCs w:val="20"/>
                <w:lang w:val="en-US"/>
              </w:rPr>
            </w:pPr>
            <w:r w:rsidRPr="00132A97">
              <w:rPr>
                <w:rFonts w:ascii="Calibri" w:eastAsia="Times New Roman" w:hAnsi="Calibri"/>
                <w:noProof w:val="0"/>
                <w:color w:val="000000"/>
                <w:sz w:val="20"/>
                <w:szCs w:val="20"/>
                <w:lang w:val="en-US"/>
              </w:rPr>
              <w:t>0.0</w:t>
            </w:r>
          </w:p>
        </w:tc>
        <w:tc>
          <w:tcPr>
            <w:tcW w:w="0" w:type="auto"/>
            <w:tcBorders>
              <w:top w:val="nil"/>
              <w:left w:val="nil"/>
              <w:bottom w:val="single" w:sz="4" w:space="0" w:color="auto"/>
              <w:right w:val="single" w:sz="4" w:space="0" w:color="auto"/>
            </w:tcBorders>
            <w:shd w:val="clear" w:color="auto" w:fill="auto"/>
            <w:noWrap/>
            <w:vAlign w:val="center"/>
            <w:hideMark/>
          </w:tcPr>
          <w:p w14:paraId="5C5B91B7" w14:textId="77777777" w:rsidR="00132A97" w:rsidRPr="00132A97" w:rsidRDefault="00132A97" w:rsidP="00132A97">
            <w:pPr>
              <w:spacing w:after="0" w:line="240" w:lineRule="auto"/>
              <w:jc w:val="center"/>
              <w:rPr>
                <w:rFonts w:ascii="Calibri" w:eastAsia="Times New Roman" w:hAnsi="Calibri"/>
                <w:noProof w:val="0"/>
                <w:color w:val="000000"/>
                <w:sz w:val="20"/>
                <w:szCs w:val="20"/>
                <w:lang w:val="en-US"/>
              </w:rPr>
            </w:pPr>
            <w:r w:rsidRPr="00132A97">
              <w:rPr>
                <w:rFonts w:ascii="Calibri" w:eastAsia="Times New Roman" w:hAnsi="Calibri"/>
                <w:noProof w:val="0"/>
                <w:color w:val="000000"/>
                <w:sz w:val="20"/>
                <w:szCs w:val="20"/>
                <w:lang w:val="en-US"/>
              </w:rPr>
              <w:t xml:space="preserve">9.2 </w:t>
            </w:r>
          </w:p>
        </w:tc>
        <w:tc>
          <w:tcPr>
            <w:tcW w:w="0" w:type="auto"/>
            <w:tcBorders>
              <w:top w:val="nil"/>
              <w:left w:val="nil"/>
              <w:bottom w:val="single" w:sz="4" w:space="0" w:color="auto"/>
              <w:right w:val="single" w:sz="4" w:space="0" w:color="auto"/>
            </w:tcBorders>
            <w:shd w:val="clear" w:color="auto" w:fill="auto"/>
            <w:noWrap/>
            <w:vAlign w:val="center"/>
            <w:hideMark/>
          </w:tcPr>
          <w:p w14:paraId="3FF208AD" w14:textId="77777777" w:rsidR="00132A97" w:rsidRPr="00132A97" w:rsidRDefault="00132A97" w:rsidP="00132A97">
            <w:pPr>
              <w:spacing w:after="0" w:line="240" w:lineRule="auto"/>
              <w:jc w:val="center"/>
              <w:rPr>
                <w:rFonts w:ascii="Calibri" w:eastAsia="Times New Roman" w:hAnsi="Calibri"/>
                <w:noProof w:val="0"/>
                <w:color w:val="000000"/>
                <w:sz w:val="20"/>
                <w:szCs w:val="20"/>
                <w:lang w:val="en-US"/>
              </w:rPr>
            </w:pPr>
            <w:r w:rsidRPr="00132A97">
              <w:rPr>
                <w:rFonts w:ascii="Calibri" w:eastAsia="Times New Roman" w:hAnsi="Calibri"/>
                <w:noProof w:val="0"/>
                <w:color w:val="000000"/>
                <w:sz w:val="20"/>
                <w:szCs w:val="20"/>
                <w:lang w:val="en-US"/>
              </w:rPr>
              <w:t> </w:t>
            </w:r>
          </w:p>
        </w:tc>
      </w:tr>
      <w:tr w:rsidR="00132A97" w:rsidRPr="00132A97" w14:paraId="7BB1044B" w14:textId="77777777" w:rsidTr="00132A97">
        <w:trPr>
          <w:trHeight w:val="241"/>
        </w:trPr>
        <w:tc>
          <w:tcPr>
            <w:tcW w:w="0" w:type="auto"/>
            <w:vMerge/>
            <w:tcBorders>
              <w:top w:val="nil"/>
              <w:left w:val="single" w:sz="4" w:space="0" w:color="auto"/>
              <w:bottom w:val="single" w:sz="4" w:space="0" w:color="000000"/>
              <w:right w:val="single" w:sz="4" w:space="0" w:color="auto"/>
            </w:tcBorders>
            <w:vAlign w:val="center"/>
            <w:hideMark/>
          </w:tcPr>
          <w:p w14:paraId="14020519" w14:textId="77777777" w:rsidR="00132A97" w:rsidRPr="00132A97" w:rsidRDefault="00132A97" w:rsidP="00132A97">
            <w:pPr>
              <w:spacing w:after="0" w:line="240" w:lineRule="auto"/>
              <w:rPr>
                <w:rFonts w:ascii="Calibri" w:eastAsia="Times New Roman" w:hAnsi="Calibri"/>
                <w:b/>
                <w:bCs/>
                <w:noProof w:val="0"/>
                <w:color w:val="000000"/>
                <w:sz w:val="20"/>
                <w:szCs w:val="20"/>
                <w:lang w:val="en-US"/>
              </w:rPr>
            </w:pPr>
          </w:p>
        </w:tc>
        <w:tc>
          <w:tcPr>
            <w:tcW w:w="0" w:type="auto"/>
            <w:tcBorders>
              <w:top w:val="nil"/>
              <w:left w:val="nil"/>
              <w:bottom w:val="single" w:sz="4" w:space="0" w:color="auto"/>
              <w:right w:val="single" w:sz="4" w:space="0" w:color="auto"/>
            </w:tcBorders>
            <w:shd w:val="clear" w:color="auto" w:fill="auto"/>
            <w:noWrap/>
            <w:vAlign w:val="center"/>
            <w:hideMark/>
          </w:tcPr>
          <w:p w14:paraId="2C8A55FE" w14:textId="77777777" w:rsidR="00132A97" w:rsidRPr="00132A97" w:rsidRDefault="00132A97" w:rsidP="00132A97">
            <w:pPr>
              <w:spacing w:after="0" w:line="240" w:lineRule="auto"/>
              <w:jc w:val="center"/>
              <w:rPr>
                <w:rFonts w:ascii="Calibri" w:eastAsia="Times New Roman" w:hAnsi="Calibri"/>
                <w:noProof w:val="0"/>
                <w:color w:val="000000"/>
                <w:sz w:val="20"/>
                <w:szCs w:val="20"/>
                <w:lang w:val="en-US"/>
              </w:rPr>
            </w:pPr>
            <w:r w:rsidRPr="00132A97">
              <w:rPr>
                <w:rFonts w:ascii="Calibri" w:eastAsia="Times New Roman" w:hAnsi="Calibri"/>
                <w:noProof w:val="0"/>
                <w:color w:val="000000"/>
                <w:sz w:val="20"/>
                <w:szCs w:val="20"/>
                <w:lang w:val="en-US"/>
              </w:rPr>
              <w:t>Com</w:t>
            </w:r>
          </w:p>
        </w:tc>
        <w:tc>
          <w:tcPr>
            <w:tcW w:w="0" w:type="auto"/>
            <w:tcBorders>
              <w:top w:val="nil"/>
              <w:left w:val="nil"/>
              <w:bottom w:val="single" w:sz="4" w:space="0" w:color="auto"/>
              <w:right w:val="single" w:sz="4" w:space="0" w:color="auto"/>
            </w:tcBorders>
            <w:shd w:val="clear" w:color="auto" w:fill="auto"/>
            <w:noWrap/>
            <w:vAlign w:val="center"/>
            <w:hideMark/>
          </w:tcPr>
          <w:p w14:paraId="5211B6CE" w14:textId="77777777" w:rsidR="00132A97" w:rsidRPr="00132A97" w:rsidRDefault="00132A97" w:rsidP="00132A97">
            <w:pPr>
              <w:spacing w:after="0" w:line="240" w:lineRule="auto"/>
              <w:jc w:val="center"/>
              <w:rPr>
                <w:rFonts w:ascii="Calibri" w:eastAsia="Times New Roman" w:hAnsi="Calibri"/>
                <w:noProof w:val="0"/>
                <w:color w:val="000000"/>
                <w:sz w:val="20"/>
                <w:szCs w:val="20"/>
                <w:lang w:val="en-US"/>
              </w:rPr>
            </w:pPr>
            <w:r w:rsidRPr="00132A97">
              <w:rPr>
                <w:rFonts w:ascii="Calibri" w:eastAsia="Times New Roman" w:hAnsi="Calibri"/>
                <w:noProof w:val="0"/>
                <w:color w:val="000000"/>
                <w:sz w:val="20"/>
                <w:szCs w:val="20"/>
                <w:lang w:val="en-US"/>
              </w:rPr>
              <w:t xml:space="preserve">402 </w:t>
            </w:r>
          </w:p>
        </w:tc>
        <w:tc>
          <w:tcPr>
            <w:tcW w:w="0" w:type="auto"/>
            <w:tcBorders>
              <w:top w:val="nil"/>
              <w:left w:val="nil"/>
              <w:bottom w:val="single" w:sz="4" w:space="0" w:color="auto"/>
              <w:right w:val="single" w:sz="4" w:space="0" w:color="auto"/>
            </w:tcBorders>
            <w:shd w:val="clear" w:color="auto" w:fill="auto"/>
            <w:noWrap/>
            <w:vAlign w:val="center"/>
            <w:hideMark/>
          </w:tcPr>
          <w:p w14:paraId="0C9EEC42" w14:textId="77777777" w:rsidR="00132A97" w:rsidRPr="00132A97" w:rsidRDefault="00132A97" w:rsidP="00132A97">
            <w:pPr>
              <w:spacing w:after="0" w:line="240" w:lineRule="auto"/>
              <w:jc w:val="center"/>
              <w:rPr>
                <w:rFonts w:ascii="Calibri" w:eastAsia="Times New Roman" w:hAnsi="Calibri"/>
                <w:noProof w:val="0"/>
                <w:color w:val="000000"/>
                <w:sz w:val="20"/>
                <w:szCs w:val="20"/>
                <w:lang w:val="en-US"/>
              </w:rPr>
            </w:pPr>
            <w:r w:rsidRPr="00132A97">
              <w:rPr>
                <w:rFonts w:ascii="Calibri" w:eastAsia="Times New Roman" w:hAnsi="Calibri"/>
                <w:noProof w:val="0"/>
                <w:color w:val="000000"/>
                <w:sz w:val="20"/>
                <w:szCs w:val="20"/>
                <w:lang w:val="en-US"/>
              </w:rPr>
              <w:t xml:space="preserve">0.034 </w:t>
            </w:r>
          </w:p>
        </w:tc>
        <w:tc>
          <w:tcPr>
            <w:tcW w:w="0" w:type="auto"/>
            <w:tcBorders>
              <w:top w:val="nil"/>
              <w:left w:val="nil"/>
              <w:bottom w:val="single" w:sz="4" w:space="0" w:color="auto"/>
              <w:right w:val="single" w:sz="4" w:space="0" w:color="auto"/>
            </w:tcBorders>
            <w:shd w:val="clear" w:color="auto" w:fill="auto"/>
            <w:noWrap/>
            <w:vAlign w:val="center"/>
            <w:hideMark/>
          </w:tcPr>
          <w:p w14:paraId="47DA5746" w14:textId="77777777" w:rsidR="00132A97" w:rsidRPr="00132A97" w:rsidRDefault="00132A97" w:rsidP="00132A97">
            <w:pPr>
              <w:spacing w:after="0" w:line="240" w:lineRule="auto"/>
              <w:jc w:val="center"/>
              <w:rPr>
                <w:rFonts w:ascii="Calibri" w:eastAsia="Times New Roman" w:hAnsi="Calibri"/>
                <w:noProof w:val="0"/>
                <w:color w:val="000000"/>
                <w:sz w:val="20"/>
                <w:szCs w:val="20"/>
                <w:lang w:val="en-US"/>
              </w:rPr>
            </w:pPr>
            <w:r w:rsidRPr="00132A97">
              <w:rPr>
                <w:rFonts w:ascii="Calibri" w:eastAsia="Times New Roman" w:hAnsi="Calibri"/>
                <w:noProof w:val="0"/>
                <w:color w:val="000000"/>
                <w:sz w:val="20"/>
                <w:szCs w:val="20"/>
                <w:lang w:val="en-US"/>
              </w:rPr>
              <w:t xml:space="preserve">20 </w:t>
            </w:r>
          </w:p>
        </w:tc>
        <w:tc>
          <w:tcPr>
            <w:tcW w:w="0" w:type="auto"/>
            <w:tcBorders>
              <w:top w:val="nil"/>
              <w:left w:val="nil"/>
              <w:bottom w:val="single" w:sz="4" w:space="0" w:color="auto"/>
              <w:right w:val="single" w:sz="4" w:space="0" w:color="auto"/>
            </w:tcBorders>
            <w:shd w:val="clear" w:color="auto" w:fill="auto"/>
            <w:noWrap/>
            <w:vAlign w:val="center"/>
            <w:hideMark/>
          </w:tcPr>
          <w:p w14:paraId="1E52F438" w14:textId="77777777" w:rsidR="00132A97" w:rsidRPr="00132A97" w:rsidRDefault="00132A97" w:rsidP="00132A97">
            <w:pPr>
              <w:spacing w:after="0" w:line="240" w:lineRule="auto"/>
              <w:jc w:val="center"/>
              <w:rPr>
                <w:rFonts w:ascii="Calibri" w:eastAsia="Times New Roman" w:hAnsi="Calibri"/>
                <w:noProof w:val="0"/>
                <w:color w:val="000000"/>
                <w:sz w:val="20"/>
                <w:szCs w:val="20"/>
                <w:lang w:val="en-US"/>
              </w:rPr>
            </w:pPr>
            <w:r w:rsidRPr="00132A97">
              <w:rPr>
                <w:rFonts w:ascii="Calibri" w:eastAsia="Times New Roman" w:hAnsi="Calibri"/>
                <w:noProof w:val="0"/>
                <w:color w:val="000000"/>
                <w:sz w:val="20"/>
                <w:szCs w:val="20"/>
                <w:lang w:val="en-US"/>
              </w:rPr>
              <w:t>0.0</w:t>
            </w:r>
          </w:p>
        </w:tc>
        <w:tc>
          <w:tcPr>
            <w:tcW w:w="0" w:type="auto"/>
            <w:tcBorders>
              <w:top w:val="nil"/>
              <w:left w:val="nil"/>
              <w:bottom w:val="single" w:sz="4" w:space="0" w:color="auto"/>
              <w:right w:val="single" w:sz="4" w:space="0" w:color="auto"/>
            </w:tcBorders>
            <w:shd w:val="clear" w:color="auto" w:fill="auto"/>
            <w:noWrap/>
            <w:vAlign w:val="center"/>
            <w:hideMark/>
          </w:tcPr>
          <w:p w14:paraId="6F6FCF60" w14:textId="77777777" w:rsidR="00132A97" w:rsidRPr="00132A97" w:rsidRDefault="00132A97" w:rsidP="00132A97">
            <w:pPr>
              <w:spacing w:after="0" w:line="240" w:lineRule="auto"/>
              <w:jc w:val="center"/>
              <w:rPr>
                <w:rFonts w:ascii="Calibri" w:eastAsia="Times New Roman" w:hAnsi="Calibri"/>
                <w:noProof w:val="0"/>
                <w:color w:val="000000"/>
                <w:sz w:val="20"/>
                <w:szCs w:val="20"/>
                <w:lang w:val="en-US"/>
              </w:rPr>
            </w:pPr>
            <w:r w:rsidRPr="00132A97">
              <w:rPr>
                <w:rFonts w:ascii="Calibri" w:eastAsia="Times New Roman" w:hAnsi="Calibri"/>
                <w:noProof w:val="0"/>
                <w:color w:val="000000"/>
                <w:sz w:val="20"/>
                <w:szCs w:val="20"/>
                <w:lang w:val="en-US"/>
              </w:rPr>
              <w:t xml:space="preserve">19.8 </w:t>
            </w:r>
          </w:p>
        </w:tc>
        <w:tc>
          <w:tcPr>
            <w:tcW w:w="0" w:type="auto"/>
            <w:tcBorders>
              <w:top w:val="nil"/>
              <w:left w:val="nil"/>
              <w:bottom w:val="single" w:sz="4" w:space="0" w:color="auto"/>
              <w:right w:val="single" w:sz="4" w:space="0" w:color="auto"/>
            </w:tcBorders>
            <w:shd w:val="clear" w:color="auto" w:fill="auto"/>
            <w:noWrap/>
            <w:vAlign w:val="center"/>
            <w:hideMark/>
          </w:tcPr>
          <w:p w14:paraId="2F737735" w14:textId="77777777" w:rsidR="00132A97" w:rsidRPr="00132A97" w:rsidRDefault="00132A97" w:rsidP="00132A97">
            <w:pPr>
              <w:spacing w:after="0" w:line="240" w:lineRule="auto"/>
              <w:jc w:val="center"/>
              <w:rPr>
                <w:rFonts w:ascii="Calibri" w:eastAsia="Times New Roman" w:hAnsi="Calibri"/>
                <w:noProof w:val="0"/>
                <w:color w:val="000000"/>
                <w:sz w:val="20"/>
                <w:szCs w:val="20"/>
                <w:lang w:val="en-US"/>
              </w:rPr>
            </w:pPr>
            <w:r w:rsidRPr="00132A97">
              <w:rPr>
                <w:rFonts w:ascii="Calibri" w:eastAsia="Times New Roman" w:hAnsi="Calibri"/>
                <w:noProof w:val="0"/>
                <w:color w:val="000000"/>
                <w:sz w:val="20"/>
                <w:szCs w:val="20"/>
                <w:lang w:val="en-US"/>
              </w:rPr>
              <w:t> </w:t>
            </w:r>
          </w:p>
        </w:tc>
      </w:tr>
      <w:tr w:rsidR="00132A97" w:rsidRPr="00132A97" w14:paraId="15B8BCD5" w14:textId="77777777" w:rsidTr="00132A97">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FE9B7E" w14:textId="3FF4ECAE" w:rsidR="00132A97" w:rsidRPr="00132A97" w:rsidRDefault="00132A97" w:rsidP="002F6CFF">
            <w:pPr>
              <w:spacing w:after="0" w:line="240" w:lineRule="auto"/>
              <w:rPr>
                <w:rFonts w:ascii="Calibri" w:eastAsia="Times New Roman" w:hAnsi="Calibri"/>
                <w:b/>
                <w:bCs/>
                <w:noProof w:val="0"/>
                <w:color w:val="000000"/>
                <w:sz w:val="20"/>
                <w:szCs w:val="20"/>
                <w:lang w:val="en-US"/>
              </w:rPr>
            </w:pPr>
            <w:r w:rsidRPr="00132A97">
              <w:rPr>
                <w:rFonts w:ascii="Calibri" w:eastAsia="Times New Roman" w:hAnsi="Calibri"/>
                <w:b/>
                <w:bCs/>
                <w:noProof w:val="0"/>
                <w:color w:val="000000"/>
                <w:sz w:val="20"/>
                <w:szCs w:val="20"/>
                <w:lang w:val="en-US"/>
              </w:rPr>
              <w:t>Industry Costs</w:t>
            </w:r>
          </w:p>
        </w:tc>
        <w:tc>
          <w:tcPr>
            <w:tcW w:w="0" w:type="auto"/>
            <w:tcBorders>
              <w:top w:val="nil"/>
              <w:left w:val="nil"/>
              <w:bottom w:val="single" w:sz="4" w:space="0" w:color="auto"/>
              <w:right w:val="single" w:sz="4" w:space="0" w:color="auto"/>
            </w:tcBorders>
            <w:shd w:val="clear" w:color="auto" w:fill="auto"/>
            <w:noWrap/>
            <w:vAlign w:val="center"/>
            <w:hideMark/>
          </w:tcPr>
          <w:p w14:paraId="52A0207E" w14:textId="77777777" w:rsidR="00132A97" w:rsidRPr="00132A97" w:rsidRDefault="00132A97" w:rsidP="00132A97">
            <w:pPr>
              <w:spacing w:after="0" w:line="240" w:lineRule="auto"/>
              <w:jc w:val="center"/>
              <w:rPr>
                <w:rFonts w:ascii="Calibri" w:eastAsia="Times New Roman" w:hAnsi="Calibri"/>
                <w:noProof w:val="0"/>
                <w:color w:val="000000"/>
                <w:sz w:val="20"/>
                <w:szCs w:val="20"/>
                <w:lang w:val="en-US"/>
              </w:rPr>
            </w:pPr>
            <w:r w:rsidRPr="00132A97">
              <w:rPr>
                <w:rFonts w:ascii="Calibri" w:eastAsia="Times New Roman" w:hAnsi="Calibri"/>
                <w:noProof w:val="0"/>
                <w:color w:val="000000"/>
                <w:sz w:val="20"/>
                <w:szCs w:val="20"/>
                <w:lang w:val="en-US"/>
              </w:rPr>
              <w:t>Admin</w:t>
            </w:r>
          </w:p>
        </w:tc>
        <w:tc>
          <w:tcPr>
            <w:tcW w:w="0" w:type="auto"/>
            <w:tcBorders>
              <w:top w:val="nil"/>
              <w:left w:val="nil"/>
              <w:bottom w:val="single" w:sz="4" w:space="0" w:color="auto"/>
              <w:right w:val="single" w:sz="4" w:space="0" w:color="auto"/>
            </w:tcBorders>
            <w:shd w:val="clear" w:color="auto" w:fill="auto"/>
            <w:noWrap/>
            <w:vAlign w:val="center"/>
            <w:hideMark/>
          </w:tcPr>
          <w:p w14:paraId="640B54F1" w14:textId="77777777" w:rsidR="00132A97" w:rsidRPr="00132A97" w:rsidRDefault="00132A97" w:rsidP="00132A97">
            <w:pPr>
              <w:spacing w:after="0" w:line="240" w:lineRule="auto"/>
              <w:jc w:val="center"/>
              <w:rPr>
                <w:rFonts w:ascii="Calibri" w:eastAsia="Times New Roman" w:hAnsi="Calibri"/>
                <w:noProof w:val="0"/>
                <w:color w:val="000000"/>
                <w:sz w:val="20"/>
                <w:szCs w:val="20"/>
                <w:lang w:val="en-US"/>
              </w:rPr>
            </w:pPr>
            <w:r w:rsidRPr="00132A97">
              <w:rPr>
                <w:rFonts w:ascii="Calibri" w:eastAsia="Times New Roman" w:hAnsi="Calibri"/>
                <w:noProof w:val="0"/>
                <w:color w:val="000000"/>
                <w:sz w:val="20"/>
                <w:szCs w:val="20"/>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21C69338" w14:textId="77777777" w:rsidR="00132A97" w:rsidRPr="00132A97" w:rsidRDefault="00132A97" w:rsidP="00132A97">
            <w:pPr>
              <w:spacing w:after="0" w:line="240" w:lineRule="auto"/>
              <w:jc w:val="center"/>
              <w:rPr>
                <w:rFonts w:ascii="Calibri" w:eastAsia="Times New Roman" w:hAnsi="Calibri"/>
                <w:noProof w:val="0"/>
                <w:color w:val="000000"/>
                <w:sz w:val="20"/>
                <w:szCs w:val="20"/>
                <w:lang w:val="en-US"/>
              </w:rPr>
            </w:pPr>
            <w:r w:rsidRPr="00132A97">
              <w:rPr>
                <w:rFonts w:ascii="Calibri" w:eastAsia="Times New Roman" w:hAnsi="Calibri"/>
                <w:noProof w:val="0"/>
                <w:color w:val="000000"/>
                <w:sz w:val="20"/>
                <w:szCs w:val="20"/>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5A0A93E0" w14:textId="77777777" w:rsidR="00132A97" w:rsidRPr="00132A97" w:rsidRDefault="00132A97" w:rsidP="00132A97">
            <w:pPr>
              <w:spacing w:after="0" w:line="240" w:lineRule="auto"/>
              <w:jc w:val="center"/>
              <w:rPr>
                <w:rFonts w:ascii="Calibri" w:eastAsia="Times New Roman" w:hAnsi="Calibri"/>
                <w:noProof w:val="0"/>
                <w:color w:val="000000"/>
                <w:sz w:val="20"/>
                <w:szCs w:val="20"/>
                <w:lang w:val="en-US"/>
              </w:rPr>
            </w:pPr>
            <w:r w:rsidRPr="00132A97">
              <w:rPr>
                <w:rFonts w:ascii="Calibri" w:eastAsia="Times New Roman" w:hAnsi="Calibri"/>
                <w:noProof w:val="0"/>
                <w:color w:val="000000"/>
                <w:sz w:val="20"/>
                <w:szCs w:val="20"/>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62D7CB9E" w14:textId="77777777" w:rsidR="00132A97" w:rsidRPr="00132A97" w:rsidRDefault="00132A97" w:rsidP="00132A97">
            <w:pPr>
              <w:spacing w:after="0" w:line="240" w:lineRule="auto"/>
              <w:jc w:val="center"/>
              <w:rPr>
                <w:rFonts w:ascii="Calibri" w:eastAsia="Times New Roman" w:hAnsi="Calibri"/>
                <w:noProof w:val="0"/>
                <w:color w:val="000000"/>
                <w:sz w:val="20"/>
                <w:szCs w:val="20"/>
                <w:lang w:val="en-US"/>
              </w:rPr>
            </w:pPr>
            <w:r w:rsidRPr="00132A97">
              <w:rPr>
                <w:rFonts w:ascii="Calibri" w:eastAsia="Times New Roman" w:hAnsi="Calibri"/>
                <w:noProof w:val="0"/>
                <w:color w:val="000000"/>
                <w:sz w:val="20"/>
                <w:szCs w:val="20"/>
                <w:lang w:val="en-US"/>
              </w:rPr>
              <w:t>3.7</w:t>
            </w:r>
          </w:p>
        </w:tc>
        <w:tc>
          <w:tcPr>
            <w:tcW w:w="0" w:type="auto"/>
            <w:tcBorders>
              <w:top w:val="nil"/>
              <w:left w:val="nil"/>
              <w:bottom w:val="single" w:sz="4" w:space="0" w:color="auto"/>
              <w:right w:val="single" w:sz="4" w:space="0" w:color="auto"/>
            </w:tcBorders>
            <w:shd w:val="clear" w:color="auto" w:fill="auto"/>
            <w:noWrap/>
            <w:vAlign w:val="center"/>
            <w:hideMark/>
          </w:tcPr>
          <w:p w14:paraId="0BAB6509" w14:textId="77777777" w:rsidR="00132A97" w:rsidRPr="00132A97" w:rsidRDefault="00132A97" w:rsidP="00132A97">
            <w:pPr>
              <w:spacing w:after="0" w:line="240" w:lineRule="auto"/>
              <w:jc w:val="center"/>
              <w:rPr>
                <w:rFonts w:ascii="Calibri" w:eastAsia="Times New Roman" w:hAnsi="Calibri"/>
                <w:noProof w:val="0"/>
                <w:color w:val="000000"/>
                <w:sz w:val="20"/>
                <w:szCs w:val="20"/>
                <w:lang w:val="en-US"/>
              </w:rPr>
            </w:pPr>
            <w:r w:rsidRPr="00132A97">
              <w:rPr>
                <w:rFonts w:ascii="Calibri" w:eastAsia="Times New Roman" w:hAnsi="Calibri"/>
                <w:noProof w:val="0"/>
                <w:color w:val="000000"/>
                <w:sz w:val="20"/>
                <w:szCs w:val="20"/>
                <w:lang w:val="en-US"/>
              </w:rPr>
              <w:t xml:space="preserve">-3.7 </w:t>
            </w:r>
          </w:p>
        </w:tc>
        <w:tc>
          <w:tcPr>
            <w:tcW w:w="0" w:type="auto"/>
            <w:tcBorders>
              <w:top w:val="nil"/>
              <w:left w:val="nil"/>
              <w:bottom w:val="single" w:sz="4" w:space="0" w:color="auto"/>
              <w:right w:val="single" w:sz="4" w:space="0" w:color="auto"/>
            </w:tcBorders>
            <w:shd w:val="clear" w:color="auto" w:fill="auto"/>
            <w:noWrap/>
            <w:vAlign w:val="center"/>
            <w:hideMark/>
          </w:tcPr>
          <w:p w14:paraId="494FCEAE" w14:textId="77777777" w:rsidR="00132A97" w:rsidRPr="00132A97" w:rsidRDefault="00132A97" w:rsidP="00132A97">
            <w:pPr>
              <w:spacing w:after="0" w:line="240" w:lineRule="auto"/>
              <w:jc w:val="center"/>
              <w:rPr>
                <w:rFonts w:ascii="Calibri" w:eastAsia="Times New Roman" w:hAnsi="Calibri"/>
                <w:noProof w:val="0"/>
                <w:color w:val="000000"/>
                <w:sz w:val="20"/>
                <w:szCs w:val="20"/>
                <w:lang w:val="en-US"/>
              </w:rPr>
            </w:pPr>
            <w:r w:rsidRPr="00132A97">
              <w:rPr>
                <w:rFonts w:ascii="Calibri" w:eastAsia="Times New Roman" w:hAnsi="Calibri"/>
                <w:noProof w:val="0"/>
                <w:color w:val="000000"/>
                <w:sz w:val="20"/>
                <w:szCs w:val="20"/>
                <w:lang w:val="en-US"/>
              </w:rPr>
              <w:t> </w:t>
            </w:r>
          </w:p>
        </w:tc>
      </w:tr>
      <w:tr w:rsidR="00132A97" w:rsidRPr="00132A97" w14:paraId="635A7F05" w14:textId="77777777" w:rsidTr="00132A97">
        <w:trPr>
          <w:trHeight w:hRule="exact" w:val="14"/>
        </w:trPr>
        <w:tc>
          <w:tcPr>
            <w:tcW w:w="0" w:type="auto"/>
            <w:tcBorders>
              <w:top w:val="nil"/>
              <w:left w:val="nil"/>
              <w:bottom w:val="nil"/>
              <w:right w:val="nil"/>
            </w:tcBorders>
            <w:shd w:val="clear" w:color="auto" w:fill="auto"/>
            <w:noWrap/>
            <w:vAlign w:val="center"/>
            <w:hideMark/>
          </w:tcPr>
          <w:p w14:paraId="6B310620" w14:textId="77777777" w:rsidR="00132A97" w:rsidRPr="00132A97" w:rsidRDefault="00132A97" w:rsidP="00132A97">
            <w:pPr>
              <w:spacing w:after="0" w:line="240" w:lineRule="auto"/>
              <w:rPr>
                <w:rFonts w:ascii="Calibri" w:eastAsia="Times New Roman" w:hAnsi="Calibri"/>
                <w:b/>
                <w:bCs/>
                <w:noProof w:val="0"/>
                <w:color w:val="000000"/>
                <w:sz w:val="20"/>
                <w:szCs w:val="20"/>
                <w:lang w:val="en-US"/>
              </w:rPr>
            </w:pPr>
          </w:p>
        </w:tc>
        <w:tc>
          <w:tcPr>
            <w:tcW w:w="0" w:type="auto"/>
            <w:tcBorders>
              <w:top w:val="nil"/>
              <w:left w:val="nil"/>
              <w:bottom w:val="nil"/>
              <w:right w:val="nil"/>
            </w:tcBorders>
            <w:shd w:val="clear" w:color="auto" w:fill="auto"/>
            <w:noWrap/>
            <w:vAlign w:val="center"/>
            <w:hideMark/>
          </w:tcPr>
          <w:p w14:paraId="52C4F628" w14:textId="77777777" w:rsidR="00132A97" w:rsidRPr="00132A97" w:rsidRDefault="00132A97" w:rsidP="00132A97">
            <w:pPr>
              <w:spacing w:after="0" w:line="240" w:lineRule="auto"/>
              <w:jc w:val="center"/>
              <w:rPr>
                <w:rFonts w:ascii="Calibri" w:eastAsia="Times New Roman" w:hAnsi="Calibri"/>
                <w:b/>
                <w:bCs/>
                <w:noProof w:val="0"/>
                <w:color w:val="000000"/>
                <w:sz w:val="20"/>
                <w:szCs w:val="20"/>
                <w:lang w:val="en-US"/>
              </w:rPr>
            </w:pPr>
          </w:p>
        </w:tc>
        <w:tc>
          <w:tcPr>
            <w:tcW w:w="0" w:type="auto"/>
            <w:tcBorders>
              <w:top w:val="nil"/>
              <w:left w:val="nil"/>
              <w:bottom w:val="nil"/>
              <w:right w:val="nil"/>
            </w:tcBorders>
            <w:shd w:val="clear" w:color="auto" w:fill="auto"/>
            <w:noWrap/>
            <w:vAlign w:val="center"/>
            <w:hideMark/>
          </w:tcPr>
          <w:p w14:paraId="6924322C" w14:textId="77777777" w:rsidR="00132A97" w:rsidRPr="00132A97" w:rsidRDefault="00132A97" w:rsidP="00132A97">
            <w:pPr>
              <w:spacing w:after="0" w:line="240" w:lineRule="auto"/>
              <w:jc w:val="center"/>
              <w:rPr>
                <w:rFonts w:ascii="Calibri" w:eastAsia="Times New Roman" w:hAnsi="Calibri"/>
                <w:b/>
                <w:bCs/>
                <w:noProof w:val="0"/>
                <w:color w:val="000000"/>
                <w:sz w:val="20"/>
                <w:szCs w:val="20"/>
                <w:lang w:val="en-US"/>
              </w:rPr>
            </w:pPr>
          </w:p>
        </w:tc>
        <w:tc>
          <w:tcPr>
            <w:tcW w:w="0" w:type="auto"/>
            <w:tcBorders>
              <w:top w:val="nil"/>
              <w:left w:val="nil"/>
              <w:bottom w:val="nil"/>
              <w:right w:val="nil"/>
            </w:tcBorders>
            <w:shd w:val="clear" w:color="auto" w:fill="auto"/>
            <w:noWrap/>
            <w:vAlign w:val="center"/>
            <w:hideMark/>
          </w:tcPr>
          <w:p w14:paraId="2CA5B36D" w14:textId="77777777" w:rsidR="00132A97" w:rsidRPr="00132A97" w:rsidRDefault="00132A97" w:rsidP="00132A97">
            <w:pPr>
              <w:spacing w:after="0" w:line="240" w:lineRule="auto"/>
              <w:jc w:val="center"/>
              <w:rPr>
                <w:rFonts w:ascii="Calibri" w:eastAsia="Times New Roman" w:hAnsi="Calibri"/>
                <w:b/>
                <w:bCs/>
                <w:noProof w:val="0"/>
                <w:color w:val="000000"/>
                <w:sz w:val="20"/>
                <w:szCs w:val="20"/>
                <w:lang w:val="en-US"/>
              </w:rPr>
            </w:pPr>
          </w:p>
        </w:tc>
        <w:tc>
          <w:tcPr>
            <w:tcW w:w="0" w:type="auto"/>
            <w:tcBorders>
              <w:top w:val="nil"/>
              <w:left w:val="nil"/>
              <w:bottom w:val="nil"/>
              <w:right w:val="nil"/>
            </w:tcBorders>
            <w:shd w:val="clear" w:color="auto" w:fill="auto"/>
            <w:noWrap/>
            <w:vAlign w:val="center"/>
            <w:hideMark/>
          </w:tcPr>
          <w:p w14:paraId="6BE13696" w14:textId="77777777" w:rsidR="00132A97" w:rsidRPr="00132A97" w:rsidRDefault="00132A97" w:rsidP="00132A97">
            <w:pPr>
              <w:spacing w:after="0" w:line="240" w:lineRule="auto"/>
              <w:jc w:val="center"/>
              <w:rPr>
                <w:rFonts w:ascii="Calibri" w:eastAsia="Times New Roman" w:hAnsi="Calibri"/>
                <w:b/>
                <w:bCs/>
                <w:noProof w:val="0"/>
                <w:color w:val="000000"/>
                <w:sz w:val="20"/>
                <w:szCs w:val="20"/>
                <w:lang w:val="en-US"/>
              </w:rPr>
            </w:pPr>
          </w:p>
        </w:tc>
        <w:tc>
          <w:tcPr>
            <w:tcW w:w="0" w:type="auto"/>
            <w:tcBorders>
              <w:top w:val="nil"/>
              <w:left w:val="nil"/>
              <w:bottom w:val="nil"/>
              <w:right w:val="nil"/>
            </w:tcBorders>
            <w:shd w:val="clear" w:color="auto" w:fill="auto"/>
            <w:noWrap/>
            <w:vAlign w:val="center"/>
            <w:hideMark/>
          </w:tcPr>
          <w:p w14:paraId="39F7F81A" w14:textId="77777777" w:rsidR="00132A97" w:rsidRPr="00132A97" w:rsidRDefault="00132A97" w:rsidP="00132A97">
            <w:pPr>
              <w:spacing w:after="0" w:line="240" w:lineRule="auto"/>
              <w:jc w:val="center"/>
              <w:rPr>
                <w:rFonts w:ascii="Calibri" w:eastAsia="Times New Roman" w:hAnsi="Calibri"/>
                <w:b/>
                <w:bCs/>
                <w:noProof w:val="0"/>
                <w:color w:val="000000"/>
                <w:sz w:val="20"/>
                <w:szCs w:val="20"/>
                <w:lang w:val="en-US"/>
              </w:rPr>
            </w:pPr>
          </w:p>
        </w:tc>
        <w:tc>
          <w:tcPr>
            <w:tcW w:w="0" w:type="auto"/>
            <w:tcBorders>
              <w:top w:val="nil"/>
              <w:left w:val="nil"/>
              <w:bottom w:val="nil"/>
              <w:right w:val="nil"/>
            </w:tcBorders>
            <w:shd w:val="clear" w:color="auto" w:fill="auto"/>
            <w:noWrap/>
            <w:vAlign w:val="center"/>
            <w:hideMark/>
          </w:tcPr>
          <w:p w14:paraId="78F5CE97" w14:textId="77777777" w:rsidR="00132A97" w:rsidRPr="00132A97" w:rsidRDefault="00132A97" w:rsidP="00132A97">
            <w:pPr>
              <w:spacing w:after="0" w:line="240" w:lineRule="auto"/>
              <w:jc w:val="center"/>
              <w:rPr>
                <w:rFonts w:ascii="Calibri" w:eastAsia="Times New Roman" w:hAnsi="Calibri"/>
                <w:b/>
                <w:bCs/>
                <w:noProof w:val="0"/>
                <w:color w:val="000000"/>
                <w:sz w:val="20"/>
                <w:szCs w:val="20"/>
                <w:lang w:val="en-US"/>
              </w:rPr>
            </w:pPr>
          </w:p>
        </w:tc>
        <w:tc>
          <w:tcPr>
            <w:tcW w:w="0" w:type="auto"/>
            <w:tcBorders>
              <w:top w:val="nil"/>
              <w:left w:val="nil"/>
              <w:bottom w:val="nil"/>
              <w:right w:val="nil"/>
            </w:tcBorders>
            <w:shd w:val="clear" w:color="auto" w:fill="auto"/>
            <w:noWrap/>
            <w:vAlign w:val="center"/>
            <w:hideMark/>
          </w:tcPr>
          <w:p w14:paraId="09036C32" w14:textId="77777777" w:rsidR="00132A97" w:rsidRPr="00132A97" w:rsidRDefault="00132A97" w:rsidP="00132A97">
            <w:pPr>
              <w:spacing w:after="0" w:line="240" w:lineRule="auto"/>
              <w:jc w:val="center"/>
              <w:rPr>
                <w:rFonts w:ascii="Calibri" w:eastAsia="Times New Roman" w:hAnsi="Calibri"/>
                <w:b/>
                <w:bCs/>
                <w:noProof w:val="0"/>
                <w:color w:val="000000"/>
                <w:sz w:val="20"/>
                <w:szCs w:val="20"/>
                <w:lang w:val="en-US"/>
              </w:rPr>
            </w:pPr>
          </w:p>
        </w:tc>
      </w:tr>
      <w:tr w:rsidR="00132A97" w:rsidRPr="00132A97" w14:paraId="5D3D636B" w14:textId="77777777" w:rsidTr="00132A97">
        <w:trPr>
          <w:trHeight w:val="227"/>
        </w:trPr>
        <w:tc>
          <w:tcPr>
            <w:tcW w:w="0" w:type="auto"/>
            <w:tcBorders>
              <w:top w:val="single" w:sz="4" w:space="0" w:color="auto"/>
              <w:left w:val="nil"/>
              <w:bottom w:val="single" w:sz="4" w:space="0" w:color="auto"/>
              <w:right w:val="nil"/>
            </w:tcBorders>
            <w:shd w:val="clear" w:color="auto" w:fill="auto"/>
            <w:noWrap/>
            <w:vAlign w:val="center"/>
            <w:hideMark/>
          </w:tcPr>
          <w:p w14:paraId="21C7E040" w14:textId="77777777" w:rsidR="00132A97" w:rsidRPr="00132A97" w:rsidRDefault="00132A97" w:rsidP="00132A97">
            <w:pPr>
              <w:spacing w:after="0" w:line="240" w:lineRule="auto"/>
              <w:rPr>
                <w:rFonts w:ascii="Calibri" w:eastAsia="Times New Roman" w:hAnsi="Calibri"/>
                <w:b/>
                <w:bCs/>
                <w:noProof w:val="0"/>
                <w:color w:val="000000"/>
                <w:sz w:val="20"/>
                <w:szCs w:val="20"/>
                <w:lang w:val="en-US"/>
              </w:rPr>
            </w:pPr>
            <w:r w:rsidRPr="00132A97">
              <w:rPr>
                <w:rFonts w:ascii="Calibri" w:eastAsia="Times New Roman" w:hAnsi="Calibri"/>
                <w:b/>
                <w:bCs/>
                <w:noProof w:val="0"/>
                <w:color w:val="000000"/>
                <w:sz w:val="20"/>
                <w:szCs w:val="20"/>
                <w:lang w:val="en-US"/>
              </w:rPr>
              <w:t>Grand Total</w:t>
            </w:r>
          </w:p>
        </w:tc>
        <w:tc>
          <w:tcPr>
            <w:tcW w:w="0" w:type="auto"/>
            <w:tcBorders>
              <w:top w:val="single" w:sz="4" w:space="0" w:color="auto"/>
              <w:left w:val="nil"/>
              <w:bottom w:val="single" w:sz="4" w:space="0" w:color="auto"/>
              <w:right w:val="nil"/>
            </w:tcBorders>
            <w:shd w:val="clear" w:color="auto" w:fill="auto"/>
            <w:noWrap/>
            <w:vAlign w:val="center"/>
            <w:hideMark/>
          </w:tcPr>
          <w:p w14:paraId="0BF2AD47" w14:textId="77777777" w:rsidR="00132A97" w:rsidRPr="00132A97" w:rsidRDefault="00132A97" w:rsidP="00132A97">
            <w:pPr>
              <w:spacing w:after="0" w:line="240" w:lineRule="auto"/>
              <w:jc w:val="center"/>
              <w:rPr>
                <w:rFonts w:ascii="Calibri" w:eastAsia="Times New Roman" w:hAnsi="Calibri"/>
                <w:b/>
                <w:bCs/>
                <w:noProof w:val="0"/>
                <w:color w:val="000000"/>
                <w:sz w:val="20"/>
                <w:szCs w:val="20"/>
                <w:lang w:val="en-US"/>
              </w:rPr>
            </w:pPr>
            <w:r w:rsidRPr="00132A97">
              <w:rPr>
                <w:rFonts w:ascii="Calibri" w:eastAsia="Times New Roman" w:hAnsi="Calibri"/>
                <w:b/>
                <w:bCs/>
                <w:noProof w:val="0"/>
                <w:color w:val="000000"/>
                <w:sz w:val="20"/>
                <w:szCs w:val="20"/>
                <w:lang w:val="en-US"/>
              </w:rPr>
              <w:t> </w:t>
            </w:r>
          </w:p>
        </w:tc>
        <w:tc>
          <w:tcPr>
            <w:tcW w:w="0" w:type="auto"/>
            <w:tcBorders>
              <w:top w:val="single" w:sz="4" w:space="0" w:color="auto"/>
              <w:left w:val="nil"/>
              <w:bottom w:val="single" w:sz="4" w:space="0" w:color="auto"/>
              <w:right w:val="nil"/>
            </w:tcBorders>
            <w:shd w:val="clear" w:color="auto" w:fill="auto"/>
            <w:noWrap/>
            <w:vAlign w:val="center"/>
            <w:hideMark/>
          </w:tcPr>
          <w:p w14:paraId="77EE2ED8" w14:textId="77777777" w:rsidR="00132A97" w:rsidRPr="00132A97" w:rsidRDefault="00132A97" w:rsidP="00132A97">
            <w:pPr>
              <w:spacing w:after="0" w:line="240" w:lineRule="auto"/>
              <w:jc w:val="center"/>
              <w:rPr>
                <w:rFonts w:ascii="Calibri" w:eastAsia="Times New Roman" w:hAnsi="Calibri"/>
                <w:b/>
                <w:bCs/>
                <w:noProof w:val="0"/>
                <w:color w:val="000000"/>
                <w:sz w:val="20"/>
                <w:szCs w:val="20"/>
                <w:lang w:val="en-US"/>
              </w:rPr>
            </w:pPr>
            <w:r w:rsidRPr="00132A97">
              <w:rPr>
                <w:rFonts w:ascii="Calibri" w:eastAsia="Times New Roman" w:hAnsi="Calibri"/>
                <w:b/>
                <w:bCs/>
                <w:noProof w:val="0"/>
                <w:color w:val="000000"/>
                <w:sz w:val="20"/>
                <w:szCs w:val="20"/>
                <w:lang w:val="en-US"/>
              </w:rPr>
              <w:t xml:space="preserve">618 </w:t>
            </w:r>
          </w:p>
        </w:tc>
        <w:tc>
          <w:tcPr>
            <w:tcW w:w="0" w:type="auto"/>
            <w:tcBorders>
              <w:top w:val="single" w:sz="4" w:space="0" w:color="auto"/>
              <w:left w:val="nil"/>
              <w:bottom w:val="single" w:sz="4" w:space="0" w:color="auto"/>
              <w:right w:val="nil"/>
            </w:tcBorders>
            <w:shd w:val="clear" w:color="auto" w:fill="auto"/>
            <w:noWrap/>
            <w:vAlign w:val="center"/>
            <w:hideMark/>
          </w:tcPr>
          <w:p w14:paraId="0787FB33" w14:textId="77777777" w:rsidR="00132A97" w:rsidRPr="00132A97" w:rsidRDefault="00132A97" w:rsidP="00132A97">
            <w:pPr>
              <w:spacing w:after="0" w:line="240" w:lineRule="auto"/>
              <w:jc w:val="center"/>
              <w:rPr>
                <w:rFonts w:ascii="Calibri" w:eastAsia="Times New Roman" w:hAnsi="Calibri"/>
                <w:b/>
                <w:bCs/>
                <w:noProof w:val="0"/>
                <w:color w:val="000000"/>
                <w:sz w:val="20"/>
                <w:szCs w:val="20"/>
                <w:lang w:val="en-US"/>
              </w:rPr>
            </w:pPr>
            <w:r w:rsidRPr="00132A97">
              <w:rPr>
                <w:rFonts w:ascii="Calibri" w:eastAsia="Times New Roman" w:hAnsi="Calibri"/>
                <w:b/>
                <w:bCs/>
                <w:noProof w:val="0"/>
                <w:color w:val="000000"/>
                <w:sz w:val="20"/>
                <w:szCs w:val="20"/>
                <w:lang w:val="en-US"/>
              </w:rPr>
              <w:t xml:space="preserve">0.047 </w:t>
            </w:r>
          </w:p>
        </w:tc>
        <w:tc>
          <w:tcPr>
            <w:tcW w:w="0" w:type="auto"/>
            <w:tcBorders>
              <w:top w:val="single" w:sz="4" w:space="0" w:color="auto"/>
              <w:left w:val="nil"/>
              <w:bottom w:val="single" w:sz="4" w:space="0" w:color="auto"/>
              <w:right w:val="nil"/>
            </w:tcBorders>
            <w:shd w:val="clear" w:color="auto" w:fill="auto"/>
            <w:noWrap/>
            <w:vAlign w:val="center"/>
            <w:hideMark/>
          </w:tcPr>
          <w:p w14:paraId="06BC8835" w14:textId="77777777" w:rsidR="00132A97" w:rsidRPr="00132A97" w:rsidRDefault="00132A97" w:rsidP="00132A97">
            <w:pPr>
              <w:spacing w:after="0" w:line="240" w:lineRule="auto"/>
              <w:jc w:val="center"/>
              <w:rPr>
                <w:rFonts w:ascii="Calibri" w:eastAsia="Times New Roman" w:hAnsi="Calibri"/>
                <w:b/>
                <w:bCs/>
                <w:noProof w:val="0"/>
                <w:color w:val="000000"/>
                <w:sz w:val="20"/>
                <w:szCs w:val="20"/>
                <w:lang w:val="en-US"/>
              </w:rPr>
            </w:pPr>
            <w:r w:rsidRPr="00132A97">
              <w:rPr>
                <w:rFonts w:ascii="Calibri" w:eastAsia="Times New Roman" w:hAnsi="Calibri"/>
                <w:b/>
                <w:bCs/>
                <w:noProof w:val="0"/>
                <w:color w:val="000000"/>
                <w:sz w:val="20"/>
                <w:szCs w:val="20"/>
                <w:lang w:val="en-US"/>
              </w:rPr>
              <w:t xml:space="preserve">29 </w:t>
            </w:r>
          </w:p>
        </w:tc>
        <w:tc>
          <w:tcPr>
            <w:tcW w:w="0" w:type="auto"/>
            <w:tcBorders>
              <w:top w:val="single" w:sz="4" w:space="0" w:color="auto"/>
              <w:left w:val="nil"/>
              <w:bottom w:val="single" w:sz="4" w:space="0" w:color="auto"/>
              <w:right w:val="nil"/>
            </w:tcBorders>
            <w:shd w:val="clear" w:color="auto" w:fill="auto"/>
            <w:noWrap/>
            <w:vAlign w:val="center"/>
            <w:hideMark/>
          </w:tcPr>
          <w:p w14:paraId="09C200F8" w14:textId="77777777" w:rsidR="00132A97" w:rsidRPr="00132A97" w:rsidRDefault="00132A97" w:rsidP="00132A97">
            <w:pPr>
              <w:spacing w:after="0" w:line="240" w:lineRule="auto"/>
              <w:jc w:val="center"/>
              <w:rPr>
                <w:rFonts w:ascii="Calibri" w:eastAsia="Times New Roman" w:hAnsi="Calibri"/>
                <w:b/>
                <w:bCs/>
                <w:noProof w:val="0"/>
                <w:color w:val="000000"/>
                <w:sz w:val="20"/>
                <w:szCs w:val="20"/>
                <w:lang w:val="en-US"/>
              </w:rPr>
            </w:pPr>
            <w:r w:rsidRPr="00132A97">
              <w:rPr>
                <w:rFonts w:ascii="Calibri" w:eastAsia="Times New Roman" w:hAnsi="Calibri"/>
                <w:b/>
                <w:bCs/>
                <w:noProof w:val="0"/>
                <w:color w:val="000000"/>
                <w:sz w:val="20"/>
                <w:szCs w:val="20"/>
                <w:lang w:val="en-US"/>
              </w:rPr>
              <w:t>3.7</w:t>
            </w:r>
          </w:p>
        </w:tc>
        <w:tc>
          <w:tcPr>
            <w:tcW w:w="0" w:type="auto"/>
            <w:tcBorders>
              <w:top w:val="single" w:sz="4" w:space="0" w:color="auto"/>
              <w:left w:val="nil"/>
              <w:bottom w:val="single" w:sz="4" w:space="0" w:color="auto"/>
              <w:right w:val="nil"/>
            </w:tcBorders>
            <w:shd w:val="clear" w:color="auto" w:fill="auto"/>
            <w:noWrap/>
            <w:vAlign w:val="center"/>
            <w:hideMark/>
          </w:tcPr>
          <w:p w14:paraId="72ABE7E8" w14:textId="77777777" w:rsidR="00132A97" w:rsidRPr="00132A97" w:rsidRDefault="00132A97" w:rsidP="00132A97">
            <w:pPr>
              <w:spacing w:after="0" w:line="240" w:lineRule="auto"/>
              <w:jc w:val="center"/>
              <w:rPr>
                <w:rFonts w:ascii="Calibri" w:eastAsia="Times New Roman" w:hAnsi="Calibri"/>
                <w:b/>
                <w:bCs/>
                <w:noProof w:val="0"/>
                <w:color w:val="000000"/>
                <w:sz w:val="20"/>
                <w:szCs w:val="20"/>
                <w:lang w:val="en-US"/>
              </w:rPr>
            </w:pPr>
            <w:r w:rsidRPr="00132A97">
              <w:rPr>
                <w:rFonts w:ascii="Calibri" w:eastAsia="Times New Roman" w:hAnsi="Calibri"/>
                <w:b/>
                <w:bCs/>
                <w:noProof w:val="0"/>
                <w:color w:val="000000"/>
                <w:sz w:val="20"/>
                <w:szCs w:val="20"/>
                <w:lang w:val="en-US"/>
              </w:rPr>
              <w:t xml:space="preserve">25.3 </w:t>
            </w:r>
          </w:p>
        </w:tc>
        <w:tc>
          <w:tcPr>
            <w:tcW w:w="0" w:type="auto"/>
            <w:tcBorders>
              <w:top w:val="single" w:sz="4" w:space="0" w:color="auto"/>
              <w:left w:val="nil"/>
              <w:bottom w:val="single" w:sz="4" w:space="0" w:color="auto"/>
              <w:right w:val="nil"/>
            </w:tcBorders>
            <w:shd w:val="clear" w:color="auto" w:fill="auto"/>
            <w:noWrap/>
            <w:vAlign w:val="center"/>
            <w:hideMark/>
          </w:tcPr>
          <w:p w14:paraId="47ECA9DD" w14:textId="77777777" w:rsidR="00132A97" w:rsidRPr="00132A97" w:rsidRDefault="00132A97" w:rsidP="00132A97">
            <w:pPr>
              <w:spacing w:after="0" w:line="240" w:lineRule="auto"/>
              <w:jc w:val="center"/>
              <w:rPr>
                <w:rFonts w:ascii="Calibri" w:eastAsia="Times New Roman" w:hAnsi="Calibri"/>
                <w:b/>
                <w:bCs/>
                <w:noProof w:val="0"/>
                <w:color w:val="000000"/>
                <w:sz w:val="20"/>
                <w:szCs w:val="20"/>
                <w:lang w:val="en-US"/>
              </w:rPr>
            </w:pPr>
            <w:r w:rsidRPr="00132A97">
              <w:rPr>
                <w:rFonts w:ascii="Calibri" w:eastAsia="Times New Roman" w:hAnsi="Calibri"/>
                <w:b/>
                <w:bCs/>
                <w:noProof w:val="0"/>
                <w:color w:val="000000"/>
                <w:sz w:val="20"/>
                <w:szCs w:val="20"/>
                <w:lang w:val="en-US"/>
              </w:rPr>
              <w:t xml:space="preserve">7.8 </w:t>
            </w:r>
          </w:p>
        </w:tc>
      </w:tr>
    </w:tbl>
    <w:p w14:paraId="4A10A7F7" w14:textId="77777777" w:rsidR="00132A97" w:rsidRDefault="00132A97" w:rsidP="001D173D">
      <w:pPr>
        <w:rPr>
          <w:sz w:val="16"/>
          <w:szCs w:val="16"/>
        </w:rPr>
      </w:pPr>
    </w:p>
    <w:p w14:paraId="188565A0" w14:textId="5A4F4766" w:rsidR="006A5E05" w:rsidRDefault="006A5E05" w:rsidP="003B62AD">
      <w:pPr>
        <w:pStyle w:val="E3BodyText"/>
      </w:pPr>
      <w:r>
        <w:t>Costs and benefits have been assessed to 2030. In order to show the impacts in each sector, residential and commercial sectors are modelled separately for the LED MEPS proposal. The phase out proposal largely applies to the residential sector and has been modelled as such. The following costs and benefits are included in the financial modelling:</w:t>
      </w:r>
    </w:p>
    <w:p w14:paraId="50987959" w14:textId="77777777" w:rsidR="006A5E05" w:rsidRDefault="006A5E05" w:rsidP="006A5E05">
      <w:pPr>
        <w:pStyle w:val="E3BodyText"/>
      </w:pPr>
      <w:r>
        <w:t>Costs:</w:t>
      </w:r>
    </w:p>
    <w:p w14:paraId="7A6630C0" w14:textId="38C1F91A" w:rsidR="006A5E05" w:rsidRDefault="006A5E05" w:rsidP="006A5E05">
      <w:pPr>
        <w:pStyle w:val="E3Bullets"/>
      </w:pPr>
      <w:r>
        <w:t>To the consumer, due to transitional costs in upgrading existing lighting systems to be compatible with LED lighting</w:t>
      </w:r>
      <w:r w:rsidR="00A92D1C">
        <w:t xml:space="preserve">. </w:t>
      </w:r>
      <w:r w:rsidR="00BE20EB">
        <w:t>I</w:t>
      </w:r>
      <w:r w:rsidR="00A92D1C">
        <w:t xml:space="preserve">t is noted that there are no costs to the consumer for improving LED lamps </w:t>
      </w:r>
      <w:r w:rsidR="00BE20EB">
        <w:t>due to an overall downward trend in price.</w:t>
      </w:r>
    </w:p>
    <w:p w14:paraId="3D693CFF" w14:textId="77777777" w:rsidR="006A5E05" w:rsidRDefault="006A5E05" w:rsidP="006A5E05">
      <w:pPr>
        <w:pStyle w:val="E3Bullets"/>
      </w:pPr>
      <w:r>
        <w:t xml:space="preserve">To the product supply businesses for complying with the new or modified regulatory requirements </w:t>
      </w:r>
    </w:p>
    <w:p w14:paraId="0955D73C" w14:textId="77777777" w:rsidR="006A5E05" w:rsidRDefault="006A5E05" w:rsidP="006A5E05">
      <w:pPr>
        <w:pStyle w:val="E3Bullets"/>
      </w:pPr>
      <w:r>
        <w:t>To government for implementing and administering the requirements.</w:t>
      </w:r>
    </w:p>
    <w:p w14:paraId="3D2ECF0C" w14:textId="77777777" w:rsidR="006A5E05" w:rsidRDefault="006A5E05" w:rsidP="006A5E05">
      <w:pPr>
        <w:pStyle w:val="E3BodyText"/>
      </w:pPr>
      <w:r>
        <w:t>Benefits:</w:t>
      </w:r>
    </w:p>
    <w:p w14:paraId="47C9C651" w14:textId="77777777" w:rsidR="006A5E05" w:rsidRDefault="006A5E05" w:rsidP="006A5E05">
      <w:pPr>
        <w:pStyle w:val="E3Bullets"/>
      </w:pPr>
      <w:r>
        <w:t>To the consumer, due to improved energy efficiency of available products resulting in avoided electricity costs</w:t>
      </w:r>
    </w:p>
    <w:p w14:paraId="22C9EBCB" w14:textId="77777777" w:rsidR="006A5E05" w:rsidRDefault="006A5E05" w:rsidP="006A5E05">
      <w:pPr>
        <w:pStyle w:val="E3Bullets"/>
      </w:pPr>
      <w:r>
        <w:t>To consumers due to longer life of LEDs, leading to reduced replacement costs (not included in financial modelling)</w:t>
      </w:r>
    </w:p>
    <w:p w14:paraId="18B85E80" w14:textId="2F053956" w:rsidR="006A5E05" w:rsidRDefault="006A5E05" w:rsidP="003B62AD">
      <w:pPr>
        <w:pStyle w:val="E3BodyText"/>
      </w:pPr>
      <w:r>
        <w:t xml:space="preserve">The policy options can also reduce the cost to Australia and New Zealand of meeting greenhouse gas abatement targets by providing cost positive emission abatement. For </w:t>
      </w:r>
      <w:r w:rsidRPr="00E62656">
        <w:t xml:space="preserve">Australia, the cost of </w:t>
      </w:r>
      <w:r w:rsidRPr="00B21D10">
        <w:t>abatement for the recommended option is around $</w:t>
      </w:r>
      <w:r w:rsidR="00F95760" w:rsidRPr="00B21D10">
        <w:t>-196</w:t>
      </w:r>
      <w:r w:rsidRPr="00B21D10">
        <w:t>/tonne</w:t>
      </w:r>
      <w:r w:rsidRPr="00B21D10">
        <w:rPr>
          <w:rStyle w:val="FootnoteReference"/>
        </w:rPr>
        <w:footnoteReference w:id="5"/>
      </w:r>
      <w:r w:rsidRPr="00B21D10">
        <w:t>. This abatement cost is much</w:t>
      </w:r>
      <w:r>
        <w:t xml:space="preserve"> lower than the average price of around $12 that the Australian Government is paying for abatement under the Emissions Reduction Fund.</w:t>
      </w:r>
    </w:p>
    <w:p w14:paraId="740E2558" w14:textId="77777777" w:rsidR="006A5E05" w:rsidRDefault="006A5E05" w:rsidP="003B62AD">
      <w:pPr>
        <w:pStyle w:val="E3BodyText"/>
      </w:pPr>
      <w:r>
        <w:t>The benefits to society from reduced GHG emissions have not been accounted for in the financial modelling.</w:t>
      </w:r>
    </w:p>
    <w:p w14:paraId="0135C8BD" w14:textId="41E6122C" w:rsidR="00E84408" w:rsidRDefault="004B1B77" w:rsidP="003B62AD">
      <w:pPr>
        <w:pStyle w:val="E3BodyText"/>
        <w:rPr>
          <w:lang w:val="en-AU" w:eastAsia="en-US"/>
        </w:rPr>
      </w:pPr>
      <w:r>
        <w:rPr>
          <w:lang w:val="en-AU" w:eastAsia="en-US"/>
        </w:rPr>
        <w:t>Consumer costs</w:t>
      </w:r>
      <w:r w:rsidR="00BF30BC">
        <w:rPr>
          <w:lang w:val="en-AU" w:eastAsia="en-US"/>
        </w:rPr>
        <w:t xml:space="preserve"> (Australia only)</w:t>
      </w:r>
      <w:r>
        <w:rPr>
          <w:lang w:val="en-AU" w:eastAsia="en-US"/>
        </w:rPr>
        <w:t xml:space="preserve"> include the e</w:t>
      </w:r>
      <w:r w:rsidR="00E84408">
        <w:rPr>
          <w:lang w:val="en-AU" w:eastAsia="en-US"/>
        </w:rPr>
        <w:t>stimated costs for households to upgrade</w:t>
      </w:r>
      <w:r>
        <w:rPr>
          <w:lang w:val="en-AU" w:eastAsia="en-US"/>
        </w:rPr>
        <w:t xml:space="preserve"> their dimmer systems, where their </w:t>
      </w:r>
      <w:r w:rsidR="00E84408">
        <w:rPr>
          <w:lang w:val="en-AU" w:eastAsia="en-US"/>
        </w:rPr>
        <w:t>existing</w:t>
      </w:r>
      <w:r>
        <w:rPr>
          <w:lang w:val="en-AU" w:eastAsia="en-US"/>
        </w:rPr>
        <w:t xml:space="preserve"> dimmer</w:t>
      </w:r>
      <w:r w:rsidR="00E84408">
        <w:rPr>
          <w:lang w:val="en-AU" w:eastAsia="en-US"/>
        </w:rPr>
        <w:t>(</w:t>
      </w:r>
      <w:r>
        <w:rPr>
          <w:lang w:val="en-AU" w:eastAsia="en-US"/>
        </w:rPr>
        <w:t>s</w:t>
      </w:r>
      <w:r w:rsidR="002F6CFF">
        <w:rPr>
          <w:lang w:val="en-AU" w:eastAsia="en-US"/>
        </w:rPr>
        <w:t xml:space="preserve">) currently used with </w:t>
      </w:r>
      <w:r w:rsidR="00E84408">
        <w:rPr>
          <w:lang w:val="en-AU" w:eastAsia="en-US"/>
        </w:rPr>
        <w:t>standard halogen light bulbs</w:t>
      </w:r>
      <w:r w:rsidR="002F6CFF">
        <w:rPr>
          <w:lang w:val="en-AU" w:eastAsia="en-US"/>
        </w:rPr>
        <w:t xml:space="preserve"> (non-directional)</w:t>
      </w:r>
      <w:r w:rsidR="00E84408">
        <w:rPr>
          <w:lang w:val="en-AU" w:eastAsia="en-US"/>
        </w:rPr>
        <w:t xml:space="preserve"> do not work effectively with an LED replacement light bulb (the light bulb flickers, does not dim satisfactorily or makes a noise).</w:t>
      </w:r>
      <w:r>
        <w:rPr>
          <w:lang w:val="en-AU" w:eastAsia="en-US"/>
        </w:rPr>
        <w:t xml:space="preserve"> </w:t>
      </w:r>
    </w:p>
    <w:p w14:paraId="2C6A3FEC" w14:textId="7B62F802" w:rsidR="00E84408" w:rsidRDefault="00E84408" w:rsidP="003B62AD">
      <w:pPr>
        <w:pStyle w:val="E3BodyText"/>
        <w:rPr>
          <w:lang w:val="en-AU" w:eastAsia="en-US"/>
        </w:rPr>
      </w:pPr>
      <w:r>
        <w:rPr>
          <w:lang w:val="en-AU" w:eastAsia="en-US"/>
        </w:rPr>
        <w:t xml:space="preserve">The Department in consultation with suppliers has undertaken further testing on the most common legacy dimmers installed in Australian homes with LED </w:t>
      </w:r>
      <w:r w:rsidR="00BF30BC">
        <w:rPr>
          <w:lang w:val="en-AU" w:eastAsia="en-US"/>
        </w:rPr>
        <w:t xml:space="preserve">standard </w:t>
      </w:r>
      <w:r>
        <w:rPr>
          <w:lang w:val="en-AU" w:eastAsia="en-US"/>
        </w:rPr>
        <w:t>light bulbs</w:t>
      </w:r>
      <w:r w:rsidR="00CB73FE">
        <w:rPr>
          <w:lang w:val="en-AU" w:eastAsia="en-US"/>
        </w:rPr>
        <w:t xml:space="preserve"> (non-directional)</w:t>
      </w:r>
      <w:r>
        <w:rPr>
          <w:lang w:val="en-AU" w:eastAsia="en-US"/>
        </w:rPr>
        <w:t xml:space="preserve"> available on the market. </w:t>
      </w:r>
      <w:r w:rsidRPr="00132A97">
        <w:rPr>
          <w:shd w:val="clear" w:color="auto" w:fill="FFFFFF" w:themeFill="background1"/>
          <w:lang w:val="en-AU" w:eastAsia="en-US"/>
        </w:rPr>
        <w:t xml:space="preserve">A number of light bulbs were found to be highly compatible with the majority of dimmers </w:t>
      </w:r>
      <w:r w:rsidRPr="00CB73FE">
        <w:rPr>
          <w:shd w:val="clear" w:color="auto" w:fill="FFFFFF" w:themeFill="background1"/>
          <w:lang w:val="en-AU" w:eastAsia="en-US"/>
        </w:rPr>
        <w:t xml:space="preserve">tested. </w:t>
      </w:r>
      <w:r w:rsidR="00CB73FE">
        <w:rPr>
          <w:shd w:val="clear" w:color="auto" w:fill="FFFFFF" w:themeFill="background1"/>
          <w:lang w:val="en-AU" w:eastAsia="en-US"/>
        </w:rPr>
        <w:t xml:space="preserve">Test results identified that </w:t>
      </w:r>
      <w:r w:rsidR="00CB73FE" w:rsidRPr="00CB73FE">
        <w:rPr>
          <w:shd w:val="clear" w:color="auto" w:fill="FFFFFF" w:themeFill="background1"/>
          <w:lang w:val="en-AU" w:eastAsia="en-US"/>
        </w:rPr>
        <w:t>18 of</w:t>
      </w:r>
      <w:r w:rsidR="00C85E8B">
        <w:rPr>
          <w:shd w:val="clear" w:color="auto" w:fill="FFFFFF" w:themeFill="background1"/>
          <w:lang w:val="en-AU" w:eastAsia="en-US"/>
        </w:rPr>
        <w:t xml:space="preserve"> 18 dimmers work with at least one</w:t>
      </w:r>
      <w:r w:rsidR="00CB73FE" w:rsidRPr="00CB73FE">
        <w:rPr>
          <w:shd w:val="clear" w:color="auto" w:fill="FFFFFF" w:themeFill="background1"/>
          <w:lang w:val="en-AU" w:eastAsia="en-US"/>
        </w:rPr>
        <w:t xml:space="preserve"> light bulb on the</w:t>
      </w:r>
      <w:r w:rsidR="00E9322B">
        <w:rPr>
          <w:shd w:val="clear" w:color="auto" w:fill="FFFFFF" w:themeFill="background1"/>
          <w:lang w:val="en-AU" w:eastAsia="en-US"/>
        </w:rPr>
        <w:t xml:space="preserve"> market, 16 work with at least two</w:t>
      </w:r>
      <w:r w:rsidR="00C85E8B">
        <w:rPr>
          <w:shd w:val="clear" w:color="auto" w:fill="FFFFFF" w:themeFill="background1"/>
          <w:lang w:val="en-AU" w:eastAsia="en-US"/>
        </w:rPr>
        <w:t xml:space="preserve"> and 10 work with at least three</w:t>
      </w:r>
      <w:r w:rsidR="00CB73FE" w:rsidRPr="00CB73FE">
        <w:rPr>
          <w:shd w:val="clear" w:color="auto" w:fill="FFFFFF" w:themeFill="background1"/>
          <w:lang w:val="en-AU" w:eastAsia="en-US"/>
        </w:rPr>
        <w:t xml:space="preserve">. </w:t>
      </w:r>
      <w:r w:rsidR="00E9322B">
        <w:rPr>
          <w:shd w:val="clear" w:color="auto" w:fill="FFFFFF"/>
        </w:rPr>
        <w:t xml:space="preserve">Three of the dimmers worked with six of the light bulbs tested and two dimmers worked with seven of the light bulbs tested. </w:t>
      </w:r>
      <w:r w:rsidRPr="00CB73FE">
        <w:rPr>
          <w:shd w:val="clear" w:color="auto" w:fill="FFFFFF" w:themeFill="background1"/>
          <w:lang w:val="en-AU" w:eastAsia="en-US"/>
        </w:rPr>
        <w:t>The Department</w:t>
      </w:r>
      <w:r>
        <w:rPr>
          <w:lang w:val="en-AU" w:eastAsia="en-US"/>
        </w:rPr>
        <w:t xml:space="preserve"> will be releasing a lookup tool for electricians and households to assist in identification of compatible products</w:t>
      </w:r>
      <w:r w:rsidR="00BF30BC">
        <w:rPr>
          <w:lang w:val="en-AU" w:eastAsia="en-US"/>
        </w:rPr>
        <w:t xml:space="preserve"> by </w:t>
      </w:r>
      <w:r w:rsidR="00C85E8B">
        <w:rPr>
          <w:lang w:val="en-AU" w:eastAsia="en-US"/>
        </w:rPr>
        <w:t xml:space="preserve">the </w:t>
      </w:r>
      <w:r w:rsidR="00BF30BC">
        <w:rPr>
          <w:lang w:val="en-AU" w:eastAsia="en-US"/>
        </w:rPr>
        <w:t xml:space="preserve">end of </w:t>
      </w:r>
      <w:r w:rsidR="00C85E8B">
        <w:rPr>
          <w:lang w:val="en-AU" w:eastAsia="en-US"/>
        </w:rPr>
        <w:t xml:space="preserve">the </w:t>
      </w:r>
      <w:r w:rsidR="00BF30BC">
        <w:rPr>
          <w:lang w:val="en-AU" w:eastAsia="en-US"/>
        </w:rPr>
        <w:t>year</w:t>
      </w:r>
      <w:r>
        <w:rPr>
          <w:lang w:val="en-AU" w:eastAsia="en-US"/>
        </w:rPr>
        <w:t xml:space="preserve">. </w:t>
      </w:r>
    </w:p>
    <w:p w14:paraId="389963FE" w14:textId="629F6C25" w:rsidR="00E84408" w:rsidRPr="003B62AD" w:rsidRDefault="00E84408" w:rsidP="003B62AD">
      <w:pPr>
        <w:pStyle w:val="E3BodyText"/>
      </w:pPr>
      <w:r w:rsidRPr="003B62AD">
        <w:t xml:space="preserve">It is estimated that </w:t>
      </w:r>
      <w:r w:rsidR="004B2061" w:rsidRPr="003B62AD">
        <w:t xml:space="preserve">approximately </w:t>
      </w:r>
      <w:r w:rsidR="00DC5B21" w:rsidRPr="003B62AD">
        <w:t>1.2M</w:t>
      </w:r>
      <w:r w:rsidRPr="003B62AD">
        <w:t xml:space="preserve"> households have dimmers in use with standard halogen light bulbs</w:t>
      </w:r>
      <w:r w:rsidR="004B2061" w:rsidRPr="003B62AD">
        <w:rPr>
          <w:rStyle w:val="FootnoteReference"/>
          <w:vertAlign w:val="baseline"/>
        </w:rPr>
        <w:footnoteReference w:id="6"/>
      </w:r>
      <w:r w:rsidRPr="003B62AD">
        <w:t xml:space="preserve">. Informed by recent dimmer test results of legacy dimmers with standard LED light bulbs, it is estimated that </w:t>
      </w:r>
      <w:r w:rsidR="00D663E8" w:rsidRPr="003B62AD">
        <w:t>40</w:t>
      </w:r>
      <w:r w:rsidR="00EB1070" w:rsidRPr="003B62AD">
        <w:t xml:space="preserve"> per cent</w:t>
      </w:r>
      <w:r w:rsidRPr="003B62AD">
        <w:t xml:space="preserve"> of households will need to upgrade</w:t>
      </w:r>
      <w:r w:rsidR="00D41E3A" w:rsidRPr="003B62AD">
        <w:t xml:space="preserve"> their dimmer system to retain dimming.</w:t>
      </w:r>
      <w:r w:rsidRPr="003B62AD">
        <w:t xml:space="preserve"> </w:t>
      </w:r>
    </w:p>
    <w:p w14:paraId="2CE4D2EB" w14:textId="5A554595" w:rsidR="00551930" w:rsidRPr="00B21D10" w:rsidRDefault="002F6CFF" w:rsidP="002F6CFF">
      <w:pPr>
        <w:pStyle w:val="E3BodyText"/>
        <w:pBdr>
          <w:top w:val="single" w:sz="4" w:space="1" w:color="auto"/>
          <w:left w:val="single" w:sz="4" w:space="4" w:color="auto"/>
          <w:bottom w:val="single" w:sz="4" w:space="1" w:color="auto"/>
          <w:right w:val="single" w:sz="4" w:space="4" w:color="auto"/>
        </w:pBdr>
        <w:rPr>
          <w:lang w:val="en-AU" w:eastAsia="en-US"/>
        </w:rPr>
      </w:pPr>
      <w:r>
        <w:rPr>
          <w:lang w:val="en-AU" w:eastAsia="en-US"/>
        </w:rPr>
        <w:t>E</w:t>
      </w:r>
      <w:r w:rsidR="00551930" w:rsidRPr="00B21D10">
        <w:rPr>
          <w:lang w:val="en-AU" w:eastAsia="en-US"/>
        </w:rPr>
        <w:t>stimated cost to replace 3 dimmers – dimmer purchase ($165) plus install ($140) = $305. Assumptions: dimmer cost $55 each, average house has 3 dimmers.</w:t>
      </w:r>
      <w:r w:rsidR="00551930" w:rsidRPr="00B21D10">
        <w:rPr>
          <w:rStyle w:val="FootnoteReference"/>
          <w:lang w:val="en-AU" w:eastAsia="en-US"/>
        </w:rPr>
        <w:footnoteReference w:id="7"/>
      </w:r>
    </w:p>
    <w:p w14:paraId="5D333971" w14:textId="65AB6AC9" w:rsidR="00BF30BC" w:rsidRPr="00B21D10" w:rsidRDefault="00573CB8" w:rsidP="003B62AD">
      <w:pPr>
        <w:pStyle w:val="E3BodyText"/>
      </w:pPr>
      <w:r w:rsidRPr="00B21D10">
        <w:t xml:space="preserve">An additional </w:t>
      </w:r>
      <w:r w:rsidR="00EB1070">
        <w:t>20 per cent</w:t>
      </w:r>
      <w:r w:rsidR="00BF30BC" w:rsidRPr="00B21D10">
        <w:t xml:space="preserve"> households are expected to need to engage an electrician ($140) to determine their dimmer model to identify a compatible product (for those households who are unsuccessful with trialling an LED light bulb). </w:t>
      </w:r>
    </w:p>
    <w:p w14:paraId="011C41BF" w14:textId="7895893B" w:rsidR="00D663E8" w:rsidRPr="00B21D10" w:rsidRDefault="002F6CFF" w:rsidP="003B62AD">
      <w:pPr>
        <w:pStyle w:val="E3BodyText"/>
      </w:pPr>
      <w:r>
        <w:t>T</w:t>
      </w:r>
      <w:r w:rsidR="00BF30BC" w:rsidRPr="00B21D10">
        <w:t>otal estimated consumer cost to resolve</w:t>
      </w:r>
      <w:r w:rsidR="00D663E8" w:rsidRPr="00B21D10">
        <w:t xml:space="preserve"> dimmer compatibility issues = (480,000 x $</w:t>
      </w:r>
      <w:r>
        <w:t>305</w:t>
      </w:r>
      <w:r w:rsidR="00D663E8" w:rsidRPr="00B21D10">
        <w:t xml:space="preserve">) + </w:t>
      </w:r>
      <w:r>
        <w:t>(</w:t>
      </w:r>
      <w:r w:rsidR="00D663E8" w:rsidRPr="00B21D10">
        <w:t>240,000 x $140</w:t>
      </w:r>
      <w:r>
        <w:t>)</w:t>
      </w:r>
      <w:r w:rsidR="00D663E8" w:rsidRPr="00B21D10">
        <w:t xml:space="preserve"> = </w:t>
      </w:r>
      <w:r>
        <w:t>$180</w:t>
      </w:r>
      <w:r w:rsidR="00D663E8" w:rsidRPr="00B21D10">
        <w:t>M</w:t>
      </w:r>
    </w:p>
    <w:p w14:paraId="111B0A20" w14:textId="1253DF29" w:rsidR="00D163A8" w:rsidRDefault="00D41E3A" w:rsidP="003B62AD">
      <w:pPr>
        <w:pStyle w:val="E3BodyText"/>
      </w:pPr>
      <w:r>
        <w:t>Benefits achieved from more energy efficient long lasting LED lamps offset the upfront cost with the household better off in a 5 to 7 year period</w:t>
      </w:r>
      <w:r w:rsidR="00277C66">
        <w:t xml:space="preserve"> through electricity and replacement savings</w:t>
      </w:r>
      <w:r>
        <w:t xml:space="preserve"> (pending number of lights and usage). Households can also avoid/defer the upgrade cost and still use their LEDs if they are willing to set the dimmer to 100 per cent. Confirmed via testing, this will work in the majority of cases.</w:t>
      </w:r>
      <w:r w:rsidR="002F6CFF">
        <w:t xml:space="preserve"> Scheduling the dimmer upgrade with the next electrician job will also reduce </w:t>
      </w:r>
      <w:r w:rsidR="00987744">
        <w:t>costs</w:t>
      </w:r>
      <w:r w:rsidR="002F6CFF">
        <w:t>.</w:t>
      </w:r>
    </w:p>
    <w:p w14:paraId="54064363" w14:textId="34135C7E" w:rsidR="004B1B77" w:rsidRDefault="006A5E05" w:rsidP="003B62AD">
      <w:pPr>
        <w:pStyle w:val="E3BodyText"/>
      </w:pPr>
      <w:r w:rsidRPr="00D663E8">
        <w:t>As specified in the CRIS, it is assumed that MEPS on LED lamps will not increase the price of LED lamps for consumers. Price of LED lamps continue to decline with improvements in technology, manufacturing and competition in the market. The cost of LED MEPS on lamps for suppliers is assumed to be offset by these factors as opposed to being passed on to consumers through a price increase.</w:t>
      </w:r>
      <w:r w:rsidR="00BE20EB">
        <w:t xml:space="preserve"> Because of this, there is no consumer cost in New Zealand at all.</w:t>
      </w:r>
    </w:p>
    <w:p w14:paraId="40BF57E6" w14:textId="0AA6FBB6" w:rsidR="004B1B77" w:rsidRDefault="004B1B77" w:rsidP="003B62AD">
      <w:pPr>
        <w:pStyle w:val="E3BodyText"/>
      </w:pPr>
      <w:r>
        <w:t xml:space="preserve">Regulatory </w:t>
      </w:r>
      <w:r w:rsidRPr="00E83459">
        <w:t xml:space="preserve">costs for supply businesses are detailed in </w:t>
      </w:r>
      <w:hyperlink w:anchor="Attachment_F" w:history="1">
        <w:r w:rsidRPr="000C0448">
          <w:rPr>
            <w:rStyle w:val="Hyperlink"/>
            <w:lang w:val="en-AU" w:eastAsia="en-US"/>
          </w:rPr>
          <w:t>Attachment F</w:t>
        </w:r>
      </w:hyperlink>
      <w:r w:rsidRPr="00E83459">
        <w:t xml:space="preserve"> and equate to </w:t>
      </w:r>
      <w:r w:rsidR="00E83459" w:rsidRPr="00E83459">
        <w:t>$14</w:t>
      </w:r>
      <w:r w:rsidRPr="00E83459">
        <w:t>M over 10 years for Australian suppliers and $</w:t>
      </w:r>
      <w:r w:rsidR="00E83459" w:rsidRPr="00E83459">
        <w:t>3.7</w:t>
      </w:r>
      <w:r w:rsidRPr="00E83459">
        <w:t>M over 10 years for New Zealand suppliers</w:t>
      </w:r>
      <w:r w:rsidR="00987744">
        <w:t xml:space="preserve"> (NPV)</w:t>
      </w:r>
      <w:r w:rsidRPr="00E83459">
        <w:t>. This equates to an average of $</w:t>
      </w:r>
      <w:r w:rsidR="00E83459" w:rsidRPr="00E83459">
        <w:t>7,000</w:t>
      </w:r>
      <w:r w:rsidRPr="00E83459">
        <w:t xml:space="preserve"> per supplier per annum</w:t>
      </w:r>
      <w:r w:rsidR="00E83459">
        <w:t xml:space="preserve"> (excludes GEMS fees)</w:t>
      </w:r>
      <w:r w:rsidRPr="00E83459">
        <w:t>.</w:t>
      </w:r>
      <w:r>
        <w:t xml:space="preserve">  </w:t>
      </w:r>
    </w:p>
    <w:p w14:paraId="60C2526D" w14:textId="40507BFF" w:rsidR="004B1B77" w:rsidRDefault="004B1B77" w:rsidP="003B62AD">
      <w:pPr>
        <w:pStyle w:val="E3BodyText"/>
      </w:pPr>
      <w:r w:rsidRPr="004B1B77">
        <w:t>Government administration costs</w:t>
      </w:r>
      <w:r w:rsidR="00732FDC">
        <w:t xml:space="preserve"> (costs to the taxpayer)</w:t>
      </w:r>
      <w:r w:rsidRPr="004B1B77">
        <w:t xml:space="preserve"> are made up of salary, program administration, check testing, consumer information/education and miscellaneous (market research, etc.). Total incremental cost to Government per annum for Australia and New Zealand are estimated at $200,000 per annum. Establishment costs to government in Australia and New Zealand to prepare the RIS and introduce the new regime are assumed to be $350,000. An additional $2 million over a three year period is included to deliver the supporting communication campaign in Australia (2018/19, 2019/20, 2020/21). This adds up to total taxpayer costs of $4.35 million over the ten-year assessment period.</w:t>
      </w:r>
    </w:p>
    <w:p w14:paraId="76DA851E" w14:textId="4F0A2A51" w:rsidR="004D4526" w:rsidRDefault="004B1B77" w:rsidP="003B62AD">
      <w:pPr>
        <w:pStyle w:val="E3BodyText"/>
      </w:pPr>
      <w:r>
        <w:t>Refer to the CRIS for further information on the modelling approach and assumptions.</w:t>
      </w:r>
    </w:p>
    <w:p w14:paraId="33ABDD67" w14:textId="4C9AAAA9" w:rsidR="00CB73FE" w:rsidRDefault="00B80304" w:rsidP="003B62AD">
      <w:pPr>
        <w:pStyle w:val="E3BodyText"/>
        <w:rPr>
          <w:b/>
        </w:rPr>
      </w:pPr>
      <w:r>
        <w:t>The further phase out of halogen lighting (mains voltage and low voltage downlights) in Australia (planned in 2021) is estimated to save an additional</w:t>
      </w:r>
      <w:r w:rsidR="000A271E">
        <w:t xml:space="preserve"> 6</w:t>
      </w:r>
      <w:r>
        <w:t>,000 giga</w:t>
      </w:r>
      <w:r w:rsidR="000A271E">
        <w:t>-watt hours and</w:t>
      </w:r>
      <w:r>
        <w:t xml:space="preserve"> 3.5 million tonnes of greenhouse gas emissions cumulative to 2030.</w:t>
      </w:r>
      <w:r w:rsidR="00CB73FE">
        <w:rPr>
          <w:b/>
        </w:rPr>
        <w:br w:type="page"/>
      </w:r>
    </w:p>
    <w:p w14:paraId="321F6D61" w14:textId="18453FC3" w:rsidR="00BF30BC" w:rsidRPr="00573CB8" w:rsidRDefault="00BF30BC" w:rsidP="00BF30BC">
      <w:pPr>
        <w:pStyle w:val="E3BodyText"/>
        <w:rPr>
          <w:b/>
        </w:rPr>
      </w:pPr>
      <w:r w:rsidRPr="00573CB8">
        <w:rPr>
          <w:b/>
        </w:rPr>
        <w:t>Consumer benefits</w:t>
      </w:r>
    </w:p>
    <w:p w14:paraId="7AB40092" w14:textId="77777777" w:rsidR="00BF30BC" w:rsidRDefault="00BF30BC" w:rsidP="00BF30BC">
      <w:pPr>
        <w:pStyle w:val="E3BodyText"/>
      </w:pPr>
      <w:r>
        <w:t>The case studies below provide a summary of average savings for households that replace halogen light bulbs with LED light bulbs</w:t>
      </w:r>
      <w:r>
        <w:rPr>
          <w:rStyle w:val="FootnoteReference"/>
        </w:rPr>
        <w:footnoteReference w:id="8"/>
      </w:r>
      <w:r>
        <w:t>. The number of halogen lights for replacement is based on the predicted mix of lighting technology (halogen, fluorescent and LED) existing in townhouses and detached homes</w:t>
      </w:r>
      <w:r>
        <w:rPr>
          <w:rStyle w:val="FootnoteReference"/>
        </w:rPr>
        <w:footnoteReference w:id="9"/>
      </w:r>
      <w:r>
        <w:t>. Savings will vary pending the number of lights replaced with LED and usage.</w:t>
      </w:r>
    </w:p>
    <w:p w14:paraId="6686D52D" w14:textId="7762B701" w:rsidR="00BF30BC" w:rsidRPr="00C01795" w:rsidRDefault="00BF30BC" w:rsidP="00BF30BC">
      <w:pPr>
        <w:pBdr>
          <w:top w:val="single" w:sz="4" w:space="1" w:color="auto"/>
          <w:left w:val="single" w:sz="4" w:space="4" w:color="auto"/>
          <w:bottom w:val="single" w:sz="4" w:space="1" w:color="auto"/>
          <w:right w:val="single" w:sz="4" w:space="4" w:color="auto"/>
        </w:pBdr>
        <w:rPr>
          <w:rFonts w:ascii="Calibri" w:eastAsia="Times New Roman" w:hAnsi="Calibri" w:cs="Georgia"/>
          <w:noProof w:val="0"/>
          <w:sz w:val="24"/>
          <w:lang w:val="en-GB" w:eastAsia="en-AU"/>
        </w:rPr>
      </w:pPr>
      <w:r w:rsidRPr="00C01795">
        <w:rPr>
          <w:rFonts w:ascii="Calibri" w:eastAsia="Times New Roman" w:hAnsi="Calibri" w:cs="Georgia"/>
          <w:noProof w:val="0"/>
          <w:sz w:val="24"/>
          <w:lang w:val="en-GB" w:eastAsia="en-AU"/>
        </w:rPr>
        <w:t>A family livin</w:t>
      </w:r>
      <w:r>
        <w:rPr>
          <w:rFonts w:ascii="Calibri" w:eastAsia="Times New Roman" w:hAnsi="Calibri" w:cs="Georgia"/>
          <w:noProof w:val="0"/>
          <w:sz w:val="24"/>
          <w:lang w:val="en-GB" w:eastAsia="en-AU"/>
        </w:rPr>
        <w:t>g in a townhouse that replaces 7 standard</w:t>
      </w:r>
      <w:r w:rsidRPr="00C01795">
        <w:rPr>
          <w:rFonts w:ascii="Calibri" w:eastAsia="Times New Roman" w:hAnsi="Calibri" w:cs="Georgia"/>
          <w:noProof w:val="0"/>
          <w:sz w:val="24"/>
          <w:lang w:val="en-GB" w:eastAsia="en-AU"/>
        </w:rPr>
        <w:t xml:space="preserve"> halogen</w:t>
      </w:r>
      <w:r>
        <w:rPr>
          <w:rFonts w:ascii="Calibri" w:eastAsia="Times New Roman" w:hAnsi="Calibri" w:cs="Georgia"/>
          <w:noProof w:val="0"/>
          <w:sz w:val="24"/>
          <w:lang w:val="en-GB" w:eastAsia="en-AU"/>
        </w:rPr>
        <w:t xml:space="preserve"> </w:t>
      </w:r>
      <w:r w:rsidRPr="00C01795">
        <w:rPr>
          <w:rFonts w:ascii="Calibri" w:eastAsia="Times New Roman" w:hAnsi="Calibri" w:cs="Georgia"/>
          <w:noProof w:val="0"/>
          <w:sz w:val="24"/>
          <w:lang w:val="en-GB" w:eastAsia="en-AU"/>
        </w:rPr>
        <w:t>light bulbs</w:t>
      </w:r>
      <w:r w:rsidR="00987744">
        <w:rPr>
          <w:rFonts w:ascii="Calibri" w:eastAsia="Times New Roman" w:hAnsi="Calibri" w:cs="Georgia"/>
          <w:noProof w:val="0"/>
          <w:sz w:val="24"/>
          <w:lang w:val="en-GB" w:eastAsia="en-AU"/>
        </w:rPr>
        <w:t xml:space="preserve"> (non-directional)</w:t>
      </w:r>
      <w:r w:rsidRPr="00C01795">
        <w:rPr>
          <w:rFonts w:ascii="Calibri" w:eastAsia="Times New Roman" w:hAnsi="Calibri" w:cs="Georgia"/>
          <w:noProof w:val="0"/>
          <w:sz w:val="24"/>
          <w:lang w:val="en-GB" w:eastAsia="en-AU"/>
        </w:rPr>
        <w:t xml:space="preserve"> with LED replacements would spend </w:t>
      </w:r>
      <w:r>
        <w:rPr>
          <w:rFonts w:ascii="Calibri" w:eastAsia="Times New Roman" w:hAnsi="Calibri" w:cs="Georgia"/>
          <w:noProof w:val="0"/>
          <w:sz w:val="24"/>
          <w:lang w:val="en-GB" w:eastAsia="en-AU"/>
        </w:rPr>
        <w:t>$29</w:t>
      </w:r>
      <w:r w:rsidRPr="00C01795">
        <w:rPr>
          <w:rFonts w:ascii="Calibri" w:eastAsia="Times New Roman" w:hAnsi="Calibri" w:cs="Georgia"/>
          <w:noProof w:val="0"/>
          <w:sz w:val="24"/>
          <w:lang w:val="en-GB" w:eastAsia="en-AU"/>
        </w:rPr>
        <w:t xml:space="preserve"> extra on light bulbs (difference in total purchase cost between halogen and LED), and would </w:t>
      </w:r>
      <w:r>
        <w:rPr>
          <w:rFonts w:ascii="Calibri" w:eastAsia="Times New Roman" w:hAnsi="Calibri" w:cs="Georgia"/>
          <w:noProof w:val="0"/>
          <w:sz w:val="24"/>
          <w:lang w:val="en-GB" w:eastAsia="en-AU"/>
        </w:rPr>
        <w:t>save an estimated $43</w:t>
      </w:r>
      <w:r w:rsidRPr="00C01795">
        <w:rPr>
          <w:rFonts w:ascii="Calibri" w:eastAsia="Times New Roman" w:hAnsi="Calibri" w:cs="Georgia"/>
          <w:noProof w:val="0"/>
          <w:sz w:val="24"/>
          <w:lang w:val="en-GB" w:eastAsia="en-AU"/>
        </w:rPr>
        <w:t xml:space="preserve"> annually on their electricity bill. The estimated electricity bill for a townhouse in 2017/18 is </w:t>
      </w:r>
      <w:r>
        <w:rPr>
          <w:rFonts w:ascii="Calibri" w:eastAsia="Times New Roman" w:hAnsi="Calibri" w:cs="Georgia"/>
          <w:noProof w:val="0"/>
          <w:sz w:val="24"/>
          <w:lang w:val="en-GB" w:eastAsia="en-AU"/>
        </w:rPr>
        <w:t xml:space="preserve">$969 – this family would be </w:t>
      </w:r>
      <w:r w:rsidRPr="00C01795">
        <w:rPr>
          <w:rFonts w:ascii="Calibri" w:eastAsia="Times New Roman" w:hAnsi="Calibri" w:cs="Georgia"/>
          <w:b/>
          <w:noProof w:val="0"/>
          <w:sz w:val="24"/>
          <w:lang w:val="en-GB" w:eastAsia="en-AU"/>
        </w:rPr>
        <w:t>$</w:t>
      </w:r>
      <w:r>
        <w:rPr>
          <w:rFonts w:ascii="Calibri" w:eastAsia="Times New Roman" w:hAnsi="Calibri" w:cs="Georgia"/>
          <w:b/>
          <w:noProof w:val="0"/>
          <w:sz w:val="24"/>
          <w:lang w:val="en-GB" w:eastAsia="en-AU"/>
        </w:rPr>
        <w:t>464</w:t>
      </w:r>
      <w:r w:rsidRPr="00C01795">
        <w:rPr>
          <w:rFonts w:ascii="Calibri" w:eastAsia="Times New Roman" w:hAnsi="Calibri" w:cs="Georgia"/>
          <w:b/>
          <w:noProof w:val="0"/>
          <w:sz w:val="24"/>
          <w:lang w:val="en-GB" w:eastAsia="en-AU"/>
        </w:rPr>
        <w:t xml:space="preserve"> better off over 10 years</w:t>
      </w:r>
      <w:r w:rsidRPr="00C01795">
        <w:rPr>
          <w:rFonts w:ascii="Calibri" w:eastAsia="Times New Roman" w:hAnsi="Calibri" w:cs="Georgia"/>
          <w:noProof w:val="0"/>
          <w:sz w:val="24"/>
          <w:lang w:val="en-GB" w:eastAsia="en-AU"/>
        </w:rPr>
        <w:t xml:space="preserve"> through savings in energy and replacement costs. </w:t>
      </w:r>
    </w:p>
    <w:p w14:paraId="5DAD0E2A" w14:textId="77777777" w:rsidR="00BF30BC" w:rsidRPr="002B1E09" w:rsidRDefault="00BF30BC" w:rsidP="00BF30BC">
      <w:pPr>
        <w:pStyle w:val="E3BodyText"/>
        <w:rPr>
          <w:b/>
        </w:rPr>
      </w:pPr>
    </w:p>
    <w:p w14:paraId="530553E6" w14:textId="07F95723" w:rsidR="00BF30BC" w:rsidRPr="00C01795" w:rsidRDefault="00BF30BC" w:rsidP="00BF30BC">
      <w:pPr>
        <w:pBdr>
          <w:top w:val="single" w:sz="4" w:space="1" w:color="auto"/>
          <w:left w:val="single" w:sz="4" w:space="4" w:color="auto"/>
          <w:bottom w:val="single" w:sz="4" w:space="1" w:color="auto"/>
          <w:right w:val="single" w:sz="4" w:space="4" w:color="auto"/>
        </w:pBdr>
        <w:rPr>
          <w:rFonts w:ascii="Calibri" w:eastAsia="Times New Roman" w:hAnsi="Calibri" w:cs="Georgia"/>
          <w:noProof w:val="0"/>
          <w:sz w:val="24"/>
          <w:lang w:val="en-GB" w:eastAsia="en-AU"/>
        </w:rPr>
      </w:pPr>
      <w:r w:rsidRPr="00C01795">
        <w:rPr>
          <w:rFonts w:ascii="Calibri" w:eastAsia="Times New Roman" w:hAnsi="Calibri" w:cs="Georgia"/>
          <w:noProof w:val="0"/>
          <w:sz w:val="24"/>
          <w:lang w:val="en-GB" w:eastAsia="en-AU"/>
        </w:rPr>
        <w:t xml:space="preserve">A family living in a </w:t>
      </w:r>
      <w:r>
        <w:rPr>
          <w:rFonts w:ascii="Calibri" w:eastAsia="Times New Roman" w:hAnsi="Calibri" w:cs="Georgia"/>
          <w:noProof w:val="0"/>
          <w:sz w:val="24"/>
          <w:lang w:val="en-GB" w:eastAsia="en-AU"/>
        </w:rPr>
        <w:t>detached house that replaces 10</w:t>
      </w:r>
      <w:r w:rsidRPr="00C01795">
        <w:rPr>
          <w:rFonts w:ascii="Calibri" w:eastAsia="Times New Roman" w:hAnsi="Calibri" w:cs="Georgia"/>
          <w:noProof w:val="0"/>
          <w:sz w:val="24"/>
          <w:lang w:val="en-GB" w:eastAsia="en-AU"/>
        </w:rPr>
        <w:t xml:space="preserve"> </w:t>
      </w:r>
      <w:r w:rsidR="00987744">
        <w:rPr>
          <w:rFonts w:ascii="Calibri" w:eastAsia="Times New Roman" w:hAnsi="Calibri" w:cs="Georgia"/>
          <w:noProof w:val="0"/>
          <w:sz w:val="24"/>
          <w:lang w:val="en-GB" w:eastAsia="en-AU"/>
        </w:rPr>
        <w:t xml:space="preserve">standard </w:t>
      </w:r>
      <w:r w:rsidRPr="00C01795">
        <w:rPr>
          <w:rFonts w:ascii="Calibri" w:eastAsia="Times New Roman" w:hAnsi="Calibri" w:cs="Georgia"/>
          <w:noProof w:val="0"/>
          <w:sz w:val="24"/>
          <w:lang w:val="en-GB" w:eastAsia="en-AU"/>
        </w:rPr>
        <w:t>halogen light bulbs</w:t>
      </w:r>
      <w:r w:rsidR="00987744">
        <w:rPr>
          <w:rFonts w:ascii="Calibri" w:eastAsia="Times New Roman" w:hAnsi="Calibri" w:cs="Georgia"/>
          <w:noProof w:val="0"/>
          <w:sz w:val="24"/>
          <w:lang w:val="en-GB" w:eastAsia="en-AU"/>
        </w:rPr>
        <w:t xml:space="preserve"> (non-directional)</w:t>
      </w:r>
      <w:r w:rsidRPr="00C01795">
        <w:rPr>
          <w:rFonts w:ascii="Calibri" w:eastAsia="Times New Roman" w:hAnsi="Calibri" w:cs="Georgia"/>
          <w:noProof w:val="0"/>
          <w:sz w:val="24"/>
          <w:lang w:val="en-GB" w:eastAsia="en-AU"/>
        </w:rPr>
        <w:t xml:space="preserve"> with LED replacements would spend </w:t>
      </w:r>
      <w:r>
        <w:rPr>
          <w:rFonts w:ascii="Calibri" w:eastAsia="Times New Roman" w:hAnsi="Calibri" w:cs="Georgia"/>
          <w:noProof w:val="0"/>
          <w:sz w:val="24"/>
          <w:lang w:val="en-GB" w:eastAsia="en-AU"/>
        </w:rPr>
        <w:t>$40</w:t>
      </w:r>
      <w:r w:rsidRPr="00C01795">
        <w:rPr>
          <w:rFonts w:ascii="Calibri" w:eastAsia="Times New Roman" w:hAnsi="Calibri" w:cs="Georgia"/>
          <w:noProof w:val="0"/>
          <w:sz w:val="24"/>
          <w:lang w:val="en-GB" w:eastAsia="en-AU"/>
        </w:rPr>
        <w:t xml:space="preserve"> extra on light bulbs (difference in total purchase cost between halogen and LED), and would </w:t>
      </w:r>
      <w:r>
        <w:rPr>
          <w:rFonts w:ascii="Calibri" w:eastAsia="Times New Roman" w:hAnsi="Calibri" w:cs="Georgia"/>
          <w:noProof w:val="0"/>
          <w:sz w:val="24"/>
          <w:lang w:val="en-GB" w:eastAsia="en-AU"/>
        </w:rPr>
        <w:t>save an estimated $61</w:t>
      </w:r>
      <w:r w:rsidRPr="00C01795">
        <w:rPr>
          <w:rFonts w:ascii="Calibri" w:eastAsia="Times New Roman" w:hAnsi="Calibri" w:cs="Georgia"/>
          <w:noProof w:val="0"/>
          <w:sz w:val="24"/>
          <w:lang w:val="en-GB" w:eastAsia="en-AU"/>
        </w:rPr>
        <w:t xml:space="preserve"> annually on their electricity bill. The estimated electricity bill for a </w:t>
      </w:r>
      <w:r>
        <w:rPr>
          <w:rFonts w:ascii="Calibri" w:eastAsia="Times New Roman" w:hAnsi="Calibri" w:cs="Georgia"/>
          <w:noProof w:val="0"/>
          <w:sz w:val="24"/>
          <w:lang w:val="en-GB" w:eastAsia="en-AU"/>
        </w:rPr>
        <w:t>detached house</w:t>
      </w:r>
      <w:r w:rsidRPr="00C01795">
        <w:rPr>
          <w:rFonts w:ascii="Calibri" w:eastAsia="Times New Roman" w:hAnsi="Calibri" w:cs="Georgia"/>
          <w:noProof w:val="0"/>
          <w:sz w:val="24"/>
          <w:lang w:val="en-GB" w:eastAsia="en-AU"/>
        </w:rPr>
        <w:t xml:space="preserve"> in 2017/18 is </w:t>
      </w:r>
      <w:r>
        <w:rPr>
          <w:rFonts w:ascii="Calibri" w:eastAsia="Times New Roman" w:hAnsi="Calibri" w:cs="Georgia"/>
          <w:noProof w:val="0"/>
          <w:sz w:val="24"/>
          <w:lang w:val="en-GB" w:eastAsia="en-AU"/>
        </w:rPr>
        <w:t xml:space="preserve">$1529 – this family would be </w:t>
      </w:r>
      <w:r>
        <w:rPr>
          <w:rFonts w:ascii="Calibri" w:eastAsia="Times New Roman" w:hAnsi="Calibri" w:cs="Georgia"/>
          <w:b/>
          <w:noProof w:val="0"/>
          <w:sz w:val="24"/>
          <w:lang w:val="en-GB" w:eastAsia="en-AU"/>
        </w:rPr>
        <w:t>$664</w:t>
      </w:r>
      <w:r w:rsidRPr="00C01795">
        <w:rPr>
          <w:rFonts w:ascii="Calibri" w:eastAsia="Times New Roman" w:hAnsi="Calibri" w:cs="Georgia"/>
          <w:b/>
          <w:noProof w:val="0"/>
          <w:sz w:val="24"/>
          <w:lang w:val="en-GB" w:eastAsia="en-AU"/>
        </w:rPr>
        <w:t xml:space="preserve"> better off over 10 years</w:t>
      </w:r>
      <w:r w:rsidRPr="00C01795">
        <w:rPr>
          <w:rFonts w:ascii="Calibri" w:eastAsia="Times New Roman" w:hAnsi="Calibri" w:cs="Georgia"/>
          <w:noProof w:val="0"/>
          <w:sz w:val="24"/>
          <w:lang w:val="en-GB" w:eastAsia="en-AU"/>
        </w:rPr>
        <w:t xml:space="preserve"> through savings in energy and replacement costs. </w:t>
      </w:r>
    </w:p>
    <w:p w14:paraId="0E7074F3" w14:textId="77777777" w:rsidR="00BF30BC" w:rsidRDefault="00BF30BC" w:rsidP="00BF30BC">
      <w:pPr>
        <w:pStyle w:val="E3BodyText"/>
      </w:pPr>
    </w:p>
    <w:p w14:paraId="0B435251" w14:textId="77777777" w:rsidR="00BF30BC" w:rsidRPr="00C01795" w:rsidRDefault="00BF30BC" w:rsidP="00BF30BC">
      <w:pPr>
        <w:pBdr>
          <w:top w:val="single" w:sz="4" w:space="1" w:color="auto"/>
          <w:left w:val="single" w:sz="4" w:space="4" w:color="auto"/>
          <w:bottom w:val="single" w:sz="4" w:space="1" w:color="auto"/>
          <w:right w:val="single" w:sz="4" w:space="4" w:color="auto"/>
        </w:pBdr>
        <w:rPr>
          <w:rFonts w:ascii="Calibri" w:eastAsia="Times New Roman" w:hAnsi="Calibri" w:cs="Georgia"/>
          <w:noProof w:val="0"/>
          <w:sz w:val="24"/>
          <w:lang w:val="en-GB" w:eastAsia="en-AU"/>
        </w:rPr>
      </w:pPr>
      <w:r w:rsidRPr="00C01795">
        <w:rPr>
          <w:rFonts w:ascii="Calibri" w:eastAsia="Times New Roman" w:hAnsi="Calibri" w:cs="Georgia"/>
          <w:noProof w:val="0"/>
          <w:sz w:val="24"/>
          <w:lang w:val="en-GB" w:eastAsia="en-AU"/>
        </w:rPr>
        <w:t xml:space="preserve">A family living in a </w:t>
      </w:r>
      <w:r>
        <w:rPr>
          <w:rFonts w:ascii="Calibri" w:eastAsia="Times New Roman" w:hAnsi="Calibri" w:cs="Georgia"/>
          <w:noProof w:val="0"/>
          <w:sz w:val="24"/>
          <w:lang w:val="en-GB" w:eastAsia="en-AU"/>
        </w:rPr>
        <w:t xml:space="preserve">townhouse that chose to replace all of their 11 halogen light bulbs (standard or downlight) with LED light bulbs </w:t>
      </w:r>
      <w:r w:rsidRPr="00C01795">
        <w:rPr>
          <w:rFonts w:ascii="Calibri" w:eastAsia="Times New Roman" w:hAnsi="Calibri" w:cs="Georgia"/>
          <w:noProof w:val="0"/>
          <w:sz w:val="24"/>
          <w:lang w:val="en-GB" w:eastAsia="en-AU"/>
        </w:rPr>
        <w:t xml:space="preserve">would spend </w:t>
      </w:r>
      <w:r>
        <w:rPr>
          <w:rFonts w:ascii="Calibri" w:eastAsia="Times New Roman" w:hAnsi="Calibri" w:cs="Georgia"/>
          <w:noProof w:val="0"/>
          <w:sz w:val="24"/>
          <w:lang w:val="en-GB" w:eastAsia="en-AU"/>
        </w:rPr>
        <w:t>$45</w:t>
      </w:r>
      <w:r w:rsidRPr="00C01795">
        <w:rPr>
          <w:rFonts w:ascii="Calibri" w:eastAsia="Times New Roman" w:hAnsi="Calibri" w:cs="Georgia"/>
          <w:noProof w:val="0"/>
          <w:sz w:val="24"/>
          <w:lang w:val="en-GB" w:eastAsia="en-AU"/>
        </w:rPr>
        <w:t xml:space="preserve"> extra on light bulbs (difference in total purchase cost between halogen and LED), and would </w:t>
      </w:r>
      <w:r>
        <w:rPr>
          <w:rFonts w:ascii="Calibri" w:eastAsia="Times New Roman" w:hAnsi="Calibri" w:cs="Georgia"/>
          <w:noProof w:val="0"/>
          <w:sz w:val="24"/>
          <w:lang w:val="en-GB" w:eastAsia="en-AU"/>
        </w:rPr>
        <w:t>save an estimated $61</w:t>
      </w:r>
      <w:r w:rsidRPr="00C01795">
        <w:rPr>
          <w:rFonts w:ascii="Calibri" w:eastAsia="Times New Roman" w:hAnsi="Calibri" w:cs="Georgia"/>
          <w:noProof w:val="0"/>
          <w:sz w:val="24"/>
          <w:lang w:val="en-GB" w:eastAsia="en-AU"/>
        </w:rPr>
        <w:t xml:space="preserve"> annually on their electricity bill. The estimated electricity bill for a townhouse in 2017/18 is </w:t>
      </w:r>
      <w:r>
        <w:rPr>
          <w:rFonts w:ascii="Calibri" w:eastAsia="Times New Roman" w:hAnsi="Calibri" w:cs="Georgia"/>
          <w:noProof w:val="0"/>
          <w:sz w:val="24"/>
          <w:lang w:val="en-GB" w:eastAsia="en-AU"/>
        </w:rPr>
        <w:t xml:space="preserve">$969 – this family would be </w:t>
      </w:r>
      <w:r w:rsidRPr="00C01795">
        <w:rPr>
          <w:rFonts w:ascii="Calibri" w:eastAsia="Times New Roman" w:hAnsi="Calibri" w:cs="Georgia"/>
          <w:b/>
          <w:noProof w:val="0"/>
          <w:sz w:val="24"/>
          <w:lang w:val="en-GB" w:eastAsia="en-AU"/>
        </w:rPr>
        <w:t>$</w:t>
      </w:r>
      <w:r>
        <w:rPr>
          <w:rFonts w:ascii="Calibri" w:eastAsia="Times New Roman" w:hAnsi="Calibri" w:cs="Georgia"/>
          <w:b/>
          <w:noProof w:val="0"/>
          <w:sz w:val="24"/>
          <w:lang w:val="en-GB" w:eastAsia="en-AU"/>
        </w:rPr>
        <w:t>658</w:t>
      </w:r>
      <w:r w:rsidRPr="00C01795">
        <w:rPr>
          <w:rFonts w:ascii="Calibri" w:eastAsia="Times New Roman" w:hAnsi="Calibri" w:cs="Georgia"/>
          <w:b/>
          <w:noProof w:val="0"/>
          <w:sz w:val="24"/>
          <w:lang w:val="en-GB" w:eastAsia="en-AU"/>
        </w:rPr>
        <w:t xml:space="preserve"> better off over 10 years</w:t>
      </w:r>
      <w:r w:rsidRPr="00C01795">
        <w:rPr>
          <w:rFonts w:ascii="Calibri" w:eastAsia="Times New Roman" w:hAnsi="Calibri" w:cs="Georgia"/>
          <w:noProof w:val="0"/>
          <w:sz w:val="24"/>
          <w:lang w:val="en-GB" w:eastAsia="en-AU"/>
        </w:rPr>
        <w:t xml:space="preserve"> through savings in energy and replacement costs.</w:t>
      </w:r>
    </w:p>
    <w:p w14:paraId="30B99E35" w14:textId="77777777" w:rsidR="00BF30BC" w:rsidRDefault="00BF30BC" w:rsidP="00BF30BC">
      <w:pPr>
        <w:pStyle w:val="E3BodyText"/>
      </w:pPr>
    </w:p>
    <w:p w14:paraId="5BF7143F" w14:textId="77777777" w:rsidR="00BF30BC" w:rsidRPr="00C01795" w:rsidRDefault="00BF30BC" w:rsidP="00BF30BC">
      <w:pPr>
        <w:pBdr>
          <w:top w:val="single" w:sz="4" w:space="1" w:color="auto"/>
          <w:left w:val="single" w:sz="4" w:space="4" w:color="auto"/>
          <w:bottom w:val="single" w:sz="4" w:space="1" w:color="auto"/>
          <w:right w:val="single" w:sz="4" w:space="4" w:color="auto"/>
        </w:pBdr>
        <w:rPr>
          <w:rFonts w:ascii="Calibri" w:eastAsia="Times New Roman" w:hAnsi="Calibri" w:cs="Georgia"/>
          <w:noProof w:val="0"/>
          <w:sz w:val="24"/>
          <w:lang w:val="en-GB" w:eastAsia="en-AU"/>
        </w:rPr>
      </w:pPr>
      <w:r w:rsidRPr="00C01795">
        <w:rPr>
          <w:rFonts w:ascii="Calibri" w:eastAsia="Times New Roman" w:hAnsi="Calibri" w:cs="Georgia"/>
          <w:noProof w:val="0"/>
          <w:sz w:val="24"/>
          <w:lang w:val="en-GB" w:eastAsia="en-AU"/>
        </w:rPr>
        <w:t xml:space="preserve">A family living in a </w:t>
      </w:r>
      <w:r>
        <w:rPr>
          <w:rFonts w:ascii="Calibri" w:eastAsia="Times New Roman" w:hAnsi="Calibri" w:cs="Georgia"/>
          <w:noProof w:val="0"/>
          <w:sz w:val="24"/>
          <w:lang w:val="en-GB" w:eastAsia="en-AU"/>
        </w:rPr>
        <w:t>detached house that chose to replace all of their 18</w:t>
      </w:r>
      <w:r w:rsidRPr="00C01795">
        <w:rPr>
          <w:rFonts w:ascii="Calibri" w:eastAsia="Times New Roman" w:hAnsi="Calibri" w:cs="Georgia"/>
          <w:noProof w:val="0"/>
          <w:sz w:val="24"/>
          <w:lang w:val="en-GB" w:eastAsia="en-AU"/>
        </w:rPr>
        <w:t xml:space="preserve"> halogen light bulbs </w:t>
      </w:r>
      <w:r>
        <w:rPr>
          <w:rFonts w:ascii="Calibri" w:eastAsia="Times New Roman" w:hAnsi="Calibri" w:cs="Georgia"/>
          <w:noProof w:val="0"/>
          <w:sz w:val="24"/>
          <w:lang w:val="en-GB" w:eastAsia="en-AU"/>
        </w:rPr>
        <w:t xml:space="preserve">(standard or downlight) with LED light bulbs </w:t>
      </w:r>
      <w:r w:rsidRPr="00C01795">
        <w:rPr>
          <w:rFonts w:ascii="Calibri" w:eastAsia="Times New Roman" w:hAnsi="Calibri" w:cs="Georgia"/>
          <w:noProof w:val="0"/>
          <w:sz w:val="24"/>
          <w:lang w:val="en-GB" w:eastAsia="en-AU"/>
        </w:rPr>
        <w:t xml:space="preserve">would spend </w:t>
      </w:r>
      <w:r>
        <w:rPr>
          <w:rFonts w:ascii="Calibri" w:eastAsia="Times New Roman" w:hAnsi="Calibri" w:cs="Georgia"/>
          <w:noProof w:val="0"/>
          <w:sz w:val="24"/>
          <w:lang w:val="en-GB" w:eastAsia="en-AU"/>
        </w:rPr>
        <w:t>$79</w:t>
      </w:r>
      <w:r w:rsidRPr="00C01795">
        <w:rPr>
          <w:rFonts w:ascii="Calibri" w:eastAsia="Times New Roman" w:hAnsi="Calibri" w:cs="Georgia"/>
          <w:noProof w:val="0"/>
          <w:sz w:val="24"/>
          <w:lang w:val="en-GB" w:eastAsia="en-AU"/>
        </w:rPr>
        <w:t xml:space="preserve"> extra on light bulbs (difference in total purchase cost between halogen and LED), and would </w:t>
      </w:r>
      <w:r>
        <w:rPr>
          <w:rFonts w:ascii="Calibri" w:eastAsia="Times New Roman" w:hAnsi="Calibri" w:cs="Georgia"/>
          <w:noProof w:val="0"/>
          <w:sz w:val="24"/>
          <w:lang w:val="en-GB" w:eastAsia="en-AU"/>
        </w:rPr>
        <w:t>save an estimated $102</w:t>
      </w:r>
      <w:r w:rsidRPr="00C01795">
        <w:rPr>
          <w:rFonts w:ascii="Calibri" w:eastAsia="Times New Roman" w:hAnsi="Calibri" w:cs="Georgia"/>
          <w:noProof w:val="0"/>
          <w:sz w:val="24"/>
          <w:lang w:val="en-GB" w:eastAsia="en-AU"/>
        </w:rPr>
        <w:t xml:space="preserve"> annually on their electricity bill. The estimated electricity bill for a </w:t>
      </w:r>
      <w:r>
        <w:rPr>
          <w:rFonts w:ascii="Calibri" w:eastAsia="Times New Roman" w:hAnsi="Calibri" w:cs="Georgia"/>
          <w:noProof w:val="0"/>
          <w:sz w:val="24"/>
          <w:lang w:val="en-GB" w:eastAsia="en-AU"/>
        </w:rPr>
        <w:t>detached house</w:t>
      </w:r>
      <w:r w:rsidRPr="00C01795">
        <w:rPr>
          <w:rFonts w:ascii="Calibri" w:eastAsia="Times New Roman" w:hAnsi="Calibri" w:cs="Georgia"/>
          <w:noProof w:val="0"/>
          <w:sz w:val="24"/>
          <w:lang w:val="en-GB" w:eastAsia="en-AU"/>
        </w:rPr>
        <w:t xml:space="preserve"> in 2017/18 is </w:t>
      </w:r>
      <w:r>
        <w:rPr>
          <w:rFonts w:ascii="Calibri" w:eastAsia="Times New Roman" w:hAnsi="Calibri" w:cs="Georgia"/>
          <w:noProof w:val="0"/>
          <w:sz w:val="24"/>
          <w:lang w:val="en-GB" w:eastAsia="en-AU"/>
        </w:rPr>
        <w:t xml:space="preserve">$1529 – this family would be </w:t>
      </w:r>
      <w:r>
        <w:rPr>
          <w:rFonts w:ascii="Calibri" w:eastAsia="Times New Roman" w:hAnsi="Calibri" w:cs="Georgia"/>
          <w:b/>
          <w:noProof w:val="0"/>
          <w:sz w:val="24"/>
          <w:lang w:val="en-GB" w:eastAsia="en-AU"/>
        </w:rPr>
        <w:t>$1091</w:t>
      </w:r>
      <w:r w:rsidRPr="00C01795">
        <w:rPr>
          <w:rFonts w:ascii="Calibri" w:eastAsia="Times New Roman" w:hAnsi="Calibri" w:cs="Georgia"/>
          <w:b/>
          <w:noProof w:val="0"/>
          <w:sz w:val="24"/>
          <w:lang w:val="en-GB" w:eastAsia="en-AU"/>
        </w:rPr>
        <w:t xml:space="preserve"> better off over 10 years</w:t>
      </w:r>
      <w:r w:rsidRPr="00C01795">
        <w:rPr>
          <w:rFonts w:ascii="Calibri" w:eastAsia="Times New Roman" w:hAnsi="Calibri" w:cs="Georgia"/>
          <w:noProof w:val="0"/>
          <w:sz w:val="24"/>
          <w:lang w:val="en-GB" w:eastAsia="en-AU"/>
        </w:rPr>
        <w:t xml:space="preserve"> through savings in energy and replacement costs. </w:t>
      </w:r>
    </w:p>
    <w:p w14:paraId="30D0892F" w14:textId="77777777" w:rsidR="00BF30BC" w:rsidRDefault="00BF30BC" w:rsidP="00BF30BC">
      <w:pPr>
        <w:pStyle w:val="E3BodyText"/>
      </w:pPr>
    </w:p>
    <w:p w14:paraId="03D3E56B" w14:textId="77777777" w:rsidR="00BF30BC" w:rsidRPr="00732FDC" w:rsidRDefault="00BF30BC" w:rsidP="00732FDC">
      <w:pPr>
        <w:pStyle w:val="E3BodyText"/>
        <w:rPr>
          <w:lang w:val="en-AU" w:eastAsia="en-US"/>
        </w:rPr>
        <w:sectPr w:rsidR="00BF30BC" w:rsidRPr="00732FDC" w:rsidSect="00656C49">
          <w:pgSz w:w="11907" w:h="16840" w:code="9"/>
          <w:pgMar w:top="1134" w:right="1134" w:bottom="1418" w:left="1134" w:header="709" w:footer="709" w:gutter="0"/>
          <w:cols w:space="720"/>
          <w:titlePg/>
          <w:docGrid w:linePitch="360"/>
        </w:sectPr>
      </w:pPr>
    </w:p>
    <w:p w14:paraId="6FB36325" w14:textId="536E30C8" w:rsidR="003A2E03" w:rsidRDefault="003A2E03" w:rsidP="003A2E03">
      <w:pPr>
        <w:pStyle w:val="E3ChapterTitle"/>
        <w:spacing w:after="1320"/>
      </w:pPr>
      <w:bookmarkStart w:id="52" w:name="Attachment_F"/>
      <w:bookmarkStart w:id="53" w:name="_Toc493159057"/>
      <w:bookmarkEnd w:id="52"/>
      <w:r>
        <w:t xml:space="preserve">Attachment F: </w:t>
      </w:r>
      <w:r w:rsidR="006D77C1">
        <w:t>R</w:t>
      </w:r>
      <w:r>
        <w:t>egulatory costs and GEMS fees</w:t>
      </w:r>
      <w:bookmarkEnd w:id="53"/>
      <w:r>
        <w:t xml:space="preserve"> </w:t>
      </w:r>
    </w:p>
    <w:p w14:paraId="3359BB58" w14:textId="77777777" w:rsidR="003A2E03" w:rsidRDefault="003A2E03" w:rsidP="003B62AD">
      <w:pPr>
        <w:pStyle w:val="E3BodyText"/>
      </w:pPr>
      <w:r w:rsidRPr="00BA7E00">
        <w:t xml:space="preserve">The </w:t>
      </w:r>
      <w:r w:rsidRPr="00A75524">
        <w:t xml:space="preserve">regulatory costs associated with the </w:t>
      </w:r>
      <w:r>
        <w:t xml:space="preserve">updated </w:t>
      </w:r>
      <w:r w:rsidRPr="00A75524">
        <w:t xml:space="preserve">policy options were estimated </w:t>
      </w:r>
      <w:r>
        <w:t xml:space="preserve">for Australia </w:t>
      </w:r>
      <w:r w:rsidRPr="00A75524">
        <w:t xml:space="preserve">using the </w:t>
      </w:r>
      <w:r>
        <w:t>Australian Government</w:t>
      </w:r>
      <w:r w:rsidRPr="00A75524">
        <w:t>’s Regulatory Burden Measurement Framework (RBM). Regulatory costs</w:t>
      </w:r>
      <w:r>
        <w:t xml:space="preserve"> counted</w:t>
      </w:r>
      <w:r w:rsidRPr="00A75524">
        <w:t xml:space="preserve"> under the RBM include the administrative</w:t>
      </w:r>
      <w:r>
        <w:t xml:space="preserve"> costs incurred complying with the regulations. The Australian Government requires any new regulatory costs to be offset by a corresponding reduction in regulatory costs elsewhere. </w:t>
      </w:r>
    </w:p>
    <w:p w14:paraId="1474E88D" w14:textId="77777777" w:rsidR="003A2E03" w:rsidRDefault="003A2E03" w:rsidP="003B62AD">
      <w:pPr>
        <w:pStyle w:val="E3BodyText"/>
      </w:pPr>
      <w:r>
        <w:t xml:space="preserve">As required by the RBM, fees for GEMS registrations are excluded from this costing. </w:t>
      </w:r>
    </w:p>
    <w:p w14:paraId="640A2AEF" w14:textId="4FA6F6D5" w:rsidR="003A2E03" w:rsidRDefault="003A2E03" w:rsidP="003B62AD">
      <w:pPr>
        <w:pStyle w:val="E3BodyText"/>
      </w:pPr>
      <w:r>
        <w:t>Please provide any f</w:t>
      </w:r>
      <w:r w:rsidRPr="00A75524">
        <w:t xml:space="preserve">eedback on the </w:t>
      </w:r>
      <w:r>
        <w:t xml:space="preserve">assumptions and </w:t>
      </w:r>
      <w:r w:rsidRPr="00A75524">
        <w:t xml:space="preserve">estimates of costs </w:t>
      </w:r>
      <w:r>
        <w:t>incurred</w:t>
      </w:r>
      <w:r w:rsidRPr="00A75524">
        <w:t xml:space="preserve"> complying with the regulations</w:t>
      </w:r>
      <w:r>
        <w:t>, so that the cost estimates can be improved for the DRIS</w:t>
      </w:r>
      <w:r w:rsidRPr="00A75524">
        <w:t>.</w:t>
      </w:r>
      <w:r>
        <w:t xml:space="preserve"> </w:t>
      </w:r>
    </w:p>
    <w:p w14:paraId="751DF820" w14:textId="4D8A61A0" w:rsidR="003A2E03" w:rsidRPr="00CF5F31" w:rsidRDefault="003A2E03" w:rsidP="003A2E03">
      <w:pPr>
        <w:pStyle w:val="E3Heading3"/>
      </w:pPr>
      <w:r w:rsidRPr="00CF5F31">
        <w:t>Estimate of affected suppliers and GEMS registrations</w:t>
      </w:r>
    </w:p>
    <w:p w14:paraId="19C4D3A5" w14:textId="77777777" w:rsidR="003A2E03" w:rsidRDefault="003A2E03" w:rsidP="003B62AD">
      <w:pPr>
        <w:pStyle w:val="E3Heading4"/>
      </w:pPr>
      <w:r>
        <w:t xml:space="preserve">Suppliers </w:t>
      </w:r>
    </w:p>
    <w:p w14:paraId="2EF829B3" w14:textId="76BA5ACF" w:rsidR="003A2E03" w:rsidRDefault="003A2E03" w:rsidP="003B62AD">
      <w:pPr>
        <w:pStyle w:val="E3BodyText"/>
      </w:pPr>
      <w:r w:rsidRPr="00D20033">
        <w:t>The number of supplier</w:t>
      </w:r>
      <w:r w:rsidR="00987744">
        <w:t>s is significantly higher than business as usual (B</w:t>
      </w:r>
      <w:r w:rsidRPr="00D20033">
        <w:t>AU</w:t>
      </w:r>
      <w:r w:rsidR="00987744">
        <w:t>)</w:t>
      </w:r>
      <w:r w:rsidRPr="00D20033">
        <w:t xml:space="preserve"> (58), increasing to </w:t>
      </w:r>
      <w:r>
        <w:t>an estimated 20</w:t>
      </w:r>
      <w:r w:rsidRPr="00D20033">
        <w:t>0 suppliers for LED lamps.</w:t>
      </w:r>
      <w:r>
        <w:t xml:space="preserve">  </w:t>
      </w:r>
    </w:p>
    <w:p w14:paraId="016479D2" w14:textId="77777777" w:rsidR="003A2E03" w:rsidRDefault="003A2E03" w:rsidP="003B62AD">
      <w:pPr>
        <w:pStyle w:val="E3BodyText"/>
        <w:rPr>
          <w:rFonts w:eastAsiaTheme="minorHAnsi"/>
          <w:sz w:val="22"/>
          <w:szCs w:val="22"/>
        </w:rPr>
      </w:pPr>
      <w:r>
        <w:t xml:space="preserve">This estimate has been informed by LED lamp import data, electrical safety registration data and market research. </w:t>
      </w:r>
      <w:r w:rsidRPr="008C0798">
        <w:rPr>
          <w:iCs/>
          <w:shd w:val="clear" w:color="auto" w:fill="FFFFFF" w:themeFill="background1"/>
        </w:rPr>
        <w:t>The number of suppliers importing LED lamps into Australia, based on these products being classified by import brokers under the LED lamp classifications</w:t>
      </w:r>
      <w:r w:rsidRPr="008C0798">
        <w:rPr>
          <w:rStyle w:val="xapple-converted-space"/>
          <w:iCs/>
          <w:shd w:val="clear" w:color="auto" w:fill="FFFFFF" w:themeFill="background1"/>
        </w:rPr>
        <w:t> </w:t>
      </w:r>
      <w:r w:rsidRPr="008C0798">
        <w:rPr>
          <w:shd w:val="clear" w:color="auto" w:fill="FFFFFF" w:themeFill="background1"/>
        </w:rPr>
        <w:t>for</w:t>
      </w:r>
      <w:r w:rsidRPr="008C0798">
        <w:rPr>
          <w:rStyle w:val="xapple-converted-space"/>
          <w:shd w:val="clear" w:color="auto" w:fill="FFFFFF" w:themeFill="background1"/>
        </w:rPr>
        <w:t> </w:t>
      </w:r>
      <w:r w:rsidRPr="008C0798">
        <w:rPr>
          <w:iCs/>
          <w:shd w:val="clear" w:color="auto" w:fill="FFFFFF" w:themeFill="background1"/>
        </w:rPr>
        <w:t>the period January 2017 to May 2017 is 419</w:t>
      </w:r>
      <w:r w:rsidRPr="008C0798">
        <w:rPr>
          <w:rStyle w:val="FootnoteReference"/>
          <w:iCs/>
          <w:shd w:val="clear" w:color="auto" w:fill="FFFFFF" w:themeFill="background1"/>
        </w:rPr>
        <w:footnoteReference w:id="10"/>
      </w:r>
      <w:r w:rsidRPr="008C0798">
        <w:rPr>
          <w:iCs/>
          <w:shd w:val="clear" w:color="auto" w:fill="FFFFFF" w:themeFill="background1"/>
        </w:rPr>
        <w:t>.</w:t>
      </w:r>
      <w:r>
        <w:rPr>
          <w:iCs/>
          <w:shd w:val="clear" w:color="auto" w:fill="FFFFFF" w:themeFill="background1"/>
        </w:rPr>
        <w:t xml:space="preserve"> The 200 estimate has been arrived at by reviewing the import data and setting a threshold on import numbers per supplier (to account for personal use), and reducing by a factor on the assumption that some suppliers will choose to no longer import following the introduction of regulation. The E3 Program has identified over 180 lighting companies (suppliers/wholesalers/retailers) supplying lamps.  Other players in the market include electrical contractors and builders directly importing products.</w:t>
      </w:r>
    </w:p>
    <w:p w14:paraId="06A20CD6" w14:textId="77777777" w:rsidR="003A2E03" w:rsidRPr="00D20033" w:rsidRDefault="003A2E03" w:rsidP="003B62AD">
      <w:pPr>
        <w:pStyle w:val="E3BodyText"/>
      </w:pPr>
      <w:r w:rsidRPr="00D20033">
        <w:t xml:space="preserve">The regulatory costs involved for individual suppliers to comply with the proposed LED MEPS on </w:t>
      </w:r>
      <w:r>
        <w:t>lamps</w:t>
      </w:r>
      <w:r w:rsidRPr="00D20033">
        <w:t xml:space="preserve"> is generally consistent with the administrative and test costs currently incurred by suppliers who are required to register regulated lighting products</w:t>
      </w:r>
      <w:r>
        <w:t xml:space="preserve"> (fluorescent and halogen lamps).</w:t>
      </w:r>
      <w:r w:rsidRPr="00D20033">
        <w:t xml:space="preserve"> </w:t>
      </w:r>
    </w:p>
    <w:p w14:paraId="11D33348" w14:textId="77777777" w:rsidR="003A2E03" w:rsidRPr="00C96C27" w:rsidRDefault="003A2E03" w:rsidP="00C96C27">
      <w:pPr>
        <w:pStyle w:val="E3BodyText"/>
      </w:pPr>
      <w:r w:rsidRPr="00D20033">
        <w:t xml:space="preserve">The major difference between BAU and LED technology is the number of registrations over the 10 year period. Many suppliers are advising that new models are being released every 6 to 12 months. This means that product costs are incurred more frequently than under BAU. </w:t>
      </w:r>
      <w:r>
        <w:t xml:space="preserve">A broader </w:t>
      </w:r>
      <w:r w:rsidRPr="00C96C27">
        <w:t xml:space="preserve">family definition is proposed to reduce costs and allow some flexibility to update an existing family on release of a new model (at a reduced fee). </w:t>
      </w:r>
    </w:p>
    <w:p w14:paraId="6E62FF58" w14:textId="663AA4E4" w:rsidR="003A2E03" w:rsidRPr="00C96C27" w:rsidRDefault="003A2E03" w:rsidP="00C96C27">
      <w:pPr>
        <w:pStyle w:val="E3BodyText"/>
      </w:pPr>
      <w:r w:rsidRPr="00C96C27">
        <w:t xml:space="preserve">Average testing costs are also expected to be $1,000 per product family (this excludes the costs of those tests already understood to be undertaken by reputable suppliers and where suppliers are understood to already have access to the </w:t>
      </w:r>
      <w:r w:rsidR="00987744" w:rsidRPr="00C96C27">
        <w:t xml:space="preserve">additional required </w:t>
      </w:r>
      <w:r w:rsidRPr="00C96C27">
        <w:t>test data). This is a net increase of $314 over BAU test costs which are estimated at $668 per product family.</w:t>
      </w:r>
    </w:p>
    <w:p w14:paraId="66EAB7A7" w14:textId="77777777" w:rsidR="003A2E03" w:rsidRPr="00C96C27" w:rsidRDefault="003A2E03" w:rsidP="00C96C27">
      <w:pPr>
        <w:pStyle w:val="E3BodyText"/>
      </w:pPr>
      <w:r w:rsidRPr="00C96C27">
        <w:t>Simplifications over the current BAU approach that will reduce costs include:</w:t>
      </w:r>
    </w:p>
    <w:p w14:paraId="5594683E" w14:textId="77777777" w:rsidR="003A2E03" w:rsidRPr="00D20033" w:rsidRDefault="003A2E03" w:rsidP="003B62AD">
      <w:pPr>
        <w:pStyle w:val="E3Bullets"/>
      </w:pPr>
      <w:r w:rsidRPr="00D20033">
        <w:t>reduced endurance test from 6,000 hours (required for CFLs) to 1,000 hours proposed for LED</w:t>
      </w:r>
    </w:p>
    <w:p w14:paraId="397005EA" w14:textId="77777777" w:rsidR="003A2E03" w:rsidRPr="00D20033" w:rsidRDefault="003A2E03" w:rsidP="003B62AD">
      <w:pPr>
        <w:pStyle w:val="E3Bullets"/>
      </w:pPr>
      <w:r w:rsidRPr="00D20033">
        <w:t>LED performance and test method to be included in the GEMS determination, as opposed to a new Australian standard, reducing supplier costs by around $600 each</w:t>
      </w:r>
    </w:p>
    <w:p w14:paraId="199FB15C" w14:textId="103BBF09" w:rsidR="003A2E03" w:rsidRPr="00D20033" w:rsidRDefault="003A2E03" w:rsidP="003B62AD">
      <w:pPr>
        <w:pStyle w:val="E3Bullets"/>
      </w:pPr>
      <w:r w:rsidRPr="00D20033">
        <w:t>improvements to the registration system to streamline the process</w:t>
      </w:r>
      <w:r w:rsidR="003B62AD">
        <w:t>.</w:t>
      </w:r>
    </w:p>
    <w:p w14:paraId="1E63D79D" w14:textId="77777777" w:rsidR="003A2E03" w:rsidRPr="00D20033" w:rsidRDefault="003A2E03" w:rsidP="003A2E03">
      <w:pPr>
        <w:rPr>
          <w:rFonts w:ascii="Calibri" w:eastAsia="Times New Roman" w:hAnsi="Calibri" w:cs="Georgia"/>
          <w:noProof w:val="0"/>
          <w:sz w:val="24"/>
          <w:lang w:val="en-GB" w:eastAsia="en-AU"/>
        </w:rPr>
      </w:pPr>
    </w:p>
    <w:p w14:paraId="7753568F" w14:textId="77777777" w:rsidR="003A2E03" w:rsidRPr="009F4AF8" w:rsidRDefault="003A2E03" w:rsidP="003B62AD">
      <w:pPr>
        <w:pStyle w:val="E3Heading4"/>
      </w:pPr>
      <w:r w:rsidRPr="009F4AF8">
        <w:t>Registrations</w:t>
      </w:r>
    </w:p>
    <w:p w14:paraId="532C9273" w14:textId="72D4BC08" w:rsidR="003A2E03" w:rsidRPr="009F4AF8" w:rsidRDefault="003A2E03" w:rsidP="003B62AD">
      <w:pPr>
        <w:pStyle w:val="E3BodyText"/>
      </w:pPr>
      <w:r w:rsidRPr="009F4AF8">
        <w:t xml:space="preserve">The estimated LED lamp registrations for the first year is estimated at 2400.  Estimated registrations over the 10 year period is estimated at 12,000 (noting there is potentially a large margin </w:t>
      </w:r>
      <w:r w:rsidR="00987744">
        <w:t xml:space="preserve">of </w:t>
      </w:r>
      <w:r w:rsidRPr="009F4AF8">
        <w:t xml:space="preserve">error in projecting forward over this period).The average number of LED lamp registrations is estimated at 12 per supplier. </w:t>
      </w:r>
    </w:p>
    <w:p w14:paraId="6FFB3232" w14:textId="7EA8DB8E" w:rsidR="003A2E03" w:rsidRPr="009F4AF8" w:rsidRDefault="003A2E03" w:rsidP="003B62AD">
      <w:pPr>
        <w:pStyle w:val="E3BodyText"/>
        <w:rPr>
          <w:rFonts w:cs="Arial"/>
        </w:rPr>
      </w:pPr>
      <w:r w:rsidRPr="009F4AF8">
        <w:rPr>
          <w:rFonts w:cs="Arial"/>
        </w:rPr>
        <w:t xml:space="preserve">The Department has conducted a review of lamps being offered for sale by a number of suppliers, this included </w:t>
      </w:r>
      <w:r w:rsidR="00987744">
        <w:rPr>
          <w:rFonts w:cs="Arial"/>
        </w:rPr>
        <w:t>45</w:t>
      </w:r>
      <w:r w:rsidRPr="009F4AF8">
        <w:rPr>
          <w:rFonts w:cs="Arial"/>
        </w:rPr>
        <w:t xml:space="preserve"> </w:t>
      </w:r>
      <w:r>
        <w:rPr>
          <w:rFonts w:cs="Arial"/>
        </w:rPr>
        <w:t xml:space="preserve">suppliers and </w:t>
      </w:r>
      <w:r w:rsidR="00987744">
        <w:rPr>
          <w:rFonts w:cs="Arial"/>
        </w:rPr>
        <w:t>over 1800</w:t>
      </w:r>
      <w:r>
        <w:rPr>
          <w:rFonts w:cs="Arial"/>
        </w:rPr>
        <w:t xml:space="preserve"> lamp models</w:t>
      </w:r>
      <w:r w:rsidRPr="009F4AF8">
        <w:rPr>
          <w:rFonts w:cs="Arial"/>
        </w:rPr>
        <w:t xml:space="preserve">. The average number of families identified was 11.42, with the minimum being 2 and maximum being 38. </w:t>
      </w:r>
      <w:r>
        <w:rPr>
          <w:rFonts w:cs="Arial"/>
        </w:rPr>
        <w:t>Six</w:t>
      </w:r>
      <w:r w:rsidRPr="009F4AF8">
        <w:rPr>
          <w:rFonts w:cs="Arial"/>
        </w:rPr>
        <w:t xml:space="preserve"> case studies are presented below with estimated number of families based on analysis of available catalogue data:</w:t>
      </w:r>
    </w:p>
    <w:p w14:paraId="12C1A200" w14:textId="4F2FF31B" w:rsidR="003A2E03" w:rsidRPr="007679F4" w:rsidRDefault="003A2E03" w:rsidP="003A2E03">
      <w:pPr>
        <w:rPr>
          <w:rFonts w:ascii="Calibri" w:hAnsi="Calibri" w:cs="Arial"/>
          <w:sz w:val="24"/>
        </w:rPr>
      </w:pPr>
      <w:r w:rsidRPr="007679F4">
        <w:rPr>
          <w:rFonts w:ascii="Calibri" w:hAnsi="Calibri" w:cs="Arial"/>
          <w:sz w:val="24"/>
        </w:rPr>
        <w:t>Supplier 1:</w:t>
      </w:r>
      <w:r w:rsidR="001377D2">
        <w:rPr>
          <w:rFonts w:ascii="Calibri" w:hAnsi="Calibri" w:cs="Arial"/>
          <w:sz w:val="24"/>
        </w:rPr>
        <w:tab/>
      </w:r>
      <w:r w:rsidRPr="007679F4">
        <w:rPr>
          <w:rFonts w:ascii="Calibri" w:hAnsi="Calibri" w:cs="Arial"/>
          <w:sz w:val="24"/>
        </w:rPr>
        <w:t>49 pro</w:t>
      </w:r>
      <w:r>
        <w:rPr>
          <w:rFonts w:ascii="Calibri" w:hAnsi="Calibri" w:cs="Arial"/>
          <w:sz w:val="24"/>
        </w:rPr>
        <w:t xml:space="preserve">ducts in scope, 13 families </w:t>
      </w:r>
    </w:p>
    <w:p w14:paraId="29709AF7" w14:textId="37D52B7F" w:rsidR="003A2E03" w:rsidRPr="007679F4" w:rsidRDefault="003A2E03" w:rsidP="003A2E03">
      <w:pPr>
        <w:rPr>
          <w:rFonts w:ascii="Calibri" w:hAnsi="Calibri" w:cs="Arial"/>
          <w:sz w:val="24"/>
        </w:rPr>
      </w:pPr>
      <w:r w:rsidRPr="007679F4">
        <w:rPr>
          <w:rFonts w:ascii="Calibri" w:hAnsi="Calibri" w:cs="Arial"/>
          <w:sz w:val="24"/>
        </w:rPr>
        <w:t>Supplier 2:</w:t>
      </w:r>
      <w:r w:rsidR="001377D2">
        <w:rPr>
          <w:rFonts w:ascii="Calibri" w:hAnsi="Calibri" w:cs="Arial"/>
          <w:sz w:val="24"/>
        </w:rPr>
        <w:tab/>
      </w:r>
      <w:r w:rsidRPr="007679F4">
        <w:rPr>
          <w:rFonts w:ascii="Calibri" w:hAnsi="Calibri" w:cs="Arial"/>
          <w:sz w:val="24"/>
        </w:rPr>
        <w:t>29 products in scope, 13 fa</w:t>
      </w:r>
      <w:r>
        <w:rPr>
          <w:rFonts w:ascii="Calibri" w:hAnsi="Calibri" w:cs="Arial"/>
          <w:sz w:val="24"/>
        </w:rPr>
        <w:t>milies</w:t>
      </w:r>
    </w:p>
    <w:p w14:paraId="5FF5BBB6" w14:textId="524F8987" w:rsidR="003A2E03" w:rsidRPr="007679F4" w:rsidRDefault="003A2E03" w:rsidP="003A2E03">
      <w:pPr>
        <w:rPr>
          <w:rFonts w:ascii="Calibri" w:hAnsi="Calibri" w:cs="Arial"/>
          <w:sz w:val="24"/>
        </w:rPr>
      </w:pPr>
      <w:r w:rsidRPr="007679F4">
        <w:rPr>
          <w:rFonts w:ascii="Calibri" w:hAnsi="Calibri" w:cs="Arial"/>
          <w:sz w:val="24"/>
        </w:rPr>
        <w:t>Supplier 3:</w:t>
      </w:r>
      <w:r w:rsidR="001377D2">
        <w:rPr>
          <w:rFonts w:ascii="Calibri" w:hAnsi="Calibri" w:cs="Arial"/>
          <w:sz w:val="24"/>
        </w:rPr>
        <w:tab/>
      </w:r>
      <w:r w:rsidRPr="007679F4">
        <w:rPr>
          <w:rFonts w:ascii="Calibri" w:hAnsi="Calibri" w:cs="Arial"/>
          <w:sz w:val="24"/>
        </w:rPr>
        <w:t>19</w:t>
      </w:r>
      <w:r>
        <w:rPr>
          <w:rFonts w:ascii="Calibri" w:hAnsi="Calibri" w:cs="Arial"/>
          <w:sz w:val="24"/>
        </w:rPr>
        <w:t xml:space="preserve"> products in scope, 9 families </w:t>
      </w:r>
    </w:p>
    <w:p w14:paraId="712F27FB" w14:textId="64A05412" w:rsidR="003A2E03" w:rsidRPr="007679F4" w:rsidRDefault="003A2E03" w:rsidP="003A2E03">
      <w:pPr>
        <w:rPr>
          <w:rFonts w:ascii="Calibri" w:hAnsi="Calibri" w:cs="Arial"/>
          <w:sz w:val="24"/>
        </w:rPr>
      </w:pPr>
      <w:r w:rsidRPr="007679F4">
        <w:rPr>
          <w:rFonts w:ascii="Calibri" w:hAnsi="Calibri" w:cs="Arial"/>
          <w:sz w:val="24"/>
        </w:rPr>
        <w:t>Supplier 4:</w:t>
      </w:r>
      <w:r w:rsidR="001377D2">
        <w:rPr>
          <w:rFonts w:ascii="Calibri" w:hAnsi="Calibri" w:cs="Arial"/>
          <w:sz w:val="24"/>
        </w:rPr>
        <w:tab/>
      </w:r>
      <w:r w:rsidRPr="007679F4">
        <w:rPr>
          <w:rFonts w:ascii="Calibri" w:hAnsi="Calibri" w:cs="Arial"/>
          <w:sz w:val="24"/>
        </w:rPr>
        <w:t xml:space="preserve">86 </w:t>
      </w:r>
      <w:r>
        <w:rPr>
          <w:rFonts w:ascii="Calibri" w:hAnsi="Calibri" w:cs="Arial"/>
          <w:sz w:val="24"/>
        </w:rPr>
        <w:t xml:space="preserve">products in scope, 19 families </w:t>
      </w:r>
    </w:p>
    <w:p w14:paraId="391DB37B" w14:textId="317598A2" w:rsidR="003A2E03" w:rsidRPr="007679F4" w:rsidRDefault="003A2E03" w:rsidP="003A2E03">
      <w:pPr>
        <w:rPr>
          <w:rFonts w:ascii="Calibri" w:hAnsi="Calibri" w:cs="Arial"/>
          <w:sz w:val="24"/>
        </w:rPr>
      </w:pPr>
      <w:r w:rsidRPr="007679F4">
        <w:rPr>
          <w:rFonts w:ascii="Calibri" w:hAnsi="Calibri" w:cs="Arial"/>
          <w:sz w:val="24"/>
        </w:rPr>
        <w:t>Supplier 5:</w:t>
      </w:r>
      <w:r w:rsidR="001377D2">
        <w:rPr>
          <w:rFonts w:ascii="Calibri" w:hAnsi="Calibri" w:cs="Arial"/>
          <w:sz w:val="24"/>
        </w:rPr>
        <w:tab/>
      </w:r>
      <w:r w:rsidRPr="007679F4">
        <w:rPr>
          <w:rFonts w:ascii="Calibri" w:hAnsi="Calibri" w:cs="Arial"/>
          <w:sz w:val="24"/>
        </w:rPr>
        <w:t>57 prod</w:t>
      </w:r>
      <w:r>
        <w:rPr>
          <w:rFonts w:ascii="Calibri" w:hAnsi="Calibri" w:cs="Arial"/>
          <w:sz w:val="24"/>
        </w:rPr>
        <w:t xml:space="preserve">ucts in scope, 15 families </w:t>
      </w:r>
    </w:p>
    <w:p w14:paraId="437B53B8" w14:textId="6F08D4C2" w:rsidR="003A2E03" w:rsidRPr="007679F4" w:rsidRDefault="003A2E03" w:rsidP="003A2E03">
      <w:pPr>
        <w:rPr>
          <w:rFonts w:ascii="Calibri" w:hAnsi="Calibri" w:cs="Arial"/>
          <w:sz w:val="24"/>
        </w:rPr>
      </w:pPr>
      <w:r w:rsidRPr="007679F4">
        <w:rPr>
          <w:rFonts w:ascii="Calibri" w:hAnsi="Calibri" w:cs="Arial"/>
          <w:sz w:val="24"/>
        </w:rPr>
        <w:t>Supplier 6:</w:t>
      </w:r>
      <w:r w:rsidR="001377D2">
        <w:rPr>
          <w:rFonts w:ascii="Calibri" w:hAnsi="Calibri" w:cs="Arial"/>
          <w:sz w:val="24"/>
        </w:rPr>
        <w:tab/>
      </w:r>
      <w:r w:rsidRPr="007679F4">
        <w:rPr>
          <w:rFonts w:ascii="Calibri" w:hAnsi="Calibri" w:cs="Arial"/>
          <w:sz w:val="24"/>
        </w:rPr>
        <w:t>15 product</w:t>
      </w:r>
      <w:r>
        <w:rPr>
          <w:rFonts w:ascii="Calibri" w:hAnsi="Calibri" w:cs="Arial"/>
          <w:sz w:val="24"/>
        </w:rPr>
        <w:t xml:space="preserve">s in scope, 7 families </w:t>
      </w:r>
    </w:p>
    <w:p w14:paraId="3CA6E895" w14:textId="77777777" w:rsidR="003A2E03" w:rsidRPr="000F6DAF" w:rsidRDefault="003A2E03" w:rsidP="003A2E03">
      <w:pPr>
        <w:pStyle w:val="E3Heading3"/>
      </w:pPr>
      <w:r>
        <w:t>Business As Usual</w:t>
      </w:r>
      <w:r w:rsidRPr="000F6DAF">
        <w:t xml:space="preserve"> </w:t>
      </w:r>
      <w:r>
        <w:t>Costs</w:t>
      </w:r>
    </w:p>
    <w:p w14:paraId="6A356F13" w14:textId="77777777" w:rsidR="003A2E03" w:rsidRDefault="003A2E03" w:rsidP="003B62AD">
      <w:pPr>
        <w:pStyle w:val="E3BodyText"/>
      </w:pPr>
      <w:r>
        <w:t xml:space="preserve">Under BAU, there were estimated to be 58 suppliers (registrants) of 789 registered models of lighting products (based on the E3 program’s registration database as at June 2016) that directly incur administrative costs in complying with the existing regulations. This includes meeting minimum performance standards and package marking requirements. </w:t>
      </w:r>
      <w:r w:rsidRPr="009F4AF8">
        <w:t xml:space="preserve">Estimated registrations over the 10 year period is estimated at </w:t>
      </w:r>
      <w:r>
        <w:t xml:space="preserve">1800 (from commencement). </w:t>
      </w:r>
    </w:p>
    <w:p w14:paraId="1EF308AA" w14:textId="77777777" w:rsidR="003A2E03" w:rsidRDefault="003A2E03" w:rsidP="003B62AD">
      <w:pPr>
        <w:pStyle w:val="E3BodyText"/>
      </w:pPr>
      <w:r>
        <w:t>There were estimated to be another group of 50 downstream suppliers/retailers that incur compliance costs in the supply of lighting. This estimate includes retail groups/chains, online suppliers and other specialist stores/store chains. A retail chain is counted once in the estimate, as it is assumed regulatory compliance is dealt with by a central/head office. Installers and many other specialist stores that supply products downstream (that are advertised through brochures and online) are not included in this count, as it is assumed they source products from upstream suppliers that ensure products comply with the regulations.</w:t>
      </w:r>
    </w:p>
    <w:p w14:paraId="6CA036A6" w14:textId="77777777" w:rsidR="003A2E03" w:rsidRDefault="003A2E03" w:rsidP="003B62AD">
      <w:pPr>
        <w:pStyle w:val="E3BodyText"/>
      </w:pPr>
      <w:r>
        <w:t>The compliance costs for these businesses (both registrants and downstream suppliers) were estimated by multiplying labour costs (wage costs plus on costs) by the time spent performing a particular task. For example, for one administrative officer to complete an online registration form that takes two hours to complete, the cost is estimated as 1 x $53 x 2 = $106. The assumed labour costs (including on costs) were:</w:t>
      </w:r>
    </w:p>
    <w:p w14:paraId="595D76CA" w14:textId="77777777" w:rsidR="003A2E03" w:rsidRPr="00A75524" w:rsidRDefault="003A2E03" w:rsidP="003A2E03">
      <w:pPr>
        <w:pStyle w:val="E3Bullets"/>
      </w:pPr>
      <w:r>
        <w:t>a</w:t>
      </w:r>
      <w:r w:rsidRPr="00392D06">
        <w:t xml:space="preserve">dministrative </w:t>
      </w:r>
      <w:r>
        <w:t>o</w:t>
      </w:r>
      <w:r w:rsidRPr="00A75524">
        <w:t>fficer</w:t>
      </w:r>
      <w:r>
        <w:t xml:space="preserve">:  </w:t>
      </w:r>
      <w:r w:rsidRPr="00392D06">
        <w:t>$53.</w:t>
      </w:r>
      <w:r w:rsidRPr="00A75524">
        <w:t>0</w:t>
      </w:r>
      <w:r>
        <w:t>0</w:t>
      </w:r>
    </w:p>
    <w:p w14:paraId="71A30037" w14:textId="77777777" w:rsidR="003A2E03" w:rsidRPr="00A75524" w:rsidRDefault="003A2E03" w:rsidP="003A2E03">
      <w:pPr>
        <w:pStyle w:val="E3Bullets"/>
      </w:pPr>
      <w:r>
        <w:t>n</w:t>
      </w:r>
      <w:r w:rsidRPr="00A75524">
        <w:t>on man</w:t>
      </w:r>
      <w:r>
        <w:t>a</w:t>
      </w:r>
      <w:r w:rsidRPr="00A75524">
        <w:t>gerial employees</w:t>
      </w:r>
      <w:r>
        <w:t xml:space="preserve">: </w:t>
      </w:r>
      <w:r w:rsidRPr="00A75524">
        <w:t>$</w:t>
      </w:r>
      <w:r>
        <w:t>60</w:t>
      </w:r>
      <w:r w:rsidRPr="00A75524">
        <w:t>.</w:t>
      </w:r>
      <w:r>
        <w:t>00</w:t>
      </w:r>
    </w:p>
    <w:p w14:paraId="154C4035" w14:textId="77777777" w:rsidR="003A2E03" w:rsidRPr="00A75524" w:rsidRDefault="003A2E03" w:rsidP="003A2E03">
      <w:pPr>
        <w:pStyle w:val="E3Bullets"/>
      </w:pPr>
      <w:r>
        <w:t>m</w:t>
      </w:r>
      <w:r w:rsidRPr="00A75524">
        <w:t>anager</w:t>
      </w:r>
      <w:r>
        <w:t xml:space="preserve">: </w:t>
      </w:r>
      <w:r w:rsidRPr="00392D06">
        <w:t>$7</w:t>
      </w:r>
      <w:r>
        <w:t>3.0</w:t>
      </w:r>
      <w:r w:rsidRPr="00A75524">
        <w:t>0</w:t>
      </w:r>
    </w:p>
    <w:p w14:paraId="2947FF68" w14:textId="77777777" w:rsidR="003A2E03" w:rsidRDefault="003A2E03" w:rsidP="003A2E03">
      <w:pPr>
        <w:pStyle w:val="E3Bullets"/>
      </w:pPr>
      <w:r>
        <w:t>le</w:t>
      </w:r>
      <w:r w:rsidRPr="00E864EB">
        <w:t xml:space="preserve">gal </w:t>
      </w:r>
      <w:r>
        <w:t>o</w:t>
      </w:r>
      <w:r w:rsidRPr="00A75524">
        <w:t>fficer</w:t>
      </w:r>
      <w:r>
        <w:t xml:space="preserve">: </w:t>
      </w:r>
      <w:r w:rsidRPr="00A75524">
        <w:t>$76.</w:t>
      </w:r>
      <w:r>
        <w:t>50</w:t>
      </w:r>
    </w:p>
    <w:p w14:paraId="4A1DFD91" w14:textId="77777777" w:rsidR="003A2E03" w:rsidRDefault="003A2E03" w:rsidP="003A2E03">
      <w:pPr>
        <w:pStyle w:val="E3BodyText"/>
      </w:pPr>
      <w:r>
        <w:t>Administrative compliance costs (per year) associated with the existing regulations were estimated as:</w:t>
      </w:r>
    </w:p>
    <w:p w14:paraId="7B9573C5" w14:textId="77777777" w:rsidR="003A2E03" w:rsidRDefault="003A2E03" w:rsidP="003A2E03">
      <w:pPr>
        <w:pStyle w:val="E3Bullets"/>
      </w:pPr>
      <w:r>
        <w:t>reviewing/understanding legislative requirements - $4,000 per registrant/supplier (including standard costs of $1,000)</w:t>
      </w:r>
    </w:p>
    <w:p w14:paraId="2F875370" w14:textId="77777777" w:rsidR="003A2E03" w:rsidRDefault="003A2E03" w:rsidP="003A2E03">
      <w:pPr>
        <w:pStyle w:val="E3Bullets"/>
      </w:pPr>
      <w:r>
        <w:t>time spent registering a product (not including the registration fee) - $250 per product</w:t>
      </w:r>
    </w:p>
    <w:p w14:paraId="7598C7BA" w14:textId="77777777" w:rsidR="003A2E03" w:rsidRDefault="003A2E03" w:rsidP="003A2E03">
      <w:pPr>
        <w:pStyle w:val="E3Bullets"/>
      </w:pPr>
      <w:r>
        <w:t>internal compliance assurance - $350 per registrant/supplier</w:t>
      </w:r>
    </w:p>
    <w:p w14:paraId="013314D3" w14:textId="77777777" w:rsidR="003A2E03" w:rsidRDefault="003A2E03" w:rsidP="003A2E03">
      <w:pPr>
        <w:pStyle w:val="E3Bullets"/>
      </w:pPr>
      <w:r>
        <w:t>data collection for reporting - $3,250 per registrant/supplier</w:t>
      </w:r>
    </w:p>
    <w:p w14:paraId="1FB285A5" w14:textId="77777777" w:rsidR="003A2E03" w:rsidRDefault="003A2E03" w:rsidP="003A2E03">
      <w:pPr>
        <w:pStyle w:val="E3Bullets"/>
      </w:pPr>
      <w:r>
        <w:t>record keeping - $2,550 per registrant/supplier</w:t>
      </w:r>
    </w:p>
    <w:p w14:paraId="1EBDDE1E" w14:textId="77777777" w:rsidR="003A2E03" w:rsidRDefault="003A2E03" w:rsidP="003A2E03">
      <w:pPr>
        <w:pStyle w:val="E3Bullets"/>
      </w:pPr>
      <w:r>
        <w:t>testing - $</w:t>
      </w:r>
      <w:r w:rsidRPr="004508D4">
        <w:t>668 per product</w:t>
      </w:r>
      <w:r>
        <w:t xml:space="preserve"> </w:t>
      </w:r>
    </w:p>
    <w:p w14:paraId="74FED556" w14:textId="77777777" w:rsidR="003A2E03" w:rsidRDefault="003A2E03" w:rsidP="003A2E03">
      <w:pPr>
        <w:pStyle w:val="E3Bullets"/>
      </w:pPr>
      <w:r>
        <w:t>downstream suppliers (i.e. retailers and specialist stores) - $1,400 per retailer</w:t>
      </w:r>
    </w:p>
    <w:p w14:paraId="6F4B41C8" w14:textId="77777777" w:rsidR="003A2E03" w:rsidRDefault="003A2E03" w:rsidP="003B62AD">
      <w:pPr>
        <w:pStyle w:val="E3BodyText"/>
      </w:pPr>
      <w:r>
        <w:t>The estimated annual costs of BAU is $231,100, accounting for supplier, product and downstream supplier costs over 10 years divided by 10, with an average cost of $4,000 per supplier per year.</w:t>
      </w:r>
    </w:p>
    <w:p w14:paraId="35278FB7" w14:textId="77777777" w:rsidR="003A2E03" w:rsidRPr="000F6DAF" w:rsidRDefault="003A2E03" w:rsidP="003A2E03">
      <w:pPr>
        <w:pStyle w:val="E3Heading3"/>
      </w:pPr>
      <w:r>
        <w:t>LED lamp costs</w:t>
      </w:r>
    </w:p>
    <w:p w14:paraId="49C13546" w14:textId="67C43684" w:rsidR="003A2E03" w:rsidRDefault="003A2E03" w:rsidP="003B62AD">
      <w:pPr>
        <w:pStyle w:val="E3BodyText"/>
      </w:pPr>
      <w:r>
        <w:t xml:space="preserve">The additional regulatory costs for LED MEPS on lamps compared to </w:t>
      </w:r>
      <w:r w:rsidR="00987744">
        <w:t>BAU are estimated at around $14</w:t>
      </w:r>
      <w:r>
        <w:t xml:space="preserve">M </w:t>
      </w:r>
      <w:r w:rsidR="00987744">
        <w:t>over 10</w:t>
      </w:r>
      <w:r>
        <w:t xml:space="preserve"> year</w:t>
      </w:r>
      <w:r w:rsidR="00987744">
        <w:t>s (NPV), with an average cost of $7</w:t>
      </w:r>
      <w:r w:rsidR="00C02AF0">
        <w:t>,000</w:t>
      </w:r>
      <w:r>
        <w:t xml:space="preserve"> per supplier per year. Under this option, an additional 142 registered suppliers and 12,000 models of LED lamps are assumed to be in scope and therefore incur compliance costs. An additional 20 downstream suppliers (i.e. retailers that sell LED lamps) are assumed to be in scope under this option.</w:t>
      </w:r>
    </w:p>
    <w:p w14:paraId="14259773" w14:textId="77777777" w:rsidR="003A2E03" w:rsidRDefault="003A2E03" w:rsidP="003B62AD">
      <w:pPr>
        <w:pStyle w:val="E3BodyText"/>
      </w:pPr>
      <w:r>
        <w:t xml:space="preserve">For LED lamps, revised estimates from BAU include: </w:t>
      </w:r>
    </w:p>
    <w:p w14:paraId="012FC22A" w14:textId="070243B3" w:rsidR="003A2E03" w:rsidRDefault="003A2E03" w:rsidP="003A2E03">
      <w:pPr>
        <w:pStyle w:val="E3Bullets"/>
      </w:pPr>
      <w:r>
        <w:t>a $600 reduction in costs to purchase standards is assumed, due to the performance parameters and test method being included in the determination as opposed to creation of a new Australian/New Zealand standard, with standard costs of an estimated $400. (</w:t>
      </w:r>
      <w:r w:rsidR="00CF6EA7">
        <w:t>Revised</w:t>
      </w:r>
      <w:r>
        <w:t xml:space="preserve"> estimate of $3,400 for reviewing/understanding legislative requirements).</w:t>
      </w:r>
    </w:p>
    <w:p w14:paraId="20387F41" w14:textId="77777777" w:rsidR="003A2E03" w:rsidRDefault="003A2E03" w:rsidP="003A2E03">
      <w:pPr>
        <w:pStyle w:val="E3Bullets"/>
      </w:pPr>
      <w:r>
        <w:t>A $332 increase in t</w:t>
      </w:r>
      <w:r w:rsidRPr="008E7C0A">
        <w:t>esting</w:t>
      </w:r>
      <w:r>
        <w:t xml:space="preserve"> compared with BAU on average per product model ($1000 total). </w:t>
      </w:r>
    </w:p>
    <w:p w14:paraId="3276AAB8" w14:textId="4B5D4566" w:rsidR="003A2E03" w:rsidRDefault="003A2E03" w:rsidP="003A2E03">
      <w:pPr>
        <w:pStyle w:val="E3Bullets"/>
      </w:pPr>
      <w:r>
        <w:t xml:space="preserve">A $0 impact on purchase price of LED lamps on the basis of the continued forecast decline in price of these products </w:t>
      </w:r>
      <w:r w:rsidR="00CA3138">
        <w:t xml:space="preserve">with improvements in technology and manufacturing and competition in the market, </w:t>
      </w:r>
      <w:r>
        <w:t>which is assumed to offset any price increase as a result of suppliers passing on compliance costs. See CRIS Modelling for further information on rationale.</w:t>
      </w:r>
    </w:p>
    <w:p w14:paraId="0D802C7A" w14:textId="77777777" w:rsidR="003A2E03" w:rsidRPr="00880042" w:rsidRDefault="003A2E03" w:rsidP="003A2E03">
      <w:pPr>
        <w:pStyle w:val="E3Bullets"/>
        <w:numPr>
          <w:ilvl w:val="0"/>
          <w:numId w:val="0"/>
        </w:numPr>
      </w:pPr>
      <w:r>
        <w:t>T</w:t>
      </w:r>
      <w:r w:rsidRPr="00880042">
        <w:t xml:space="preserve">esting costs assumptions for the policy were: </w:t>
      </w:r>
    </w:p>
    <w:p w14:paraId="0936F511" w14:textId="77777777" w:rsidR="003A2E03" w:rsidRDefault="003A2E03" w:rsidP="003A2E03">
      <w:pPr>
        <w:pStyle w:val="E3Bullets"/>
      </w:pPr>
      <w:r>
        <w:t>suppliers already undertake standard tests, highlighted in the MEPS document, not because of the proposed energy efficiency regulations, thus these are not costed (5 of 7)</w:t>
      </w:r>
    </w:p>
    <w:p w14:paraId="1C643381" w14:textId="77777777" w:rsidR="003A2E03" w:rsidRPr="001C56AC" w:rsidRDefault="003A2E03" w:rsidP="003A2E03">
      <w:pPr>
        <w:pStyle w:val="E3Bullets"/>
        <w:rPr>
          <w:b/>
        </w:rPr>
      </w:pPr>
      <w:r>
        <w:t>the</w:t>
      </w:r>
      <w:r w:rsidRPr="00A75524">
        <w:t xml:space="preserve"> additional tests</w:t>
      </w:r>
      <w:r>
        <w:t xml:space="preserve"> (2) required</w:t>
      </w:r>
      <w:r w:rsidRPr="00A75524">
        <w:t xml:space="preserve"> would be done </w:t>
      </w:r>
      <w:r>
        <w:t>with standard testing</w:t>
      </w:r>
      <w:r w:rsidRPr="00A75524">
        <w:t>, so th</w:t>
      </w:r>
      <w:r>
        <w:t xml:space="preserve">e </w:t>
      </w:r>
      <w:r w:rsidRPr="00A75524">
        <w:t>additional testing time does</w:t>
      </w:r>
      <w:r>
        <w:t xml:space="preserve"> no</w:t>
      </w:r>
      <w:r w:rsidRPr="00A75524">
        <w:t>t include installation and setup time</w:t>
      </w:r>
      <w:r>
        <w:t xml:space="preserve">. </w:t>
      </w:r>
    </w:p>
    <w:p w14:paraId="4B189F09" w14:textId="77777777" w:rsidR="003A2E03" w:rsidRPr="0041673C" w:rsidRDefault="003A2E03" w:rsidP="003A2E03">
      <w:pPr>
        <w:pStyle w:val="E3Bullets"/>
        <w:rPr>
          <w:b/>
        </w:rPr>
      </w:pPr>
      <w:r>
        <w:t>no additional equipment required.</w:t>
      </w:r>
    </w:p>
    <w:p w14:paraId="5178FB3D" w14:textId="60A7A780" w:rsidR="003A2E03" w:rsidRPr="00D83B0F" w:rsidRDefault="00B21D10" w:rsidP="00B21D10">
      <w:pPr>
        <w:pStyle w:val="Caption"/>
      </w:pPr>
      <w:bookmarkStart w:id="54" w:name="_Toc493158339"/>
      <w:r>
        <w:t xml:space="preserve">Table </w:t>
      </w:r>
      <w:r>
        <w:fldChar w:fldCharType="begin"/>
      </w:r>
      <w:r>
        <w:instrText xml:space="preserve"> SEQ Table \* ARABIC </w:instrText>
      </w:r>
      <w:r>
        <w:fldChar w:fldCharType="separate"/>
      </w:r>
      <w:r w:rsidR="005933B0">
        <w:t>7</w:t>
      </w:r>
      <w:r>
        <w:fldChar w:fldCharType="end"/>
      </w:r>
      <w:r>
        <w:t xml:space="preserve">: </w:t>
      </w:r>
      <w:r w:rsidR="003A2E03" w:rsidRPr="0032783F">
        <w:t xml:space="preserve">shows the additional regulatory costs </w:t>
      </w:r>
      <w:r w:rsidR="003A2E03">
        <w:t>for Option A (Commonwealth’s portion)</w:t>
      </w:r>
      <w:bookmarkEnd w:id="54"/>
    </w:p>
    <w:tbl>
      <w:tblPr>
        <w:tblStyle w:val="TableGrid"/>
        <w:tblW w:w="0" w:type="auto"/>
        <w:tblLook w:val="04A0" w:firstRow="1" w:lastRow="0" w:firstColumn="1" w:lastColumn="0" w:noHBand="0" w:noVBand="1"/>
        <w:tblDescription w:val="Regulatory costs for Option A"/>
      </w:tblPr>
      <w:tblGrid>
        <w:gridCol w:w="1826"/>
        <w:gridCol w:w="1838"/>
        <w:gridCol w:w="1887"/>
        <w:gridCol w:w="1864"/>
        <w:gridCol w:w="1827"/>
      </w:tblGrid>
      <w:tr w:rsidR="003A2E03" w:rsidRPr="00705972" w14:paraId="722EC085" w14:textId="77777777" w:rsidTr="006E41EE">
        <w:trPr>
          <w:tblHeader/>
        </w:trPr>
        <w:tc>
          <w:tcPr>
            <w:tcW w:w="1826" w:type="dxa"/>
            <w:shd w:val="solid" w:color="auto" w:fill="auto"/>
          </w:tcPr>
          <w:p w14:paraId="294B32D8" w14:textId="77777777" w:rsidR="003A2E03" w:rsidRPr="00632770" w:rsidRDefault="003A2E03" w:rsidP="006E41EE">
            <w:pPr>
              <w:pStyle w:val="E3TableHeading"/>
            </w:pPr>
            <w:r w:rsidRPr="00632770">
              <w:t xml:space="preserve">Change in costs </w:t>
            </w:r>
          </w:p>
        </w:tc>
        <w:tc>
          <w:tcPr>
            <w:tcW w:w="1838" w:type="dxa"/>
            <w:shd w:val="solid" w:color="auto" w:fill="auto"/>
          </w:tcPr>
          <w:p w14:paraId="44EA6096" w14:textId="77777777" w:rsidR="003A2E03" w:rsidRPr="00632770" w:rsidRDefault="003A2E03" w:rsidP="006E41EE">
            <w:pPr>
              <w:pStyle w:val="E3TableHeading"/>
            </w:pPr>
            <w:r w:rsidRPr="00632770">
              <w:t>Business</w:t>
            </w:r>
          </w:p>
        </w:tc>
        <w:tc>
          <w:tcPr>
            <w:tcW w:w="1887" w:type="dxa"/>
            <w:shd w:val="solid" w:color="auto" w:fill="auto"/>
          </w:tcPr>
          <w:p w14:paraId="6E882558" w14:textId="77777777" w:rsidR="003A2E03" w:rsidRPr="00632770" w:rsidRDefault="003A2E03" w:rsidP="006E41EE">
            <w:pPr>
              <w:pStyle w:val="E3TableHeading"/>
            </w:pPr>
            <w:r w:rsidRPr="00632770">
              <w:t>Community organisations</w:t>
            </w:r>
          </w:p>
        </w:tc>
        <w:tc>
          <w:tcPr>
            <w:tcW w:w="1864" w:type="dxa"/>
            <w:shd w:val="solid" w:color="auto" w:fill="auto"/>
          </w:tcPr>
          <w:p w14:paraId="780D8C6A" w14:textId="77777777" w:rsidR="003A2E03" w:rsidRPr="00632770" w:rsidRDefault="003A2E03" w:rsidP="006E41EE">
            <w:pPr>
              <w:pStyle w:val="E3TableHeading"/>
            </w:pPr>
            <w:r w:rsidRPr="00632770">
              <w:t>Individuals</w:t>
            </w:r>
          </w:p>
        </w:tc>
        <w:tc>
          <w:tcPr>
            <w:tcW w:w="1827" w:type="dxa"/>
            <w:shd w:val="solid" w:color="auto" w:fill="auto"/>
          </w:tcPr>
          <w:p w14:paraId="3AD0AAA1" w14:textId="77777777" w:rsidR="003A2E03" w:rsidRPr="00632770" w:rsidRDefault="003A2E03" w:rsidP="006E41EE">
            <w:pPr>
              <w:pStyle w:val="E3TableHeading"/>
            </w:pPr>
            <w:r w:rsidRPr="00632770">
              <w:t>Total change in costs</w:t>
            </w:r>
          </w:p>
        </w:tc>
      </w:tr>
      <w:tr w:rsidR="003A2E03" w:rsidRPr="00705972" w14:paraId="0CDA43B6" w14:textId="77777777" w:rsidTr="006E41EE">
        <w:tc>
          <w:tcPr>
            <w:tcW w:w="1826" w:type="dxa"/>
          </w:tcPr>
          <w:p w14:paraId="069CACF3" w14:textId="77777777" w:rsidR="003A2E03" w:rsidRPr="00632770" w:rsidRDefault="003A2E03" w:rsidP="006E41EE">
            <w:pPr>
              <w:pStyle w:val="E3Tabletext"/>
            </w:pPr>
            <w:r w:rsidRPr="00632770">
              <w:t>Total, by sector</w:t>
            </w:r>
          </w:p>
        </w:tc>
        <w:tc>
          <w:tcPr>
            <w:tcW w:w="1838" w:type="dxa"/>
          </w:tcPr>
          <w:p w14:paraId="43A398DB" w14:textId="77777777" w:rsidR="003A2E03" w:rsidRPr="00632770" w:rsidRDefault="003A2E03" w:rsidP="006E41EE">
            <w:pPr>
              <w:pStyle w:val="E3Tabletext"/>
            </w:pPr>
            <w:r>
              <w:t>$ 0.563</w:t>
            </w:r>
            <w:r w:rsidRPr="00632770">
              <w:t>m</w:t>
            </w:r>
          </w:p>
        </w:tc>
        <w:tc>
          <w:tcPr>
            <w:tcW w:w="1887" w:type="dxa"/>
          </w:tcPr>
          <w:p w14:paraId="762BD456" w14:textId="77777777" w:rsidR="003A2E03" w:rsidRPr="00632770" w:rsidRDefault="003A2E03" w:rsidP="006E41EE">
            <w:pPr>
              <w:pStyle w:val="E3Tabletext"/>
            </w:pPr>
            <w:r w:rsidRPr="00632770">
              <w:t>$0</w:t>
            </w:r>
          </w:p>
        </w:tc>
        <w:tc>
          <w:tcPr>
            <w:tcW w:w="1864" w:type="dxa"/>
          </w:tcPr>
          <w:p w14:paraId="0A7DCBBA" w14:textId="77777777" w:rsidR="003A2E03" w:rsidRPr="00632770" w:rsidRDefault="003A2E03" w:rsidP="006E41EE">
            <w:pPr>
              <w:pStyle w:val="E3Tabletext"/>
            </w:pPr>
            <w:r w:rsidRPr="00632770">
              <w:t>$ 0</w:t>
            </w:r>
          </w:p>
        </w:tc>
        <w:tc>
          <w:tcPr>
            <w:tcW w:w="1827" w:type="dxa"/>
          </w:tcPr>
          <w:p w14:paraId="16FD4204" w14:textId="77777777" w:rsidR="003A2E03" w:rsidRPr="00632770" w:rsidRDefault="003A2E03" w:rsidP="006E41EE">
            <w:pPr>
              <w:pStyle w:val="E3Tabletext"/>
            </w:pPr>
            <w:r w:rsidRPr="00632770">
              <w:t>$ 0</w:t>
            </w:r>
            <w:r>
              <w:t>.563</w:t>
            </w:r>
            <w:r w:rsidRPr="00632770">
              <w:t>m</w:t>
            </w:r>
          </w:p>
        </w:tc>
      </w:tr>
      <w:tr w:rsidR="003A2E03" w:rsidRPr="00705972" w14:paraId="1BEF0EEC" w14:textId="77777777" w:rsidTr="006E41EE">
        <w:tc>
          <w:tcPr>
            <w:tcW w:w="1826" w:type="dxa"/>
          </w:tcPr>
          <w:p w14:paraId="2C644FB2" w14:textId="77777777" w:rsidR="003A2E03" w:rsidRPr="00632770" w:rsidRDefault="003A2E03" w:rsidP="006E41EE">
            <w:pPr>
              <w:pStyle w:val="E3Tabletext"/>
            </w:pPr>
            <w:r w:rsidRPr="00632770">
              <w:t xml:space="preserve">Cost offset </w:t>
            </w:r>
          </w:p>
        </w:tc>
        <w:tc>
          <w:tcPr>
            <w:tcW w:w="1838" w:type="dxa"/>
          </w:tcPr>
          <w:p w14:paraId="1F522A72" w14:textId="77777777" w:rsidR="003A2E03" w:rsidRPr="00632770" w:rsidRDefault="003A2E03" w:rsidP="006E41EE">
            <w:pPr>
              <w:pStyle w:val="E3Tabletext"/>
            </w:pPr>
            <w:r w:rsidRPr="00632770">
              <w:t>Business</w:t>
            </w:r>
          </w:p>
        </w:tc>
        <w:tc>
          <w:tcPr>
            <w:tcW w:w="1887" w:type="dxa"/>
          </w:tcPr>
          <w:p w14:paraId="2E331588" w14:textId="77777777" w:rsidR="003A2E03" w:rsidRPr="00632770" w:rsidRDefault="003A2E03" w:rsidP="006E41EE">
            <w:pPr>
              <w:pStyle w:val="E3Tabletext"/>
            </w:pPr>
            <w:r w:rsidRPr="00632770">
              <w:t>Community organisations</w:t>
            </w:r>
          </w:p>
        </w:tc>
        <w:tc>
          <w:tcPr>
            <w:tcW w:w="1864" w:type="dxa"/>
          </w:tcPr>
          <w:p w14:paraId="78CDCC22" w14:textId="77777777" w:rsidR="003A2E03" w:rsidRPr="00632770" w:rsidRDefault="003A2E03" w:rsidP="006E41EE">
            <w:pPr>
              <w:pStyle w:val="E3Tabletext"/>
            </w:pPr>
            <w:r w:rsidRPr="00632770">
              <w:t>Individuals</w:t>
            </w:r>
          </w:p>
        </w:tc>
        <w:tc>
          <w:tcPr>
            <w:tcW w:w="1827" w:type="dxa"/>
          </w:tcPr>
          <w:p w14:paraId="0A1D2A5E" w14:textId="77777777" w:rsidR="003A2E03" w:rsidRPr="00632770" w:rsidRDefault="003A2E03" w:rsidP="006E41EE">
            <w:pPr>
              <w:pStyle w:val="E3Tabletext"/>
            </w:pPr>
            <w:r w:rsidRPr="00632770">
              <w:t xml:space="preserve">Total, by source </w:t>
            </w:r>
          </w:p>
        </w:tc>
      </w:tr>
      <w:tr w:rsidR="003A2E03" w:rsidRPr="00705972" w14:paraId="5305FDE1" w14:textId="77777777" w:rsidTr="006E41EE">
        <w:tc>
          <w:tcPr>
            <w:tcW w:w="1826" w:type="dxa"/>
            <w:vAlign w:val="center"/>
          </w:tcPr>
          <w:p w14:paraId="3D1C451B" w14:textId="77777777" w:rsidR="003A2E03" w:rsidRPr="00632770" w:rsidRDefault="003A2E03" w:rsidP="006E41EE">
            <w:pPr>
              <w:pStyle w:val="E3Tabletext"/>
            </w:pPr>
            <w:r w:rsidRPr="00632770">
              <w:t>Total, by sector</w:t>
            </w:r>
          </w:p>
        </w:tc>
        <w:tc>
          <w:tcPr>
            <w:tcW w:w="1838" w:type="dxa"/>
            <w:vAlign w:val="center"/>
          </w:tcPr>
          <w:p w14:paraId="009400B1" w14:textId="77777777" w:rsidR="003A2E03" w:rsidRPr="00632770" w:rsidRDefault="003A2E03" w:rsidP="006E41EE">
            <w:pPr>
              <w:pStyle w:val="E3Tabletext"/>
            </w:pPr>
            <w:r w:rsidRPr="00632770">
              <w:t>$0</w:t>
            </w:r>
          </w:p>
        </w:tc>
        <w:tc>
          <w:tcPr>
            <w:tcW w:w="1887" w:type="dxa"/>
            <w:vAlign w:val="center"/>
          </w:tcPr>
          <w:p w14:paraId="48EB3EA6" w14:textId="77777777" w:rsidR="003A2E03" w:rsidRPr="00632770" w:rsidRDefault="003A2E03" w:rsidP="006E41EE">
            <w:pPr>
              <w:pStyle w:val="E3Tabletext"/>
            </w:pPr>
            <w:r w:rsidRPr="00632770">
              <w:t>$0</w:t>
            </w:r>
          </w:p>
        </w:tc>
        <w:tc>
          <w:tcPr>
            <w:tcW w:w="1864" w:type="dxa"/>
            <w:vAlign w:val="center"/>
          </w:tcPr>
          <w:p w14:paraId="03CF3090" w14:textId="77777777" w:rsidR="003A2E03" w:rsidRPr="00632770" w:rsidRDefault="003A2E03" w:rsidP="006E41EE">
            <w:pPr>
              <w:pStyle w:val="E3Tabletext"/>
            </w:pPr>
            <w:r w:rsidRPr="00632770">
              <w:t>$0</w:t>
            </w:r>
          </w:p>
        </w:tc>
        <w:tc>
          <w:tcPr>
            <w:tcW w:w="1827" w:type="dxa"/>
            <w:vAlign w:val="center"/>
          </w:tcPr>
          <w:p w14:paraId="3E86C37A" w14:textId="77777777" w:rsidR="003A2E03" w:rsidRPr="00632770" w:rsidRDefault="003A2E03" w:rsidP="006E41EE">
            <w:pPr>
              <w:pStyle w:val="E3Tabletext"/>
            </w:pPr>
            <w:r w:rsidRPr="00632770">
              <w:t>To be confirmed</w:t>
            </w:r>
          </w:p>
        </w:tc>
      </w:tr>
      <w:tr w:rsidR="003A2E03" w:rsidRPr="00705972" w14:paraId="4463822D" w14:textId="77777777" w:rsidTr="006E41EE">
        <w:tc>
          <w:tcPr>
            <w:tcW w:w="9242" w:type="dxa"/>
            <w:gridSpan w:val="5"/>
            <w:vAlign w:val="center"/>
          </w:tcPr>
          <w:p w14:paraId="27E9836C" w14:textId="77777777" w:rsidR="003A2E03" w:rsidRPr="00632770" w:rsidRDefault="003A2E03" w:rsidP="006E41EE">
            <w:pPr>
              <w:pStyle w:val="E3Tabletext"/>
            </w:pPr>
            <w:r w:rsidRPr="00632770">
              <w:t xml:space="preserve">Are all new costs offset? </w:t>
            </w:r>
            <w:sdt>
              <w:sdtPr>
                <w:id w:val="1361253005"/>
                <w14:checkbox>
                  <w14:checked w14:val="1"/>
                  <w14:checkedState w14:val="2612" w14:font="MS Gothic"/>
                  <w14:uncheckedState w14:val="2610" w14:font="MS Gothic"/>
                </w14:checkbox>
              </w:sdtPr>
              <w:sdtEndPr/>
              <w:sdtContent>
                <w:r w:rsidRPr="00632770">
                  <w:rPr>
                    <w:rFonts w:eastAsia="MS Gothic" w:hint="eastAsia"/>
                  </w:rPr>
                  <w:t>☒</w:t>
                </w:r>
              </w:sdtContent>
            </w:sdt>
            <w:r w:rsidRPr="00632770">
              <w:t xml:space="preserve"> Any costs will be offset by drawing on offsets from the Department of the Environment and Energy at the point of decision.</w:t>
            </w:r>
          </w:p>
        </w:tc>
      </w:tr>
      <w:tr w:rsidR="003A2E03" w:rsidRPr="00705972" w14:paraId="02A9386C" w14:textId="77777777" w:rsidTr="006E41EE">
        <w:tc>
          <w:tcPr>
            <w:tcW w:w="9242" w:type="dxa"/>
            <w:gridSpan w:val="5"/>
            <w:vAlign w:val="center"/>
          </w:tcPr>
          <w:p w14:paraId="3885DE2D" w14:textId="77777777" w:rsidR="003A2E03" w:rsidRPr="00632770" w:rsidRDefault="003A2E03" w:rsidP="006E41EE">
            <w:pPr>
              <w:pStyle w:val="E3Tabletext"/>
            </w:pPr>
            <w:r w:rsidRPr="00632770">
              <w:t xml:space="preserve">Total (Change in costs – Cost offset) ($ million) = To be confirmed </w:t>
            </w:r>
          </w:p>
        </w:tc>
      </w:tr>
    </w:tbl>
    <w:p w14:paraId="30E63312" w14:textId="77777777" w:rsidR="003A2E03" w:rsidRPr="00795D77" w:rsidRDefault="003A2E03" w:rsidP="003A2E03">
      <w:pPr>
        <w:pStyle w:val="E3Bullets"/>
        <w:numPr>
          <w:ilvl w:val="0"/>
          <w:numId w:val="0"/>
        </w:numPr>
        <w:ind w:left="360"/>
        <w:rPr>
          <w:sz w:val="16"/>
          <w:szCs w:val="16"/>
        </w:rPr>
      </w:pPr>
      <w:r w:rsidRPr="00795D77">
        <w:rPr>
          <w:sz w:val="16"/>
          <w:szCs w:val="16"/>
        </w:rPr>
        <w:t>^The average annual regulatory costs were calculated by estimating the total undiscounted (nominal) cost for Option A over the ten year period from 2017 to 2026, and dividing this by ten. The costs shown are based on the Commonwealth’s portion of the GEMS funding agreement, which is 43 per cent.</w:t>
      </w:r>
    </w:p>
    <w:p w14:paraId="0A41F6FC" w14:textId="77777777" w:rsidR="003A2E03" w:rsidRPr="00D32D1B" w:rsidRDefault="003A2E03" w:rsidP="003A2E03">
      <w:pPr>
        <w:pStyle w:val="E3Heading3"/>
      </w:pPr>
      <w:r>
        <w:t xml:space="preserve">New Zealand </w:t>
      </w:r>
    </w:p>
    <w:p w14:paraId="0C6A0FAB" w14:textId="27AA525A" w:rsidR="00BE20EB" w:rsidRDefault="003A2E03" w:rsidP="003B62AD">
      <w:pPr>
        <w:pStyle w:val="E3BodyText"/>
      </w:pPr>
      <w:r w:rsidRPr="00742B57">
        <w:t>New Zealand BAU lamp registrations include 131 registrations associated with 33 suppliers.</w:t>
      </w:r>
      <w:r>
        <w:t xml:space="preserve"> The estimated number of LED lamp supplier</w:t>
      </w:r>
      <w:r w:rsidR="001A3424">
        <w:t>s</w:t>
      </w:r>
      <w:r>
        <w:t xml:space="preserve"> is </w:t>
      </w:r>
      <w:r w:rsidR="001A3424">
        <w:t>50</w:t>
      </w:r>
      <w:r>
        <w:t xml:space="preserve"> and estimated num</w:t>
      </w:r>
      <w:r w:rsidR="001A3424">
        <w:t>ber of family registrations is 6</w:t>
      </w:r>
      <w:r>
        <w:t>00 in year one</w:t>
      </w:r>
      <w:r w:rsidR="001A3424">
        <w:t xml:space="preserve"> (an estimated 3,600 registrations over 10 years)</w:t>
      </w:r>
      <w:r>
        <w:t>. Supplier regulatory costs are estimated to be similar to costs incurred by suppliers registered under GEMS</w:t>
      </w:r>
      <w:r w:rsidR="001A3424">
        <w:t xml:space="preserve"> (an estimated additio</w:t>
      </w:r>
      <w:r w:rsidR="00AB5DDE">
        <w:t>nal regulatory cost of around $3.7M over 10 years (NPV)</w:t>
      </w:r>
      <w:r w:rsidR="001A3424">
        <w:t>, with an a</w:t>
      </w:r>
      <w:r w:rsidR="00AB5DDE">
        <w:t>verage cost of $7</w:t>
      </w:r>
      <w:r w:rsidR="00C02AF0">
        <w:t>,000</w:t>
      </w:r>
      <w:r w:rsidR="001A3424">
        <w:t xml:space="preserve"> per supplier per year</w:t>
      </w:r>
      <w:r>
        <w:t xml:space="preserve">. </w:t>
      </w:r>
      <w:r w:rsidR="00BE20EB">
        <w:t xml:space="preserve">Because of the similar nature of the markets, this estimate may be on the high end for New Zealand, as many products may be registered already for Australia. There is no registration fee in New Zealand. </w:t>
      </w:r>
    </w:p>
    <w:p w14:paraId="6F177D49" w14:textId="1A7EC576" w:rsidR="003A2E03" w:rsidRPr="00D32D1B" w:rsidRDefault="003A2E03" w:rsidP="003A2E03">
      <w:pPr>
        <w:pStyle w:val="E3Heading3"/>
      </w:pPr>
      <w:r>
        <w:t>GEMS LED lamp registration f</w:t>
      </w:r>
      <w:r w:rsidRPr="00D32D1B">
        <w:t>ees</w:t>
      </w:r>
      <w:r w:rsidR="00BE20EB">
        <w:t xml:space="preserve"> (Australia)</w:t>
      </w:r>
    </w:p>
    <w:p w14:paraId="732E5A8B" w14:textId="6F01D31E" w:rsidR="003A2E03" w:rsidRDefault="003A2E03" w:rsidP="003B62AD">
      <w:pPr>
        <w:pStyle w:val="E3BodyText"/>
      </w:pPr>
      <w:r>
        <w:t>GEMS r</w:t>
      </w:r>
      <w:r w:rsidRPr="00C178A0">
        <w:t>egistration fees are currently under review</w:t>
      </w:r>
      <w:r>
        <w:t xml:space="preserve">. The E3 Program released the </w:t>
      </w:r>
      <w:hyperlink r:id="rId36" w:history="1">
        <w:r w:rsidRPr="00C178A0">
          <w:rPr>
            <w:rStyle w:val="Hyperlink"/>
          </w:rPr>
          <w:t>GEMS Fees Review 2016-17</w:t>
        </w:r>
      </w:hyperlink>
      <w:r w:rsidRPr="00C178A0">
        <w:t xml:space="preserve"> </w:t>
      </w:r>
      <w:r>
        <w:t xml:space="preserve">consultation paper in February 2017 and is in the process of finalising a further consultation paper to consult on fees for </w:t>
      </w:r>
      <w:r w:rsidRPr="0001643A">
        <w:rPr>
          <w:i/>
        </w:rPr>
        <w:t>regulated</w:t>
      </w:r>
      <w:r>
        <w:t xml:space="preserve"> products. </w:t>
      </w:r>
      <w:r w:rsidRPr="00C178A0">
        <w:t>Fees for BAU lighting products</w:t>
      </w:r>
      <w:r>
        <w:t xml:space="preserve"> (fluorescent and halogen lamps)</w:t>
      </w:r>
      <w:r w:rsidRPr="00C178A0">
        <w:t xml:space="preserve"> is currently $440 (set in 2012)</w:t>
      </w:r>
      <w:r>
        <w:t xml:space="preserve">. The Fees review will not consider fees for proposed regulation, rather this will be </w:t>
      </w:r>
      <w:r w:rsidR="00CA3138">
        <w:t>determined as part of each DRIS.</w:t>
      </w:r>
    </w:p>
    <w:p w14:paraId="4889E0BE" w14:textId="36EFD715" w:rsidR="003A2E03" w:rsidRDefault="003A2E03" w:rsidP="003B62AD">
      <w:pPr>
        <w:pStyle w:val="E3BodyText"/>
      </w:pPr>
      <w:r>
        <w:t xml:space="preserve">Below is the proposed fees for LED lamps. Feedback is sought on this proposal to further inform the </w:t>
      </w:r>
      <w:r w:rsidR="00CA3138">
        <w:t>DRIS.</w:t>
      </w:r>
      <w:r w:rsidRPr="00C178A0">
        <w:t xml:space="preserve">  </w:t>
      </w:r>
    </w:p>
    <w:p w14:paraId="6C7FAA18" w14:textId="340D1458" w:rsidR="003A2E03" w:rsidRDefault="003A2E03" w:rsidP="003A2E03">
      <w:pPr>
        <w:pStyle w:val="E3Bullets"/>
      </w:pPr>
      <w:r w:rsidRPr="00C178A0">
        <w:t>Based on the estimated number of suppliers and estimated number of registrations for lamps and registration and compliance check test costs, the estimated fee for</w:t>
      </w:r>
      <w:r>
        <w:t xml:space="preserve"> LED lamps</w:t>
      </w:r>
      <w:r w:rsidRPr="00C178A0">
        <w:t xml:space="preserve"> is proposed to </w:t>
      </w:r>
      <w:r>
        <w:t xml:space="preserve">be in the lowest fee band. This is expected to </w:t>
      </w:r>
      <w:r w:rsidRPr="00C178A0">
        <w:t>increase from $440</w:t>
      </w:r>
      <w:r>
        <w:t xml:space="preserve"> (set in 2012)</w:t>
      </w:r>
      <w:r w:rsidRPr="00C178A0">
        <w:t xml:space="preserve"> </w:t>
      </w:r>
      <w:r>
        <w:t>to $54</w:t>
      </w:r>
      <w:r w:rsidRPr="00C178A0">
        <w:t>0</w:t>
      </w:r>
      <w:r w:rsidR="002A45C8">
        <w:t xml:space="preserve"> (2018-19).</w:t>
      </w:r>
      <w:r>
        <w:t xml:space="preserve"> </w:t>
      </w:r>
      <w:r w:rsidR="00CA3138">
        <w:t>Fee band values to be determined via Fees review.</w:t>
      </w:r>
    </w:p>
    <w:p w14:paraId="2AD9C043" w14:textId="77777777" w:rsidR="003A2E03" w:rsidRDefault="003A2E03" w:rsidP="003B62AD">
      <w:pPr>
        <w:pStyle w:val="E3BodyText"/>
      </w:pPr>
      <w:r>
        <w:t>Below is some further background on how the proposed fee has been arrived at:</w:t>
      </w:r>
    </w:p>
    <w:p w14:paraId="7EB19A23" w14:textId="77777777" w:rsidR="003A2E03" w:rsidRPr="003B62AD" w:rsidRDefault="003A2E03" w:rsidP="003B62AD">
      <w:pPr>
        <w:pStyle w:val="E3Bullets"/>
      </w:pPr>
      <w:r w:rsidRPr="003B62AD">
        <w:rPr>
          <w:rFonts w:eastAsia="Calibri"/>
        </w:rPr>
        <w:t>When a model of a GEMS product is registered, registrants are charged a registration fee to recover the costs of providing the registration and compliance monitoring services under the GEMS Act.</w:t>
      </w:r>
    </w:p>
    <w:p w14:paraId="7E731BB5" w14:textId="77777777" w:rsidR="003A2E03" w:rsidRPr="003B62AD" w:rsidRDefault="003A2E03" w:rsidP="003B62AD">
      <w:pPr>
        <w:pStyle w:val="E3Bullets"/>
      </w:pPr>
      <w:r w:rsidRPr="003B62AD">
        <w:t xml:space="preserve">The </w:t>
      </w:r>
      <w:r w:rsidRPr="003B62AD">
        <w:rPr>
          <w:i/>
        </w:rPr>
        <w:t>Greenhouse and Energy Minimum Standards (Registration Fees) Act</w:t>
      </w:r>
      <w:r w:rsidRPr="003B62AD">
        <w:t xml:space="preserve"> 2012 sets out what matters can be considered by the GEMS Regulator when setting registration fees. </w:t>
      </w:r>
      <w:r w:rsidRPr="003B62AD">
        <w:rPr>
          <w:rFonts w:eastAsia="Calibri"/>
        </w:rPr>
        <w:t xml:space="preserve">The Australian Government’s policy approval for GEMS included an expectation that registration fees would be reviewed every three years to facilitate a move towards full cost recovery over time. </w:t>
      </w:r>
    </w:p>
    <w:p w14:paraId="28C765FC" w14:textId="77777777" w:rsidR="00B03FD1" w:rsidRPr="003B62AD" w:rsidRDefault="00B03FD1" w:rsidP="003B62AD">
      <w:pPr>
        <w:pStyle w:val="E3Bullets"/>
      </w:pPr>
      <w:r w:rsidRPr="003B62AD">
        <w:t>The Fees review is considering the current fee bands in the context of registration and compliance monitoring cost, including check testing. For lighting products, the fee currently charged has been identified as being too low relative to the registration and compliance costs incurred, with lighting products being cross subsidised by other product types.</w:t>
      </w:r>
    </w:p>
    <w:p w14:paraId="04A05057" w14:textId="77777777" w:rsidR="00B03FD1" w:rsidRPr="003B62AD" w:rsidRDefault="00B03FD1" w:rsidP="003B62AD">
      <w:pPr>
        <w:pStyle w:val="E3Bullets"/>
      </w:pPr>
      <w:r w:rsidRPr="003B62AD">
        <w:t xml:space="preserve">At present, GEMS registration fees cover around 70 percent of the total cost of registration and compliance activities. It is likely that fees will be increased in order to move to full cost-recovery.  </w:t>
      </w:r>
    </w:p>
    <w:p w14:paraId="6A662004" w14:textId="77777777" w:rsidR="003A2E03" w:rsidRPr="003B62AD" w:rsidRDefault="003A2E03" w:rsidP="003B62AD">
      <w:pPr>
        <w:pStyle w:val="E3Bullets"/>
      </w:pPr>
      <w:r w:rsidRPr="003B62AD">
        <w:t>Registration costs include handling registration-related enquiries and assessment for registrations, liaison, decision making and monitoring. Two key activities for GEMS registration are outsourced to service providers. This includes the GEMS Registration System and Assessment Services.</w:t>
      </w:r>
    </w:p>
    <w:p w14:paraId="65F758EE" w14:textId="508975FF" w:rsidR="00B03FD1" w:rsidRPr="003B62AD" w:rsidRDefault="003A2E03" w:rsidP="003B62AD">
      <w:pPr>
        <w:pStyle w:val="E3Bullets"/>
      </w:pPr>
      <w:r w:rsidRPr="003B62AD">
        <w:t xml:space="preserve">Compliance costs include education and engagement, market surveillance, product check testing and enforcement action. </w:t>
      </w:r>
      <w:r w:rsidR="00B03FD1" w:rsidRPr="003B62AD">
        <w:t>Fees do not cover policy development work such as the development of the RIS, this supplementary paper or other development work.</w:t>
      </w:r>
    </w:p>
    <w:p w14:paraId="3FE540CE" w14:textId="77777777" w:rsidR="00B03FD1" w:rsidRPr="00343437" w:rsidRDefault="00B03FD1" w:rsidP="005E21D3">
      <w:pPr>
        <w:pStyle w:val="E3SubSubBullets"/>
        <w:numPr>
          <w:ilvl w:val="0"/>
          <w:numId w:val="0"/>
        </w:numPr>
        <w:ind w:left="964" w:hanging="360"/>
        <w:sectPr w:rsidR="00B03FD1" w:rsidRPr="00343437" w:rsidSect="00656C49">
          <w:pgSz w:w="11907" w:h="16840" w:code="9"/>
          <w:pgMar w:top="1134" w:right="1134" w:bottom="1418" w:left="1134" w:header="709" w:footer="709" w:gutter="0"/>
          <w:cols w:space="720"/>
          <w:titlePg/>
          <w:docGrid w:linePitch="360"/>
        </w:sectPr>
      </w:pPr>
    </w:p>
    <w:p w14:paraId="0F026387" w14:textId="168489E5" w:rsidR="000A1754" w:rsidRPr="00343437" w:rsidRDefault="00BF480E" w:rsidP="00D668E1">
      <w:pPr>
        <w:pStyle w:val="E3ChapterTitle"/>
        <w:spacing w:after="720"/>
        <w:sectPr w:rsidR="000A1754" w:rsidRPr="00343437" w:rsidSect="00472115">
          <w:pgSz w:w="11907" w:h="16840" w:code="9"/>
          <w:pgMar w:top="1134" w:right="1134" w:bottom="1418" w:left="1134" w:header="709" w:footer="709" w:gutter="0"/>
          <w:cols w:space="720"/>
          <w:titlePg/>
          <w:docGrid w:linePitch="360"/>
        </w:sectPr>
      </w:pPr>
      <w:bookmarkStart w:id="55" w:name="Attachment_G"/>
      <w:bookmarkStart w:id="56" w:name="_Toc493159058"/>
      <w:bookmarkEnd w:id="55"/>
      <w:r>
        <w:t>Attachme</w:t>
      </w:r>
      <w:r w:rsidR="00EA6E4A">
        <w:t>nt G</w:t>
      </w:r>
      <w:r>
        <w:t xml:space="preserve">: </w:t>
      </w:r>
      <w:r w:rsidR="00EA6E4A">
        <w:t>Offer to Supply</w:t>
      </w:r>
      <w:bookmarkEnd w:id="56"/>
    </w:p>
    <w:p w14:paraId="4995E6F5" w14:textId="77777777" w:rsidR="00EA6E4A" w:rsidRDefault="00EA6E4A" w:rsidP="00806093">
      <w:pPr>
        <w:pStyle w:val="E3Heading1"/>
      </w:pPr>
      <w:bookmarkStart w:id="57" w:name="_Toc433364799"/>
      <w:bookmarkStart w:id="58" w:name="_Toc436904410"/>
    </w:p>
    <w:p w14:paraId="0AC13838" w14:textId="77777777" w:rsidR="00EA6E4A" w:rsidRPr="009B1796" w:rsidRDefault="00EA6E4A" w:rsidP="00635148">
      <w:pPr>
        <w:pStyle w:val="E3Heading3"/>
      </w:pPr>
      <w:r w:rsidRPr="009B1796">
        <w:t>What is ‘Offer to Supply’?</w:t>
      </w:r>
    </w:p>
    <w:p w14:paraId="319684E0" w14:textId="77777777" w:rsidR="00EA6E4A" w:rsidRPr="00F549CC" w:rsidRDefault="00EA6E4A" w:rsidP="003B62AD">
      <w:pPr>
        <w:pStyle w:val="E3Heading4"/>
      </w:pPr>
      <w:r w:rsidRPr="00F549CC">
        <w:t>Background</w:t>
      </w:r>
    </w:p>
    <w:p w14:paraId="7674589E" w14:textId="3C93E6EB" w:rsidR="00EA6E4A" w:rsidRDefault="00EA6E4A" w:rsidP="003B62AD">
      <w:pPr>
        <w:pStyle w:val="E3BodyText"/>
      </w:pPr>
      <w:r w:rsidRPr="00F549CC">
        <w:t xml:space="preserve">Product registration is required for products in Australia subject to GEMS level, labelling, and other GEMS requirements under the </w:t>
      </w:r>
      <w:r w:rsidRPr="00F549CC">
        <w:rPr>
          <w:i/>
        </w:rPr>
        <w:t>Greenhouse and Energy Minimum Standards Act 2012</w:t>
      </w:r>
      <w:r w:rsidRPr="00F549CC">
        <w:t xml:space="preserve"> (GEMS Act) where products are </w:t>
      </w:r>
      <w:r>
        <w:t>“</w:t>
      </w:r>
      <w:r w:rsidRPr="00F549CC">
        <w:t>supplied, offered for supply, or used commercially</w:t>
      </w:r>
      <w:r>
        <w:t>”</w:t>
      </w:r>
      <w:r w:rsidRPr="00F549CC">
        <w:t>.  Suppliers submit product registratio</w:t>
      </w:r>
      <w:r>
        <w:t xml:space="preserve">ns on the </w:t>
      </w:r>
      <w:hyperlink r:id="rId37" w:history="1">
        <w:r w:rsidRPr="00C84DA1">
          <w:rPr>
            <w:rStyle w:val="Hyperlink"/>
          </w:rPr>
          <w:t>Energy Rating Website</w:t>
        </w:r>
      </w:hyperlink>
      <w:r w:rsidRPr="00F549CC">
        <w:t xml:space="preserve">.  </w:t>
      </w:r>
    </w:p>
    <w:p w14:paraId="765383D3" w14:textId="77777777" w:rsidR="00EA6E4A" w:rsidRPr="00963417" w:rsidRDefault="00EA6E4A" w:rsidP="003B62AD">
      <w:pPr>
        <w:pStyle w:val="E3BodyText"/>
      </w:pPr>
      <w:r w:rsidRPr="00963417">
        <w:t xml:space="preserve">In New Zealand the rules around which products need to comply are laid out in the </w:t>
      </w:r>
      <w:r w:rsidRPr="00963417">
        <w:rPr>
          <w:i/>
        </w:rPr>
        <w:t>Energy Efficiency (Energy Using Products) Regulations 2002</w:t>
      </w:r>
      <w:r w:rsidRPr="00963417">
        <w:t xml:space="preserve">.  The New Zealand Regulations use a slightly different phrase, ‘make available for sale.’ </w:t>
      </w:r>
    </w:p>
    <w:p w14:paraId="6747F70F" w14:textId="77777777" w:rsidR="00EA6E4A" w:rsidRPr="00F549CC" w:rsidRDefault="00EA6E4A" w:rsidP="003B62AD">
      <w:pPr>
        <w:pStyle w:val="E3BodyText"/>
      </w:pPr>
      <w:r w:rsidRPr="00F549CC">
        <w:t xml:space="preserve">Note that the below is currently framed around the Australian regulation.  While the intent is for both countries to have similar </w:t>
      </w:r>
      <w:r>
        <w:t>provisions, specific details will</w:t>
      </w:r>
      <w:r w:rsidRPr="00F549CC">
        <w:t xml:space="preserve"> differ in accordance with the requirements of the relevant regulation.  </w:t>
      </w:r>
    </w:p>
    <w:p w14:paraId="30CF596A" w14:textId="77777777" w:rsidR="00EA6E4A" w:rsidRPr="00F549CC" w:rsidRDefault="00EA6E4A" w:rsidP="003B62AD">
      <w:pPr>
        <w:pStyle w:val="E3BodyText"/>
      </w:pPr>
      <w:r w:rsidRPr="00F549CC">
        <w:t>LED MEPS is propose</w:t>
      </w:r>
      <w:r>
        <w:t xml:space="preserve">d for a range of LED lamps and later, </w:t>
      </w:r>
      <w:r w:rsidRPr="00F549CC">
        <w:t xml:space="preserve">integrated luminaires capable of being tuned to within the specified white region in any mode of operation. </w:t>
      </w:r>
    </w:p>
    <w:p w14:paraId="07788F0F" w14:textId="77777777" w:rsidR="00EA6E4A" w:rsidRPr="00F549CC" w:rsidRDefault="00EA6E4A" w:rsidP="003B62AD">
      <w:pPr>
        <w:pStyle w:val="E3BodyText"/>
      </w:pPr>
      <w:r w:rsidRPr="00F549CC">
        <w:t xml:space="preserve">In the development of the proposal for LED Minimum Energy Performance Standards (MEPS), it has become apparent that LED integrated luminaires in particular are offered for sale and supplied in a more diverse manner than some other products subject to energy efficiency regulation. In this diverse market, some suppliers offer large product ranges where only a small proportion may ever be sold in Australia or New Zealand, including linkages to third party product catalogues that the supplier has rights to supply from.  </w:t>
      </w:r>
    </w:p>
    <w:p w14:paraId="0669FA56" w14:textId="7996D186" w:rsidR="00EA6E4A" w:rsidRPr="00F549CC" w:rsidRDefault="00EA6E4A" w:rsidP="003B62AD">
      <w:pPr>
        <w:pStyle w:val="E3BodyText"/>
      </w:pPr>
      <w:r w:rsidRPr="00F549CC">
        <w:t>The following information provides some initial guidance on the circumstances where product registration would be required if MEPS for LED products is put in place to ensure compliance with the GEMS Act.  Note that a supplier may choose to register a product or product family in advance of th</w:t>
      </w:r>
      <w:r w:rsidR="003B62AD">
        <w:t>e circumstances outlined below.</w:t>
      </w:r>
    </w:p>
    <w:p w14:paraId="2AB56619" w14:textId="77777777" w:rsidR="00EA6E4A" w:rsidRPr="00635148" w:rsidRDefault="00EA6E4A" w:rsidP="00635148">
      <w:pPr>
        <w:pStyle w:val="E3Heading3"/>
      </w:pPr>
      <w:r w:rsidRPr="00635148">
        <w:t>What is ‘offer to supply’ for LED products?</w:t>
      </w:r>
    </w:p>
    <w:p w14:paraId="723B232B" w14:textId="77777777" w:rsidR="00EA6E4A" w:rsidRPr="00F549CC" w:rsidRDefault="00EA6E4A" w:rsidP="003B62AD">
      <w:pPr>
        <w:pStyle w:val="E3BodyText"/>
      </w:pPr>
      <w:r w:rsidRPr="00F549CC">
        <w:rPr>
          <w:u w:val="single"/>
        </w:rPr>
        <w:t>General</w:t>
      </w:r>
      <w:r w:rsidRPr="00F549CC">
        <w:t>: Offer to supply includes advertising products as available for sale, display of products for sale in retail or wholesale outlets, listing of products as available for sale on websites or in catalogues, and installation of products in premises offered for sale.  Registration is required before an offer to supply is made.</w:t>
      </w:r>
    </w:p>
    <w:p w14:paraId="61C11018" w14:textId="77777777" w:rsidR="00EA6E4A" w:rsidRPr="00F549CC" w:rsidRDefault="00EA6E4A" w:rsidP="00EA6E4A">
      <w:pPr>
        <w:spacing w:after="0" w:line="240" w:lineRule="auto"/>
        <w:rPr>
          <w:rFonts w:ascii="Calibri" w:hAnsi="Calibri"/>
          <w:sz w:val="24"/>
        </w:rPr>
      </w:pPr>
    </w:p>
    <w:p w14:paraId="46936314" w14:textId="77777777" w:rsidR="00EA6E4A" w:rsidRPr="00F549CC" w:rsidRDefault="00EA6E4A" w:rsidP="003B62AD">
      <w:pPr>
        <w:pStyle w:val="E3BodyText"/>
      </w:pPr>
      <w:r w:rsidRPr="00F549CC">
        <w:rPr>
          <w:u w:val="single"/>
        </w:rPr>
        <w:t>Custom made products</w:t>
      </w:r>
      <w:r w:rsidRPr="00F549CC">
        <w:t>: In cases where a supplier offers a service to custom make an LED product either to the customer’s specifications or to specifications developed in consultation with the customer (and the specific product design does not exist before this interaction) the concept of ‘offer to supply’ would be triggered when the supplier and the customer agrees on the final specifications to be used.  At this point the product should be registered (including any testing to demonstrate compliance required for registration) prior to an order being made.</w:t>
      </w:r>
    </w:p>
    <w:p w14:paraId="5EA7E6B3" w14:textId="77777777" w:rsidR="00EA6E4A" w:rsidRPr="00F549CC" w:rsidRDefault="00EA6E4A" w:rsidP="003B62AD">
      <w:pPr>
        <w:pStyle w:val="E3BodyText"/>
      </w:pPr>
      <w:r w:rsidRPr="00F549CC">
        <w:rPr>
          <w:u w:val="single"/>
        </w:rPr>
        <w:t>Overseas catalogues referenced by suppliers to Australia</w:t>
      </w:r>
      <w:r w:rsidRPr="00F549CC">
        <w:t xml:space="preserve">:  The act of referencing a third party overseas catalogue by a supplier to the Australian market is not in itself considered an offer to supply provided: stock is not held in Australia; and the Australian supplier website or catalogue indicates that the availability of these products for the Australian market needs to be confirmed before supply can be made.  </w:t>
      </w:r>
    </w:p>
    <w:p w14:paraId="3C624C97" w14:textId="77777777" w:rsidR="00EA6E4A" w:rsidRPr="00F549CC" w:rsidRDefault="00EA6E4A" w:rsidP="003B62AD">
      <w:pPr>
        <w:pStyle w:val="E3BodyText"/>
      </w:pPr>
      <w:r w:rsidRPr="00F549CC">
        <w:t>Offer to supply occurs when availability for the Australian market is confirmed.  The product should be registered prior to this point (including any testing to demonstrate compliance required for registration), and prior to an order being made.</w:t>
      </w:r>
    </w:p>
    <w:p w14:paraId="67C17B3E" w14:textId="77777777" w:rsidR="00EA6E4A" w:rsidRDefault="00EA6E4A" w:rsidP="003B62AD">
      <w:pPr>
        <w:pStyle w:val="E3BodyText"/>
      </w:pPr>
      <w:r w:rsidRPr="00F549CC">
        <w:rPr>
          <w:u w:val="single"/>
        </w:rPr>
        <w:t>Australian catalogues of overseas products</w:t>
      </w:r>
      <w:r w:rsidRPr="00F549CC">
        <w:t>: The act of providing lists of overseas products on the website or catalogue of a supplier to the Australian market is not in itself considered an offer to supply provided: stock is not held in Australia; and the website or catalogue indicates that the availability of these products for the Australian market needs to be confirmed before supply can be made.</w:t>
      </w:r>
    </w:p>
    <w:p w14:paraId="5304DC9D" w14:textId="77777777" w:rsidR="00EA6E4A" w:rsidRPr="00F549CC" w:rsidRDefault="00EA6E4A" w:rsidP="003B62AD">
      <w:pPr>
        <w:pStyle w:val="E3BodyText"/>
      </w:pPr>
      <w:r w:rsidRPr="00F549CC">
        <w:t>Offer to supply occurs when availability for the Australian market is confirmed. The product should be registered prior to this point (including any testing to demonstrate compliance required for registration), and prior to an order being made.</w:t>
      </w:r>
    </w:p>
    <w:p w14:paraId="1D997ACA" w14:textId="1F7A3A7D" w:rsidR="00EA6E4A" w:rsidRPr="00F549CC" w:rsidRDefault="00EA6E4A" w:rsidP="003B62AD">
      <w:pPr>
        <w:pStyle w:val="E3BodyText"/>
      </w:pPr>
      <w:r w:rsidRPr="00F549CC">
        <w:rPr>
          <w:u w:val="single"/>
        </w:rPr>
        <w:t>Direct supply by overseas suppliers</w:t>
      </w:r>
      <w:r w:rsidRPr="00F549CC">
        <w:t>: To be clear, a direct offer of available products by either an Australian or overseas supplier, including via online or catalogue order forms is considered an offer to supply and</w:t>
      </w:r>
      <w:r w:rsidR="003B62AD">
        <w:t xml:space="preserve"> registration is required.</w:t>
      </w:r>
    </w:p>
    <w:p w14:paraId="24086742" w14:textId="77777777" w:rsidR="00EA6E4A" w:rsidRPr="00635148" w:rsidRDefault="00EA6E4A" w:rsidP="00635148">
      <w:pPr>
        <w:pStyle w:val="E3Heading3"/>
      </w:pPr>
      <w:r w:rsidRPr="00635148">
        <w:t xml:space="preserve">How does this vary in New Zealand? </w:t>
      </w:r>
    </w:p>
    <w:p w14:paraId="27FE842C" w14:textId="77777777" w:rsidR="00EA6E4A" w:rsidRPr="00963417" w:rsidRDefault="00EA6E4A" w:rsidP="003B62AD">
      <w:pPr>
        <w:pStyle w:val="E3BodyText"/>
        <w:rPr>
          <w:rFonts w:eastAsia="Calibri"/>
        </w:rPr>
      </w:pPr>
      <w:r w:rsidRPr="00963417">
        <w:rPr>
          <w:rFonts w:eastAsia="Calibri"/>
        </w:rPr>
        <w:t xml:space="preserve">As mentioned above, in New Zealand the rules around which products need to comply for product registration are laid out in the Energy Efficiency (Energy Using Products) Regulations 2002.  The New Zealand Regulations use a slightly different phrase, ‘make available for sale.’ </w:t>
      </w:r>
    </w:p>
    <w:p w14:paraId="6A214EBE" w14:textId="77777777" w:rsidR="00EA6E4A" w:rsidRDefault="00EA6E4A" w:rsidP="003B62AD">
      <w:pPr>
        <w:pStyle w:val="E3BodyText"/>
      </w:pPr>
      <w:r w:rsidRPr="00963417">
        <w:rPr>
          <w:rFonts w:eastAsia="Calibri"/>
        </w:rPr>
        <w:t xml:space="preserve">It is up to suppliers to make their own judgments, however, as in Australia, where a product is </w:t>
      </w:r>
      <w:r w:rsidRPr="00963417">
        <w:t>advertised as available for sale, displayed for sale in retail or wholesale outlets, listed as available for sale on websites or in catalogues, or similar, the product should be registered.</w:t>
      </w:r>
    </w:p>
    <w:p w14:paraId="1AD6C929" w14:textId="77777777" w:rsidR="00EA6E4A" w:rsidRDefault="00EA6E4A" w:rsidP="003B62AD">
      <w:pPr>
        <w:pStyle w:val="E3BodyText"/>
      </w:pPr>
    </w:p>
    <w:p w14:paraId="39D12DFA" w14:textId="77777777" w:rsidR="00635148" w:rsidRDefault="00635148" w:rsidP="003B62AD">
      <w:pPr>
        <w:pStyle w:val="E3BodyText"/>
        <w:sectPr w:rsidR="00635148" w:rsidSect="004A314E">
          <w:type w:val="continuous"/>
          <w:pgSz w:w="11907" w:h="16840" w:code="9"/>
          <w:pgMar w:top="1134" w:right="1134" w:bottom="1418" w:left="1134" w:header="709" w:footer="709" w:gutter="0"/>
          <w:cols w:space="720"/>
          <w:titlePg/>
          <w:docGrid w:linePitch="360"/>
        </w:sectPr>
      </w:pPr>
    </w:p>
    <w:p w14:paraId="5169DC18" w14:textId="72338DE2" w:rsidR="00EA6E4A" w:rsidRDefault="00635148" w:rsidP="00635148">
      <w:pPr>
        <w:pStyle w:val="E3ChapterTitle"/>
        <w:spacing w:after="720"/>
      </w:pPr>
      <w:bookmarkStart w:id="59" w:name="Attachment_H"/>
      <w:bookmarkStart w:id="60" w:name="_Toc493159059"/>
      <w:bookmarkEnd w:id="59"/>
      <w:r>
        <w:t xml:space="preserve">Attachment H: </w:t>
      </w:r>
      <w:r w:rsidR="00EA6E4A">
        <w:t>Phase out of incandescent and halogen lamps (Australia only)</w:t>
      </w:r>
      <w:bookmarkEnd w:id="60"/>
    </w:p>
    <w:p w14:paraId="28E50D85" w14:textId="77777777" w:rsidR="00806093" w:rsidRDefault="00806093" w:rsidP="00635148">
      <w:pPr>
        <w:pStyle w:val="E3Heading3"/>
      </w:pPr>
      <w:r>
        <w:t>Introduction</w:t>
      </w:r>
    </w:p>
    <w:p w14:paraId="76445D69" w14:textId="7A68019E" w:rsidR="00806093" w:rsidRDefault="006158C5" w:rsidP="003B62AD">
      <w:pPr>
        <w:pStyle w:val="E3BodyText"/>
      </w:pPr>
      <w:r>
        <w:t>The proposal to increase incandescent and halogen MEPS (Australia only) to CFL levels to remove the most inefficient lamps from the market was broadly supported by stakeholders.</w:t>
      </w:r>
    </w:p>
    <w:p w14:paraId="64B8C3E8" w14:textId="4CE4B444" w:rsidR="000524FE" w:rsidRDefault="000524FE" w:rsidP="003B62AD">
      <w:pPr>
        <w:pStyle w:val="E3BodyText"/>
      </w:pPr>
      <w:r>
        <w:t>Below is the proposed phase out of a range of halogen light bulbs, excluding downlights and acc</w:t>
      </w:r>
      <w:r w:rsidR="00193E3B">
        <w:t xml:space="preserve">ounting for feedback </w:t>
      </w:r>
      <w:r w:rsidRPr="00343437">
        <w:t xml:space="preserve">received from stakeholders on </w:t>
      </w:r>
      <w:r>
        <w:t>exemptions or delayed introduction of the ph</w:t>
      </w:r>
      <w:r w:rsidR="00A677F9">
        <w:t>ase out for some product types</w:t>
      </w:r>
      <w:r>
        <w:t xml:space="preserve">.  </w:t>
      </w:r>
      <w:r w:rsidR="00193E3B">
        <w:t xml:space="preserve">The target date for the phase out </w:t>
      </w:r>
      <w:r w:rsidR="00E11146">
        <w:t xml:space="preserve">of </w:t>
      </w:r>
      <w:r w:rsidR="00193E3B">
        <w:t>these products i</w:t>
      </w:r>
      <w:r w:rsidR="00026B9E">
        <w:t>s October </w:t>
      </w:r>
      <w:r w:rsidR="00193E3B">
        <w:t>2019.</w:t>
      </w:r>
    </w:p>
    <w:p w14:paraId="51E2F5F4" w14:textId="78A28B2D" w:rsidR="00193E3B" w:rsidRDefault="00193E3B" w:rsidP="003B62AD">
      <w:pPr>
        <w:pStyle w:val="E3BodyText"/>
      </w:pPr>
      <w:r>
        <w:t>Suppliers could continue to import these products types and distribute for sale up until the start date of the new MEPS level. Previously imported products could continue to be sold on the market until stock is depleted.</w:t>
      </w:r>
    </w:p>
    <w:p w14:paraId="1F407725" w14:textId="5C45B715" w:rsidR="000524FE" w:rsidRDefault="000524FE" w:rsidP="003B62AD">
      <w:pPr>
        <w:pStyle w:val="E3BodyText"/>
      </w:pPr>
      <w:r>
        <w:t xml:space="preserve">The phase out of halogen downlights has been deferred in the absence of LED MEPS on integrated recessed downlights, which like LED lamp downlights are a direct replacement product. These integrated products are mainstream in retail and trade outlets and heavily promoted by trades. The reputational risk for Government in phasing out halogen downlights without having minimum quality standards in place for all replacement products was considered too high.  With no regulation on these products, consumers could be exposed to purchasing inferior LED product in the absence of being able to purchase halogen light bulbs and the benefits to the community in terms of electricity and replacement savings could not be assured. Delaying the </w:t>
      </w:r>
      <w:r w:rsidR="00D50CC1">
        <w:t>phase out</w:t>
      </w:r>
      <w:r>
        <w:t xml:space="preserve"> of low voltage halogen downlights will also allow technology improvements to reduce the incidence of compatibility problems with the legacy installed stock of transformers.</w:t>
      </w:r>
    </w:p>
    <w:p w14:paraId="60E37C99" w14:textId="418C8890" w:rsidR="000524FE" w:rsidRDefault="00193E3B" w:rsidP="003B62AD">
      <w:pPr>
        <w:pStyle w:val="E3BodyText"/>
      </w:pPr>
      <w:r>
        <w:t xml:space="preserve">Following the introduction of LED MEPS on integrated luminaires, the intention is to phase out all remaining halogen lamps (pending remaining compatibility issues for extra low voltage lamps). LED MEPS on integrated luminaires and the phase out of halogen downlights will be the subject of a separate CRIS </w:t>
      </w:r>
      <w:r w:rsidR="00A677F9">
        <w:t xml:space="preserve">and DRIS </w:t>
      </w:r>
      <w:r>
        <w:t>but it is anticipated to occur in 2021.</w:t>
      </w:r>
    </w:p>
    <w:p w14:paraId="66429AC8" w14:textId="014B2C13" w:rsidR="00A677F9" w:rsidRDefault="00A677F9" w:rsidP="003B62AD">
      <w:pPr>
        <w:pStyle w:val="E3BodyText"/>
      </w:pPr>
      <w:r>
        <w:t xml:space="preserve">Understanding the costs of this option include analysis of the extent of compatibility of LED products with existing dimmer systems. Dimmer compatibility issues and associated consumer costs are covered in </w:t>
      </w:r>
      <w:hyperlink w:anchor="Attachment_E" w:history="1">
        <w:r w:rsidRPr="000C0448">
          <w:rPr>
            <w:rStyle w:val="Hyperlink"/>
          </w:rPr>
          <w:t>Attachment E</w:t>
        </w:r>
      </w:hyperlink>
      <w:r>
        <w:t xml:space="preserve">. </w:t>
      </w:r>
    </w:p>
    <w:p w14:paraId="011A1184" w14:textId="5E4C9E8A" w:rsidR="005603C5" w:rsidRDefault="005603C5" w:rsidP="003B62AD">
      <w:pPr>
        <w:pStyle w:val="E3BodyText"/>
      </w:pPr>
      <w:r w:rsidRPr="007A2DE1">
        <w:t>The E3 program requests stakeholders to consider the</w:t>
      </w:r>
      <w:r>
        <w:t xml:space="preserve"> phase out plan and provide feedback, including any potential unintended consequences or impacts that have not been considered to further inform the </w:t>
      </w:r>
      <w:r w:rsidR="001C6C14">
        <w:t>DRIS.</w:t>
      </w:r>
    </w:p>
    <w:p w14:paraId="4A82E25B" w14:textId="77777777" w:rsidR="00315B13" w:rsidRPr="00635148" w:rsidRDefault="00315B13" w:rsidP="00635148">
      <w:pPr>
        <w:pStyle w:val="E3Heading3"/>
      </w:pPr>
      <w:r w:rsidRPr="00635148">
        <w:t>Timing</w:t>
      </w:r>
    </w:p>
    <w:p w14:paraId="2C79002E" w14:textId="472C7666" w:rsidR="006158C5" w:rsidRPr="00D905B5" w:rsidRDefault="00315B13" w:rsidP="003B62AD">
      <w:pPr>
        <w:pStyle w:val="E3BodyText"/>
      </w:pPr>
      <w:r w:rsidRPr="00590718">
        <w:t xml:space="preserve">The </w:t>
      </w:r>
      <w:r w:rsidR="001C6C14">
        <w:t>DRIS</w:t>
      </w:r>
      <w:r w:rsidRPr="00590718">
        <w:t xml:space="preserve"> will recommend that </w:t>
      </w:r>
      <w:r>
        <w:t>the staged phase out of halogen and incandescent lamps commences 6 months after the start date of LED MEPS</w:t>
      </w:r>
      <w:r w:rsidR="005603C5">
        <w:t xml:space="preserve"> </w:t>
      </w:r>
      <w:r>
        <w:t xml:space="preserve">(allowing time to address quality issues). Commencement would also be dependent on the replacement Incandescent MEPS determination being released </w:t>
      </w:r>
      <w:r w:rsidR="001C60E4">
        <w:t xml:space="preserve">twelve </w:t>
      </w:r>
      <w:r>
        <w:t xml:space="preserve">months </w:t>
      </w:r>
      <w:r w:rsidR="001C60E4">
        <w:t>prior to the date of effect</w:t>
      </w:r>
      <w:r>
        <w:t>, allowing time for industry to alter supply chains and minimise wastage of materials that are no longer needed.</w:t>
      </w:r>
      <w:r w:rsidR="005603C5">
        <w:t xml:space="preserve"> </w:t>
      </w:r>
      <w:r w:rsidR="005603C5" w:rsidRPr="00D50CC1">
        <w:t xml:space="preserve">It </w:t>
      </w:r>
      <w:r w:rsidR="00D50CC1">
        <w:t>is expected that the phase out</w:t>
      </w:r>
      <w:r w:rsidR="00D50CC1" w:rsidRPr="00D50CC1">
        <w:t xml:space="preserve"> will occur </w:t>
      </w:r>
      <w:r w:rsidR="005603C5" w:rsidRPr="00D50CC1">
        <w:t>in October 2019</w:t>
      </w:r>
      <w:r w:rsidR="00D50CC1" w:rsidRPr="00D50CC1">
        <w:t>.</w:t>
      </w:r>
    </w:p>
    <w:p w14:paraId="0E5D7477" w14:textId="77777777" w:rsidR="007359BF" w:rsidRDefault="007359BF" w:rsidP="007359BF">
      <w:pPr>
        <w:pStyle w:val="E3Heading3"/>
      </w:pPr>
      <w:r>
        <w:t>Scope and staged approach</w:t>
      </w:r>
    </w:p>
    <w:p w14:paraId="3249B45A" w14:textId="77777777" w:rsidR="007359BF" w:rsidRDefault="007359BF" w:rsidP="003B62AD">
      <w:pPr>
        <w:pStyle w:val="E3BodyText"/>
      </w:pPr>
      <w:r w:rsidRPr="00A15CAE">
        <w:t xml:space="preserve">The revised proposal has taken account of the feedback received from stakeholders on </w:t>
      </w:r>
      <w:r>
        <w:t xml:space="preserve">proposed </w:t>
      </w:r>
      <w:r w:rsidRPr="00A15CAE">
        <w:t xml:space="preserve">exemptions or delayed introduction of the phase out for some product types, </w:t>
      </w:r>
      <w:r>
        <w:t>including</w:t>
      </w:r>
      <w:r w:rsidRPr="00A15CAE">
        <w:t xml:space="preserve"> consideration of compatibility issues</w:t>
      </w:r>
      <w:r>
        <w:t xml:space="preserve">. </w:t>
      </w:r>
    </w:p>
    <w:p w14:paraId="5098A03C" w14:textId="4F620161" w:rsidR="007359BF" w:rsidRPr="00A15CAE" w:rsidRDefault="007359BF" w:rsidP="003B62AD">
      <w:pPr>
        <w:pStyle w:val="E3BodyText"/>
        <w:rPr>
          <w:bCs/>
          <w:color w:val="000000"/>
        </w:rPr>
      </w:pPr>
      <w:r w:rsidRPr="00A15CAE">
        <w:rPr>
          <w:bCs/>
          <w:color w:val="000000"/>
        </w:rPr>
        <w:t>The table below provides information on the proposed phase out for different lamp technologies/type. Note: Class refers to the product classes referenced in the GEMS Incandescent Determination.</w:t>
      </w:r>
    </w:p>
    <w:p w14:paraId="3C3A7773" w14:textId="60BF1FC2" w:rsidR="009D2249" w:rsidRDefault="009D2249" w:rsidP="009D2249">
      <w:pPr>
        <w:pStyle w:val="Caption"/>
        <w:keepNext/>
      </w:pPr>
      <w:bookmarkStart w:id="61" w:name="_Toc493158340"/>
      <w:r>
        <w:t xml:space="preserve">Table </w:t>
      </w:r>
      <w:r>
        <w:fldChar w:fldCharType="begin"/>
      </w:r>
      <w:r>
        <w:instrText xml:space="preserve"> SEQ Table \* ARABIC </w:instrText>
      </w:r>
      <w:r>
        <w:fldChar w:fldCharType="separate"/>
      </w:r>
      <w:r w:rsidR="005933B0">
        <w:t>8</w:t>
      </w:r>
      <w:r>
        <w:fldChar w:fldCharType="end"/>
      </w:r>
      <w:r>
        <w:t xml:space="preserve">: </w:t>
      </w:r>
      <w:r w:rsidRPr="009D2249">
        <w:t xml:space="preserve">Proposed </w:t>
      </w:r>
      <w:r w:rsidR="00D50CC1">
        <w:t>phase out</w:t>
      </w:r>
      <w:r w:rsidRPr="009D2249">
        <w:t xml:space="preserve"> of halogen and incandescent lamps</w:t>
      </w:r>
      <w:bookmarkEnd w:id="61"/>
    </w:p>
    <w:tbl>
      <w:tblPr>
        <w:tblW w:w="0" w:type="auto"/>
        <w:tblInd w:w="-8" w:type="dxa"/>
        <w:tblCellMar>
          <w:left w:w="0" w:type="dxa"/>
          <w:right w:w="0" w:type="dxa"/>
        </w:tblCellMar>
        <w:tblLook w:val="04A0" w:firstRow="1" w:lastRow="0" w:firstColumn="1" w:lastColumn="0" w:noHBand="0" w:noVBand="1"/>
      </w:tblPr>
      <w:tblGrid>
        <w:gridCol w:w="2416"/>
        <w:gridCol w:w="5528"/>
        <w:gridCol w:w="1094"/>
      </w:tblGrid>
      <w:tr w:rsidR="007359BF" w:rsidRPr="00A15CAE" w14:paraId="71A585AC" w14:textId="77777777" w:rsidTr="00E67E32">
        <w:trPr>
          <w:trHeight w:hRule="exact" w:val="721"/>
          <w:tblHeader/>
        </w:trPr>
        <w:tc>
          <w:tcPr>
            <w:tcW w:w="241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hideMark/>
          </w:tcPr>
          <w:p w14:paraId="0621F7D2" w14:textId="77777777" w:rsidR="007359BF" w:rsidRPr="00421346" w:rsidRDefault="007359BF" w:rsidP="006D77C1">
            <w:pPr>
              <w:spacing w:after="200" w:line="276" w:lineRule="auto"/>
              <w:rPr>
                <w:rFonts w:ascii="Calibri" w:eastAsia="Calibri" w:hAnsi="Calibri"/>
                <w:noProof w:val="0"/>
                <w:sz w:val="24"/>
              </w:rPr>
            </w:pPr>
            <w:r w:rsidRPr="00A15CAE">
              <w:rPr>
                <w:rFonts w:ascii="Calibri" w:eastAsia="Calibri" w:hAnsi="Calibri"/>
                <w:noProof w:val="0"/>
                <w:sz w:val="24"/>
              </w:rPr>
              <w:t> </w:t>
            </w:r>
            <w:r w:rsidRPr="00421346">
              <w:rPr>
                <w:rFonts w:ascii="Calibri" w:eastAsia="Calibri" w:hAnsi="Calibri"/>
                <w:b/>
                <w:bCs/>
                <w:noProof w:val="0"/>
                <w:sz w:val="24"/>
              </w:rPr>
              <w:t>Technology and/or type</w:t>
            </w:r>
          </w:p>
        </w:tc>
        <w:tc>
          <w:tcPr>
            <w:tcW w:w="5528" w:type="dxa"/>
            <w:tcBorders>
              <w:top w:val="single" w:sz="8" w:space="0" w:color="000000"/>
              <w:left w:val="nil"/>
              <w:bottom w:val="single" w:sz="8" w:space="0" w:color="000000"/>
              <w:right w:val="single" w:sz="8" w:space="0" w:color="000000"/>
            </w:tcBorders>
            <w:shd w:val="clear" w:color="auto" w:fill="D9D9D9" w:themeFill="background1" w:themeFillShade="D9"/>
            <w:hideMark/>
          </w:tcPr>
          <w:p w14:paraId="602CF11A" w14:textId="77777777" w:rsidR="007359BF" w:rsidRPr="00421346" w:rsidRDefault="007359BF" w:rsidP="006D77C1">
            <w:pPr>
              <w:spacing w:after="200" w:line="276" w:lineRule="auto"/>
              <w:rPr>
                <w:rFonts w:ascii="Calibri" w:eastAsia="Calibri" w:hAnsi="Calibri"/>
                <w:noProof w:val="0"/>
                <w:sz w:val="24"/>
              </w:rPr>
            </w:pPr>
            <w:r w:rsidRPr="00421346">
              <w:rPr>
                <w:rFonts w:ascii="Calibri" w:eastAsia="Calibri" w:hAnsi="Calibri"/>
                <w:b/>
                <w:bCs/>
                <w:noProof w:val="0"/>
                <w:sz w:val="24"/>
              </w:rPr>
              <w:t>Proposal</w:t>
            </w:r>
          </w:p>
        </w:tc>
        <w:tc>
          <w:tcPr>
            <w:tcW w:w="1094" w:type="dxa"/>
            <w:tcBorders>
              <w:top w:val="single" w:sz="8" w:space="0" w:color="000000"/>
              <w:left w:val="nil"/>
              <w:bottom w:val="single" w:sz="8" w:space="0" w:color="000000"/>
              <w:right w:val="single" w:sz="8" w:space="0" w:color="000000"/>
            </w:tcBorders>
            <w:shd w:val="clear" w:color="auto" w:fill="D9D9D9" w:themeFill="background1" w:themeFillShade="D9"/>
            <w:hideMark/>
          </w:tcPr>
          <w:p w14:paraId="372A6D07" w14:textId="77777777" w:rsidR="007359BF" w:rsidRPr="00A15CAE" w:rsidRDefault="007359BF" w:rsidP="006D77C1">
            <w:pPr>
              <w:spacing w:after="200" w:line="276" w:lineRule="auto"/>
              <w:rPr>
                <w:rFonts w:ascii="Calibri" w:eastAsia="Calibri" w:hAnsi="Calibri"/>
                <w:noProof w:val="0"/>
                <w:sz w:val="24"/>
              </w:rPr>
            </w:pPr>
            <w:r w:rsidRPr="00421346">
              <w:rPr>
                <w:rFonts w:ascii="Calibri" w:eastAsia="Calibri" w:hAnsi="Calibri"/>
                <w:b/>
                <w:bCs/>
                <w:noProof w:val="0"/>
                <w:sz w:val="24"/>
              </w:rPr>
              <w:t>Timing</w:t>
            </w:r>
          </w:p>
        </w:tc>
      </w:tr>
      <w:tr w:rsidR="007359BF" w:rsidRPr="00A15CAE" w14:paraId="4A27D92B" w14:textId="77777777" w:rsidTr="00E67E32">
        <w:trPr>
          <w:trHeight w:val="1074"/>
        </w:trPr>
        <w:tc>
          <w:tcPr>
            <w:tcW w:w="2416" w:type="dxa"/>
            <w:tcBorders>
              <w:top w:val="nil"/>
              <w:left w:val="single" w:sz="8" w:space="0" w:color="000000"/>
              <w:bottom w:val="single" w:sz="4" w:space="0" w:color="auto"/>
              <w:right w:val="single" w:sz="8" w:space="0" w:color="000000"/>
            </w:tcBorders>
            <w:hideMark/>
          </w:tcPr>
          <w:p w14:paraId="76061968" w14:textId="77777777" w:rsidR="007359BF" w:rsidRPr="00A15CAE" w:rsidRDefault="007359BF" w:rsidP="006D77C1">
            <w:pPr>
              <w:spacing w:after="200" w:line="276" w:lineRule="auto"/>
              <w:rPr>
                <w:rFonts w:ascii="Calibri" w:eastAsia="Calibri" w:hAnsi="Calibri"/>
                <w:noProof w:val="0"/>
                <w:sz w:val="24"/>
              </w:rPr>
            </w:pPr>
            <w:r>
              <w:rPr>
                <w:rFonts w:ascii="Calibri" w:eastAsia="Calibri" w:hAnsi="Calibri"/>
                <w:noProof w:val="0"/>
                <w:sz w:val="24"/>
              </w:rPr>
              <w:t xml:space="preserve">Tungsten incandescent and halogen </w:t>
            </w:r>
            <w:r w:rsidRPr="00A15CAE">
              <w:rPr>
                <w:rFonts w:ascii="Calibri" w:eastAsia="Calibri" w:hAnsi="Calibri"/>
                <w:noProof w:val="0"/>
                <w:sz w:val="24"/>
              </w:rPr>
              <w:t>Pilot lamps</w:t>
            </w:r>
          </w:p>
        </w:tc>
        <w:tc>
          <w:tcPr>
            <w:tcW w:w="5528" w:type="dxa"/>
            <w:tcBorders>
              <w:top w:val="nil"/>
              <w:left w:val="nil"/>
              <w:bottom w:val="single" w:sz="4" w:space="0" w:color="auto"/>
              <w:right w:val="single" w:sz="8" w:space="0" w:color="000000"/>
            </w:tcBorders>
            <w:hideMark/>
          </w:tcPr>
          <w:p w14:paraId="6309A9C8" w14:textId="77777777" w:rsidR="007359BF" w:rsidRPr="00A15CAE" w:rsidRDefault="007359BF" w:rsidP="006D77C1">
            <w:pPr>
              <w:spacing w:after="200" w:line="276" w:lineRule="auto"/>
              <w:rPr>
                <w:rFonts w:ascii="Calibri" w:eastAsia="Calibri" w:hAnsi="Calibri"/>
                <w:b/>
                <w:noProof w:val="0"/>
                <w:sz w:val="24"/>
              </w:rPr>
            </w:pPr>
            <w:r w:rsidRPr="00A15CAE">
              <w:rPr>
                <w:rFonts w:ascii="Calibri" w:eastAsia="Calibri" w:hAnsi="Calibri"/>
                <w:b/>
                <w:noProof w:val="0"/>
                <w:sz w:val="24"/>
              </w:rPr>
              <w:t>Greater or equal to 10w to be phased out in 2019</w:t>
            </w:r>
          </w:p>
          <w:p w14:paraId="04C3595E" w14:textId="75418FF5" w:rsidR="007359BF" w:rsidRPr="00A15CAE" w:rsidRDefault="007359BF" w:rsidP="006D77C1">
            <w:pPr>
              <w:spacing w:after="240" w:line="276" w:lineRule="auto"/>
              <w:rPr>
                <w:rFonts w:ascii="Calibri" w:eastAsia="Calibri" w:hAnsi="Calibri"/>
                <w:noProof w:val="0"/>
                <w:sz w:val="24"/>
              </w:rPr>
            </w:pPr>
          </w:p>
        </w:tc>
        <w:tc>
          <w:tcPr>
            <w:tcW w:w="1094" w:type="dxa"/>
            <w:tcBorders>
              <w:top w:val="nil"/>
              <w:left w:val="nil"/>
              <w:bottom w:val="single" w:sz="4" w:space="0" w:color="auto"/>
              <w:right w:val="single" w:sz="8" w:space="0" w:color="000000"/>
            </w:tcBorders>
            <w:hideMark/>
          </w:tcPr>
          <w:p w14:paraId="55481A5A" w14:textId="77777777" w:rsidR="007359BF" w:rsidRPr="00A15CAE" w:rsidRDefault="007359BF" w:rsidP="006D77C1">
            <w:pPr>
              <w:spacing w:after="200" w:line="276" w:lineRule="auto"/>
              <w:rPr>
                <w:rFonts w:ascii="Calibri" w:eastAsia="Calibri" w:hAnsi="Calibri"/>
                <w:noProof w:val="0"/>
                <w:sz w:val="24"/>
              </w:rPr>
            </w:pPr>
            <w:r w:rsidRPr="00A15CAE">
              <w:rPr>
                <w:rFonts w:ascii="Calibri" w:eastAsia="Calibri" w:hAnsi="Calibri"/>
                <w:noProof w:val="0"/>
                <w:sz w:val="24"/>
              </w:rPr>
              <w:t>2019</w:t>
            </w:r>
          </w:p>
        </w:tc>
      </w:tr>
      <w:tr w:rsidR="007359BF" w:rsidRPr="00A15CAE" w14:paraId="665B87B9" w14:textId="77777777" w:rsidTr="00E67E32">
        <w:trPr>
          <w:trHeight w:val="2029"/>
        </w:trPr>
        <w:tc>
          <w:tcPr>
            <w:tcW w:w="2416" w:type="dxa"/>
            <w:tcBorders>
              <w:top w:val="single" w:sz="4" w:space="0" w:color="auto"/>
              <w:left w:val="single" w:sz="4" w:space="0" w:color="auto"/>
              <w:bottom w:val="single" w:sz="4" w:space="0" w:color="auto"/>
              <w:right w:val="single" w:sz="4" w:space="0" w:color="auto"/>
            </w:tcBorders>
            <w:hideMark/>
          </w:tcPr>
          <w:p w14:paraId="75C324BA" w14:textId="77777777" w:rsidR="007359BF" w:rsidRPr="00A15CAE" w:rsidRDefault="007359BF" w:rsidP="006D77C1">
            <w:pPr>
              <w:spacing w:after="200" w:line="276" w:lineRule="auto"/>
              <w:rPr>
                <w:rFonts w:ascii="Calibri" w:eastAsia="Calibri" w:hAnsi="Calibri"/>
                <w:noProof w:val="0"/>
                <w:sz w:val="24"/>
              </w:rPr>
            </w:pPr>
            <w:r>
              <w:rPr>
                <w:rFonts w:ascii="Calibri" w:eastAsia="Calibri" w:hAnsi="Calibri"/>
                <w:noProof w:val="0"/>
                <w:sz w:val="24"/>
              </w:rPr>
              <w:t xml:space="preserve">Tungsten </w:t>
            </w:r>
            <w:r w:rsidRPr="00A15CAE">
              <w:rPr>
                <w:rFonts w:ascii="Calibri" w:eastAsia="Calibri" w:hAnsi="Calibri"/>
                <w:noProof w:val="0"/>
                <w:sz w:val="24"/>
              </w:rPr>
              <w:t>Incandescent </w:t>
            </w:r>
            <w:r>
              <w:rPr>
                <w:rFonts w:ascii="Calibri" w:eastAsia="Calibri" w:hAnsi="Calibri"/>
                <w:noProof w:val="0"/>
                <w:sz w:val="24"/>
              </w:rPr>
              <w:t>and halogen</w:t>
            </w:r>
            <w:r w:rsidRPr="00A15CAE">
              <w:rPr>
                <w:rFonts w:ascii="Calibri" w:eastAsia="Calibri" w:hAnsi="Calibri"/>
                <w:noProof w:val="0"/>
                <w:sz w:val="24"/>
              </w:rPr>
              <w:t xml:space="preserve"> lamps 25W and below (candle, fancy round decorative)</w:t>
            </w:r>
            <w:r>
              <w:rPr>
                <w:rStyle w:val="FootnoteReference"/>
                <w:rFonts w:ascii="Calibri" w:eastAsia="Calibri" w:hAnsi="Calibri"/>
                <w:noProof w:val="0"/>
                <w:sz w:val="24"/>
              </w:rPr>
              <w:footnoteReference w:id="11"/>
            </w:r>
          </w:p>
          <w:p w14:paraId="5A64F92B" w14:textId="77777777" w:rsidR="007359BF" w:rsidRPr="00A15CAE" w:rsidRDefault="007359BF" w:rsidP="006D77C1">
            <w:pPr>
              <w:spacing w:after="200" w:line="276" w:lineRule="auto"/>
              <w:rPr>
                <w:rFonts w:ascii="Calibri" w:eastAsia="Calibri" w:hAnsi="Calibri"/>
                <w:noProof w:val="0"/>
                <w:sz w:val="24"/>
              </w:rPr>
            </w:pPr>
            <w:r w:rsidRPr="00A15CAE">
              <w:rPr>
                <w:rFonts w:ascii="Calibri" w:eastAsia="Calibri" w:hAnsi="Calibri"/>
                <w:noProof w:val="0"/>
                <w:sz w:val="24"/>
              </w:rPr>
              <w:t>(Class 3,4,5)</w:t>
            </w:r>
          </w:p>
          <w:p w14:paraId="6EB7BB5D" w14:textId="77777777" w:rsidR="007359BF" w:rsidRPr="00A15CAE" w:rsidRDefault="007359BF" w:rsidP="006D77C1">
            <w:pPr>
              <w:spacing w:after="200" w:line="276" w:lineRule="auto"/>
              <w:rPr>
                <w:rFonts w:ascii="Calibri" w:eastAsia="Calibri" w:hAnsi="Calibri"/>
                <w:noProof w:val="0"/>
                <w:sz w:val="24"/>
              </w:rPr>
            </w:pPr>
            <w:r w:rsidRPr="00A15CAE">
              <w:rPr>
                <w:rFonts w:ascii="Calibri" w:eastAsia="Calibri" w:hAnsi="Calibri"/>
                <w:noProof w:val="0"/>
                <w:sz w:val="24"/>
              </w:rPr>
              <w:t>Caps: E14, E26, E27, B15 or B22d</w:t>
            </w:r>
          </w:p>
        </w:tc>
        <w:tc>
          <w:tcPr>
            <w:tcW w:w="5528" w:type="dxa"/>
            <w:tcBorders>
              <w:top w:val="single" w:sz="4" w:space="0" w:color="auto"/>
              <w:left w:val="single" w:sz="4" w:space="0" w:color="auto"/>
              <w:bottom w:val="single" w:sz="4" w:space="0" w:color="auto"/>
              <w:right w:val="single" w:sz="4" w:space="0" w:color="auto"/>
            </w:tcBorders>
            <w:hideMark/>
          </w:tcPr>
          <w:p w14:paraId="199BC956" w14:textId="77777777" w:rsidR="007359BF" w:rsidRPr="00A15CAE" w:rsidRDefault="007359BF" w:rsidP="006D77C1">
            <w:pPr>
              <w:spacing w:after="200" w:line="276" w:lineRule="auto"/>
              <w:rPr>
                <w:rFonts w:ascii="Calibri" w:eastAsia="Calibri" w:hAnsi="Calibri"/>
                <w:b/>
                <w:noProof w:val="0"/>
                <w:sz w:val="24"/>
              </w:rPr>
            </w:pPr>
            <w:r w:rsidRPr="00A15CAE">
              <w:rPr>
                <w:rFonts w:ascii="Calibri" w:eastAsia="Calibri" w:hAnsi="Calibri"/>
                <w:b/>
                <w:noProof w:val="0"/>
                <w:sz w:val="24"/>
              </w:rPr>
              <w:t>Greater or equal to 10w to be phased out</w:t>
            </w:r>
          </w:p>
          <w:p w14:paraId="0887A71C" w14:textId="030A5FA5" w:rsidR="007359BF" w:rsidRPr="00A15CAE" w:rsidRDefault="007359BF" w:rsidP="006D77C1">
            <w:pPr>
              <w:spacing w:after="200" w:line="276" w:lineRule="auto"/>
              <w:rPr>
                <w:rFonts w:ascii="Calibri" w:eastAsia="Calibri" w:hAnsi="Calibri"/>
                <w:noProof w:val="0"/>
                <w:sz w:val="24"/>
              </w:rPr>
            </w:pPr>
          </w:p>
        </w:tc>
        <w:tc>
          <w:tcPr>
            <w:tcW w:w="1094" w:type="dxa"/>
            <w:tcBorders>
              <w:top w:val="single" w:sz="4" w:space="0" w:color="auto"/>
              <w:left w:val="single" w:sz="4" w:space="0" w:color="auto"/>
              <w:bottom w:val="single" w:sz="4" w:space="0" w:color="auto"/>
              <w:right w:val="single" w:sz="4" w:space="0" w:color="auto"/>
            </w:tcBorders>
            <w:hideMark/>
          </w:tcPr>
          <w:p w14:paraId="57229FDB" w14:textId="77777777" w:rsidR="007359BF" w:rsidRPr="00A15CAE" w:rsidRDefault="007359BF" w:rsidP="006D77C1">
            <w:pPr>
              <w:spacing w:after="200" w:line="276" w:lineRule="auto"/>
              <w:rPr>
                <w:rFonts w:ascii="Calibri" w:eastAsia="Calibri" w:hAnsi="Calibri"/>
                <w:noProof w:val="0"/>
                <w:sz w:val="24"/>
              </w:rPr>
            </w:pPr>
            <w:r w:rsidRPr="00A15CAE">
              <w:rPr>
                <w:rFonts w:ascii="Calibri" w:eastAsia="Calibri" w:hAnsi="Calibri"/>
                <w:noProof w:val="0"/>
                <w:sz w:val="24"/>
              </w:rPr>
              <w:t>2019</w:t>
            </w:r>
          </w:p>
        </w:tc>
      </w:tr>
      <w:tr w:rsidR="0010791E" w:rsidRPr="00A15CAE" w14:paraId="26462A78" w14:textId="77777777" w:rsidTr="00E67E32">
        <w:trPr>
          <w:trHeight w:val="2029"/>
        </w:trPr>
        <w:tc>
          <w:tcPr>
            <w:tcW w:w="2416" w:type="dxa"/>
            <w:tcBorders>
              <w:top w:val="single" w:sz="4" w:space="0" w:color="auto"/>
              <w:left w:val="single" w:sz="4" w:space="0" w:color="auto"/>
              <w:bottom w:val="single" w:sz="4" w:space="0" w:color="auto"/>
              <w:right w:val="single" w:sz="4" w:space="0" w:color="auto"/>
            </w:tcBorders>
          </w:tcPr>
          <w:p w14:paraId="1130D53B" w14:textId="77777777" w:rsidR="0010791E" w:rsidRPr="00A15CAE" w:rsidRDefault="0010791E" w:rsidP="0010791E">
            <w:pPr>
              <w:spacing w:after="200" w:line="276" w:lineRule="auto"/>
              <w:rPr>
                <w:rFonts w:ascii="Calibri" w:eastAsia="Calibri" w:hAnsi="Calibri"/>
                <w:noProof w:val="0"/>
                <w:sz w:val="24"/>
              </w:rPr>
            </w:pPr>
            <w:r w:rsidRPr="00A15CAE">
              <w:rPr>
                <w:rFonts w:ascii="Calibri" w:eastAsia="Calibri" w:hAnsi="Calibri"/>
                <w:noProof w:val="0"/>
                <w:sz w:val="24"/>
              </w:rPr>
              <w:t xml:space="preserve">Mains voltage </w:t>
            </w:r>
            <w:r>
              <w:rPr>
                <w:rFonts w:ascii="Calibri" w:eastAsia="Calibri" w:hAnsi="Calibri"/>
                <w:noProof w:val="0"/>
                <w:sz w:val="24"/>
              </w:rPr>
              <w:t xml:space="preserve">Tungsten </w:t>
            </w:r>
            <w:r w:rsidRPr="00A15CAE">
              <w:rPr>
                <w:rFonts w:ascii="Calibri" w:eastAsia="Calibri" w:hAnsi="Calibri"/>
                <w:noProof w:val="0"/>
                <w:sz w:val="24"/>
              </w:rPr>
              <w:t xml:space="preserve">Incandescent  </w:t>
            </w:r>
            <w:r>
              <w:rPr>
                <w:rFonts w:ascii="Calibri" w:eastAsia="Calibri" w:hAnsi="Calibri"/>
                <w:noProof w:val="0"/>
                <w:sz w:val="24"/>
              </w:rPr>
              <w:t xml:space="preserve"> and </w:t>
            </w:r>
            <w:r w:rsidRPr="00A15CAE">
              <w:rPr>
                <w:rFonts w:ascii="Calibri" w:eastAsia="Calibri" w:hAnsi="Calibri"/>
                <w:noProof w:val="0"/>
                <w:sz w:val="24"/>
              </w:rPr>
              <w:t>halogen non-reflector (class 6)</w:t>
            </w:r>
          </w:p>
          <w:p w14:paraId="7796150F" w14:textId="1970E2C5" w:rsidR="0010791E" w:rsidRDefault="0010791E" w:rsidP="006D77C1">
            <w:pPr>
              <w:spacing w:after="200" w:line="276" w:lineRule="auto"/>
              <w:rPr>
                <w:rFonts w:ascii="Calibri" w:eastAsia="Calibri" w:hAnsi="Calibri"/>
                <w:noProof w:val="0"/>
                <w:sz w:val="24"/>
              </w:rPr>
            </w:pPr>
            <w:r w:rsidRPr="00A15CAE">
              <w:rPr>
                <w:rFonts w:ascii="Calibri" w:eastAsia="Calibri" w:hAnsi="Calibri"/>
                <w:noProof w:val="0"/>
                <w:sz w:val="24"/>
              </w:rPr>
              <w:t>Caps: E14, E26, E27, B15 or B22d</w:t>
            </w:r>
          </w:p>
        </w:tc>
        <w:tc>
          <w:tcPr>
            <w:tcW w:w="5528" w:type="dxa"/>
            <w:tcBorders>
              <w:top w:val="single" w:sz="4" w:space="0" w:color="auto"/>
              <w:left w:val="single" w:sz="4" w:space="0" w:color="auto"/>
              <w:bottom w:val="single" w:sz="4" w:space="0" w:color="auto"/>
              <w:right w:val="single" w:sz="4" w:space="0" w:color="auto"/>
            </w:tcBorders>
          </w:tcPr>
          <w:p w14:paraId="1AB86B19" w14:textId="77777777" w:rsidR="0010791E" w:rsidRPr="00A15CAE" w:rsidRDefault="0010791E" w:rsidP="0010791E">
            <w:pPr>
              <w:spacing w:after="200" w:line="276" w:lineRule="auto"/>
              <w:rPr>
                <w:rFonts w:ascii="Calibri" w:eastAsia="Calibri" w:hAnsi="Calibri"/>
                <w:b/>
                <w:noProof w:val="0"/>
                <w:sz w:val="24"/>
              </w:rPr>
            </w:pPr>
            <w:r>
              <w:rPr>
                <w:rFonts w:ascii="Calibri" w:eastAsia="Calibri" w:hAnsi="Calibri"/>
                <w:b/>
                <w:noProof w:val="0"/>
                <w:sz w:val="24"/>
              </w:rPr>
              <w:t>All t</w:t>
            </w:r>
            <w:r w:rsidRPr="00A15CAE">
              <w:rPr>
                <w:rFonts w:ascii="Calibri" w:eastAsia="Calibri" w:hAnsi="Calibri"/>
                <w:b/>
                <w:noProof w:val="0"/>
                <w:sz w:val="24"/>
              </w:rPr>
              <w:t>o be phased out in 2019</w:t>
            </w:r>
          </w:p>
          <w:p w14:paraId="53B2D9FB" w14:textId="77777777" w:rsidR="0010791E" w:rsidRPr="00A15CAE" w:rsidRDefault="0010791E" w:rsidP="006D77C1">
            <w:pPr>
              <w:spacing w:after="200" w:line="276" w:lineRule="auto"/>
              <w:rPr>
                <w:rFonts w:ascii="Calibri" w:eastAsia="Calibri" w:hAnsi="Calibri"/>
                <w:b/>
                <w:noProof w:val="0"/>
                <w:sz w:val="24"/>
              </w:rPr>
            </w:pPr>
          </w:p>
        </w:tc>
        <w:tc>
          <w:tcPr>
            <w:tcW w:w="1094" w:type="dxa"/>
            <w:tcBorders>
              <w:top w:val="single" w:sz="4" w:space="0" w:color="auto"/>
              <w:left w:val="single" w:sz="4" w:space="0" w:color="auto"/>
              <w:bottom w:val="single" w:sz="4" w:space="0" w:color="auto"/>
              <w:right w:val="single" w:sz="4" w:space="0" w:color="auto"/>
            </w:tcBorders>
          </w:tcPr>
          <w:p w14:paraId="0F616401" w14:textId="2FF15528" w:rsidR="0010791E" w:rsidRPr="00A15CAE" w:rsidRDefault="0010791E" w:rsidP="006D77C1">
            <w:pPr>
              <w:spacing w:after="200" w:line="276" w:lineRule="auto"/>
              <w:rPr>
                <w:rFonts w:ascii="Calibri" w:eastAsia="Calibri" w:hAnsi="Calibri"/>
                <w:noProof w:val="0"/>
                <w:sz w:val="24"/>
              </w:rPr>
            </w:pPr>
            <w:r w:rsidRPr="00A15CAE">
              <w:rPr>
                <w:rFonts w:ascii="Calibri" w:eastAsia="Calibri" w:hAnsi="Calibri"/>
                <w:noProof w:val="0"/>
                <w:sz w:val="24"/>
              </w:rPr>
              <w:t>2019</w:t>
            </w:r>
          </w:p>
        </w:tc>
      </w:tr>
      <w:tr w:rsidR="0010791E" w:rsidRPr="00A15CAE" w14:paraId="4E95E381" w14:textId="77777777" w:rsidTr="00E67E32">
        <w:trPr>
          <w:trHeight w:val="2029"/>
        </w:trPr>
        <w:tc>
          <w:tcPr>
            <w:tcW w:w="2416" w:type="dxa"/>
            <w:tcBorders>
              <w:top w:val="single" w:sz="4" w:space="0" w:color="auto"/>
              <w:left w:val="single" w:sz="4" w:space="0" w:color="auto"/>
              <w:bottom w:val="single" w:sz="4" w:space="0" w:color="auto"/>
              <w:right w:val="single" w:sz="4" w:space="0" w:color="auto"/>
            </w:tcBorders>
          </w:tcPr>
          <w:p w14:paraId="756903E6" w14:textId="77777777" w:rsidR="0010791E" w:rsidRPr="00A15CAE" w:rsidRDefault="0010791E" w:rsidP="0010791E">
            <w:pPr>
              <w:spacing w:after="200" w:line="276" w:lineRule="auto"/>
              <w:rPr>
                <w:rFonts w:ascii="Calibri" w:eastAsia="Calibri" w:hAnsi="Calibri"/>
                <w:noProof w:val="0"/>
                <w:sz w:val="24"/>
              </w:rPr>
            </w:pPr>
            <w:r w:rsidRPr="00A15CAE">
              <w:rPr>
                <w:rFonts w:ascii="Calibri" w:eastAsia="Calibri" w:hAnsi="Calibri"/>
                <w:noProof w:val="0"/>
                <w:sz w:val="24"/>
              </w:rPr>
              <w:t>Mains voltage halogen capsules</w:t>
            </w:r>
          </w:p>
          <w:p w14:paraId="402B609F" w14:textId="58C79520" w:rsidR="0010791E" w:rsidRDefault="0010791E" w:rsidP="0010791E">
            <w:pPr>
              <w:spacing w:after="200" w:line="276" w:lineRule="auto"/>
              <w:rPr>
                <w:rFonts w:ascii="Calibri" w:eastAsia="Calibri" w:hAnsi="Calibri"/>
                <w:noProof w:val="0"/>
                <w:sz w:val="24"/>
              </w:rPr>
            </w:pPr>
            <w:r w:rsidRPr="00A15CAE">
              <w:rPr>
                <w:rFonts w:ascii="Calibri" w:eastAsia="Calibri" w:hAnsi="Calibri"/>
                <w:noProof w:val="0"/>
                <w:sz w:val="24"/>
              </w:rPr>
              <w:t>Caps: G9 bi-pin</w:t>
            </w:r>
          </w:p>
        </w:tc>
        <w:tc>
          <w:tcPr>
            <w:tcW w:w="5528" w:type="dxa"/>
            <w:tcBorders>
              <w:top w:val="single" w:sz="4" w:space="0" w:color="auto"/>
              <w:left w:val="single" w:sz="4" w:space="0" w:color="auto"/>
              <w:bottom w:val="single" w:sz="4" w:space="0" w:color="auto"/>
              <w:right w:val="single" w:sz="4" w:space="0" w:color="auto"/>
            </w:tcBorders>
          </w:tcPr>
          <w:p w14:paraId="7BB0CF27" w14:textId="77777777" w:rsidR="0010791E" w:rsidRPr="00A15CAE" w:rsidRDefault="0010791E" w:rsidP="0010791E">
            <w:pPr>
              <w:spacing w:after="200" w:line="276" w:lineRule="auto"/>
              <w:rPr>
                <w:rFonts w:ascii="Calibri" w:eastAsia="Calibri" w:hAnsi="Calibri"/>
                <w:b/>
                <w:noProof w:val="0"/>
                <w:sz w:val="24"/>
              </w:rPr>
            </w:pPr>
            <w:r>
              <w:rPr>
                <w:rFonts w:ascii="Calibri" w:eastAsia="Calibri" w:hAnsi="Calibri"/>
                <w:b/>
                <w:noProof w:val="0"/>
                <w:sz w:val="24"/>
              </w:rPr>
              <w:t>All</w:t>
            </w:r>
            <w:r w:rsidRPr="00A15CAE">
              <w:rPr>
                <w:rFonts w:ascii="Calibri" w:eastAsia="Calibri" w:hAnsi="Calibri"/>
                <w:b/>
                <w:noProof w:val="0"/>
                <w:sz w:val="24"/>
              </w:rPr>
              <w:t xml:space="preserve"> to be phased out in 2019</w:t>
            </w:r>
          </w:p>
          <w:p w14:paraId="5B268642" w14:textId="77777777" w:rsidR="0010791E" w:rsidRPr="00A15CAE" w:rsidRDefault="0010791E" w:rsidP="0010791E">
            <w:pPr>
              <w:spacing w:after="200" w:line="276" w:lineRule="auto"/>
              <w:rPr>
                <w:rFonts w:ascii="Calibri" w:eastAsia="Calibri" w:hAnsi="Calibri"/>
                <w:b/>
                <w:noProof w:val="0"/>
                <w:sz w:val="24"/>
              </w:rPr>
            </w:pPr>
          </w:p>
        </w:tc>
        <w:tc>
          <w:tcPr>
            <w:tcW w:w="1094" w:type="dxa"/>
            <w:tcBorders>
              <w:top w:val="single" w:sz="4" w:space="0" w:color="auto"/>
              <w:left w:val="single" w:sz="4" w:space="0" w:color="auto"/>
              <w:bottom w:val="single" w:sz="4" w:space="0" w:color="auto"/>
              <w:right w:val="single" w:sz="4" w:space="0" w:color="auto"/>
            </w:tcBorders>
          </w:tcPr>
          <w:p w14:paraId="6FF96B4A" w14:textId="53D736C6" w:rsidR="0010791E" w:rsidRPr="00A15CAE" w:rsidRDefault="0010791E" w:rsidP="0010791E">
            <w:pPr>
              <w:spacing w:after="200" w:line="276" w:lineRule="auto"/>
              <w:rPr>
                <w:rFonts w:ascii="Calibri" w:eastAsia="Calibri" w:hAnsi="Calibri"/>
                <w:noProof w:val="0"/>
                <w:sz w:val="24"/>
              </w:rPr>
            </w:pPr>
            <w:r w:rsidRPr="00A15CAE">
              <w:rPr>
                <w:rFonts w:ascii="Calibri" w:eastAsia="Calibri" w:hAnsi="Calibri"/>
                <w:noProof w:val="0"/>
                <w:sz w:val="24"/>
              </w:rPr>
              <w:t>2019</w:t>
            </w:r>
          </w:p>
        </w:tc>
      </w:tr>
      <w:tr w:rsidR="0010791E" w:rsidRPr="00A15CAE" w14:paraId="6B5FB2B6" w14:textId="77777777" w:rsidTr="00E67E32">
        <w:trPr>
          <w:trHeight w:val="2029"/>
        </w:trPr>
        <w:tc>
          <w:tcPr>
            <w:tcW w:w="2416" w:type="dxa"/>
            <w:tcBorders>
              <w:top w:val="single" w:sz="4" w:space="0" w:color="auto"/>
              <w:left w:val="single" w:sz="4" w:space="0" w:color="auto"/>
              <w:bottom w:val="single" w:sz="4" w:space="0" w:color="auto"/>
              <w:right w:val="single" w:sz="4" w:space="0" w:color="auto"/>
            </w:tcBorders>
          </w:tcPr>
          <w:p w14:paraId="4B4EA16F" w14:textId="77777777" w:rsidR="0010791E" w:rsidRPr="00A15CAE" w:rsidRDefault="0010791E" w:rsidP="0010791E">
            <w:pPr>
              <w:spacing w:after="200" w:line="276" w:lineRule="auto"/>
              <w:rPr>
                <w:rFonts w:ascii="Calibri" w:eastAsia="Calibri" w:hAnsi="Calibri"/>
                <w:noProof w:val="0"/>
                <w:sz w:val="24"/>
              </w:rPr>
            </w:pPr>
            <w:r w:rsidRPr="00A15CAE">
              <w:rPr>
                <w:rFonts w:ascii="Calibri" w:eastAsia="Calibri" w:hAnsi="Calibri"/>
                <w:noProof w:val="0"/>
                <w:sz w:val="24"/>
              </w:rPr>
              <w:t xml:space="preserve">Mains voltage halogen non-reflector </w:t>
            </w:r>
          </w:p>
          <w:p w14:paraId="1400BD6E" w14:textId="229406BB" w:rsidR="0010791E" w:rsidRDefault="0010791E" w:rsidP="0010791E">
            <w:pPr>
              <w:spacing w:after="200" w:line="276" w:lineRule="auto"/>
              <w:rPr>
                <w:rFonts w:ascii="Calibri" w:eastAsia="Calibri" w:hAnsi="Calibri"/>
                <w:noProof w:val="0"/>
                <w:sz w:val="24"/>
              </w:rPr>
            </w:pPr>
            <w:r w:rsidRPr="00A15CAE">
              <w:rPr>
                <w:rFonts w:ascii="Calibri" w:eastAsia="Calibri" w:hAnsi="Calibri"/>
                <w:noProof w:val="0"/>
                <w:sz w:val="24"/>
              </w:rPr>
              <w:t>Caps: double ended linear R7 (currently unregulated)</w:t>
            </w:r>
          </w:p>
        </w:tc>
        <w:tc>
          <w:tcPr>
            <w:tcW w:w="5528" w:type="dxa"/>
            <w:tcBorders>
              <w:top w:val="single" w:sz="4" w:space="0" w:color="auto"/>
              <w:left w:val="single" w:sz="4" w:space="0" w:color="auto"/>
              <w:bottom w:val="single" w:sz="4" w:space="0" w:color="auto"/>
              <w:right w:val="single" w:sz="4" w:space="0" w:color="auto"/>
            </w:tcBorders>
          </w:tcPr>
          <w:p w14:paraId="23D2F187" w14:textId="77777777" w:rsidR="0010791E" w:rsidRPr="00A15CAE" w:rsidRDefault="0010791E" w:rsidP="0010791E">
            <w:pPr>
              <w:spacing w:after="200" w:line="276" w:lineRule="auto"/>
              <w:rPr>
                <w:rFonts w:ascii="Calibri" w:eastAsia="Calibri" w:hAnsi="Calibri"/>
                <w:noProof w:val="0"/>
                <w:sz w:val="24"/>
                <w:lang w:val="en-GB"/>
              </w:rPr>
            </w:pPr>
            <w:r w:rsidRPr="00A15CAE">
              <w:rPr>
                <w:rFonts w:ascii="Calibri" w:eastAsia="Calibri" w:hAnsi="Calibri"/>
                <w:b/>
                <w:noProof w:val="0"/>
                <w:sz w:val="24"/>
                <w:lang w:val="en-GB"/>
              </w:rPr>
              <w:t>R7 cap lamps exempt until 2020.</w:t>
            </w:r>
            <w:r w:rsidRPr="00A15CAE">
              <w:rPr>
                <w:rFonts w:ascii="Calibri" w:eastAsia="Calibri" w:hAnsi="Calibri"/>
                <w:noProof w:val="0"/>
                <w:sz w:val="24"/>
                <w:lang w:val="en-GB"/>
              </w:rPr>
              <w:t xml:space="preserve">  At this time, this lamp type will be included in the </w:t>
            </w:r>
            <w:r>
              <w:rPr>
                <w:rFonts w:ascii="Calibri" w:eastAsia="Calibri" w:hAnsi="Calibri"/>
                <w:noProof w:val="0"/>
                <w:sz w:val="24"/>
                <w:lang w:val="en-GB"/>
              </w:rPr>
              <w:t>phase out</w:t>
            </w:r>
            <w:r w:rsidRPr="00A15CAE">
              <w:rPr>
                <w:rFonts w:ascii="Calibri" w:eastAsia="Calibri" w:hAnsi="Calibri"/>
                <w:noProof w:val="0"/>
                <w:sz w:val="24"/>
                <w:lang w:val="en-GB"/>
              </w:rPr>
              <w:t xml:space="preserve"> scope, unless testing of the market explicitly reveals that LED replacement options are still not suitable (or other valid reason for continuing the exemption exists).</w:t>
            </w:r>
          </w:p>
          <w:p w14:paraId="6E88875B" w14:textId="77777777" w:rsidR="0010791E" w:rsidRPr="00A15CAE" w:rsidRDefault="0010791E" w:rsidP="0010791E">
            <w:pPr>
              <w:spacing w:after="200" w:line="276" w:lineRule="auto"/>
              <w:rPr>
                <w:rFonts w:ascii="Calibri" w:eastAsia="Calibri" w:hAnsi="Calibri"/>
                <w:noProof w:val="0"/>
                <w:sz w:val="24"/>
                <w:lang w:val="en-GB"/>
              </w:rPr>
            </w:pPr>
            <w:r w:rsidRPr="00A15CAE">
              <w:rPr>
                <w:rFonts w:ascii="Calibri" w:eastAsia="Calibri" w:hAnsi="Calibri"/>
                <w:b/>
                <w:noProof w:val="0"/>
                <w:sz w:val="24"/>
                <w:lang w:val="en-GB"/>
              </w:rPr>
              <w:t>Justification</w:t>
            </w:r>
            <w:r w:rsidRPr="00A15CAE">
              <w:rPr>
                <w:rFonts w:ascii="Calibri" w:eastAsia="Calibri" w:hAnsi="Calibri"/>
                <w:noProof w:val="0"/>
                <w:sz w:val="24"/>
                <w:lang w:val="en-GB"/>
              </w:rPr>
              <w:t>:</w:t>
            </w:r>
          </w:p>
          <w:p w14:paraId="06BD9A8F" w14:textId="77777777" w:rsidR="0010791E" w:rsidRPr="00A15CAE" w:rsidRDefault="0010791E" w:rsidP="0010791E">
            <w:pPr>
              <w:spacing w:before="120" w:after="120" w:line="240" w:lineRule="auto"/>
              <w:contextualSpacing/>
              <w:rPr>
                <w:rFonts w:ascii="Calibri" w:eastAsia="Calibri" w:hAnsi="Calibri"/>
                <w:noProof w:val="0"/>
                <w:sz w:val="24"/>
                <w:lang w:val="en-GB"/>
              </w:rPr>
            </w:pPr>
            <w:r w:rsidRPr="00A15CAE">
              <w:rPr>
                <w:rFonts w:ascii="Calibri" w:eastAsia="Calibri" w:hAnsi="Calibri"/>
                <w:noProof w:val="0"/>
                <w:sz w:val="24"/>
                <w:lang w:val="en-GB"/>
              </w:rPr>
              <w:t>LED replacements currently do not emit enough light and/or are too bulky to fit inside conventional halogen floodlights.</w:t>
            </w:r>
          </w:p>
          <w:p w14:paraId="32DF1407" w14:textId="77777777" w:rsidR="0010791E" w:rsidRPr="00A15CAE" w:rsidRDefault="0010791E" w:rsidP="0010791E">
            <w:pPr>
              <w:spacing w:before="120" w:after="120" w:line="240" w:lineRule="auto"/>
              <w:contextualSpacing/>
              <w:rPr>
                <w:rFonts w:ascii="Calibri" w:eastAsia="Calibri" w:hAnsi="Calibri"/>
                <w:noProof w:val="0"/>
                <w:sz w:val="24"/>
                <w:lang w:val="en-GB"/>
              </w:rPr>
            </w:pPr>
          </w:p>
          <w:p w14:paraId="33100D3C" w14:textId="77777777" w:rsidR="0010791E" w:rsidRPr="00A15CAE" w:rsidRDefault="0010791E" w:rsidP="0010791E">
            <w:pPr>
              <w:spacing w:before="120" w:after="120" w:line="240" w:lineRule="auto"/>
              <w:contextualSpacing/>
              <w:rPr>
                <w:rFonts w:ascii="Calibri" w:eastAsia="Calibri" w:hAnsi="Calibri"/>
                <w:noProof w:val="0"/>
                <w:sz w:val="24"/>
                <w:lang w:val="en-GB"/>
              </w:rPr>
            </w:pPr>
            <w:r w:rsidRPr="00A15CAE">
              <w:rPr>
                <w:rFonts w:ascii="Calibri" w:eastAsia="Calibri" w:hAnsi="Calibri"/>
                <w:noProof w:val="0"/>
                <w:sz w:val="24"/>
                <w:lang w:val="en-GB"/>
              </w:rPr>
              <w:t>This type of floodlight has a shrinking penetration, in favour of integrated LED floodlights.</w:t>
            </w:r>
          </w:p>
          <w:p w14:paraId="09D89596" w14:textId="77777777" w:rsidR="0010791E" w:rsidRPr="00A15CAE" w:rsidRDefault="0010791E" w:rsidP="0010791E">
            <w:pPr>
              <w:spacing w:before="120" w:after="120" w:line="240" w:lineRule="auto"/>
              <w:contextualSpacing/>
              <w:rPr>
                <w:rFonts w:ascii="Calibri" w:eastAsia="Calibri" w:hAnsi="Calibri"/>
                <w:noProof w:val="0"/>
                <w:sz w:val="24"/>
                <w:lang w:val="en-GB"/>
              </w:rPr>
            </w:pPr>
          </w:p>
          <w:p w14:paraId="54EF465A" w14:textId="77777777" w:rsidR="0010791E" w:rsidRPr="00A15CAE" w:rsidRDefault="0010791E" w:rsidP="0010791E">
            <w:pPr>
              <w:spacing w:before="120" w:after="120" w:line="240" w:lineRule="auto"/>
              <w:contextualSpacing/>
              <w:rPr>
                <w:rFonts w:ascii="Calibri" w:eastAsia="Calibri" w:hAnsi="Calibri"/>
                <w:noProof w:val="0"/>
                <w:sz w:val="24"/>
                <w:lang w:val="en-GB"/>
              </w:rPr>
            </w:pPr>
            <w:r w:rsidRPr="00A15CAE">
              <w:rPr>
                <w:rFonts w:ascii="Calibri" w:eastAsia="Calibri" w:hAnsi="Calibri"/>
                <w:noProof w:val="0"/>
                <w:sz w:val="24"/>
                <w:lang w:val="en-GB"/>
              </w:rPr>
              <w:t>This type of floodlight has perceived limited operating hours (e.g. used for backyard barbeques, etc.)</w:t>
            </w:r>
          </w:p>
          <w:p w14:paraId="7A6AC0A3" w14:textId="77777777" w:rsidR="0010791E" w:rsidRPr="00A15CAE" w:rsidRDefault="0010791E" w:rsidP="0010791E">
            <w:pPr>
              <w:spacing w:before="120" w:after="120" w:line="240" w:lineRule="auto"/>
              <w:contextualSpacing/>
              <w:rPr>
                <w:rFonts w:ascii="Calibri" w:eastAsia="Calibri" w:hAnsi="Calibri"/>
                <w:noProof w:val="0"/>
                <w:sz w:val="24"/>
                <w:lang w:val="en-GB"/>
              </w:rPr>
            </w:pPr>
          </w:p>
          <w:p w14:paraId="7B6FD5D0" w14:textId="77777777" w:rsidR="0010791E" w:rsidRPr="00A15CAE" w:rsidRDefault="0010791E" w:rsidP="0010791E">
            <w:pPr>
              <w:spacing w:after="200" w:line="276" w:lineRule="auto"/>
              <w:rPr>
                <w:rFonts w:ascii="Calibri" w:eastAsia="Calibri" w:hAnsi="Calibri"/>
                <w:b/>
                <w:noProof w:val="0"/>
                <w:sz w:val="24"/>
              </w:rPr>
            </w:pPr>
          </w:p>
        </w:tc>
        <w:tc>
          <w:tcPr>
            <w:tcW w:w="1094" w:type="dxa"/>
            <w:tcBorders>
              <w:top w:val="single" w:sz="4" w:space="0" w:color="auto"/>
              <w:left w:val="single" w:sz="4" w:space="0" w:color="auto"/>
              <w:bottom w:val="single" w:sz="4" w:space="0" w:color="auto"/>
              <w:right w:val="single" w:sz="4" w:space="0" w:color="auto"/>
            </w:tcBorders>
          </w:tcPr>
          <w:p w14:paraId="0C6A76E4" w14:textId="2FAB7F47" w:rsidR="0010791E" w:rsidRPr="00A15CAE" w:rsidRDefault="0010791E" w:rsidP="0010791E">
            <w:pPr>
              <w:spacing w:after="200" w:line="276" w:lineRule="auto"/>
              <w:rPr>
                <w:rFonts w:ascii="Calibri" w:eastAsia="Calibri" w:hAnsi="Calibri"/>
                <w:noProof w:val="0"/>
                <w:sz w:val="24"/>
              </w:rPr>
            </w:pPr>
            <w:r w:rsidRPr="00A15CAE">
              <w:rPr>
                <w:rFonts w:ascii="Calibri" w:eastAsia="Calibri" w:hAnsi="Calibri"/>
                <w:noProof w:val="0"/>
                <w:sz w:val="24"/>
              </w:rPr>
              <w:t>2020</w:t>
            </w:r>
          </w:p>
        </w:tc>
      </w:tr>
      <w:tr w:rsidR="00E67E32" w:rsidRPr="00A15CAE" w14:paraId="50232B5A" w14:textId="77777777" w:rsidTr="00E67E32">
        <w:trPr>
          <w:trHeight w:val="2029"/>
        </w:trPr>
        <w:tc>
          <w:tcPr>
            <w:tcW w:w="2416" w:type="dxa"/>
            <w:tcBorders>
              <w:top w:val="single" w:sz="4" w:space="0" w:color="auto"/>
              <w:left w:val="single" w:sz="4" w:space="0" w:color="auto"/>
              <w:bottom w:val="single" w:sz="4" w:space="0" w:color="auto"/>
              <w:right w:val="single" w:sz="4" w:space="0" w:color="auto"/>
            </w:tcBorders>
          </w:tcPr>
          <w:p w14:paraId="7576AC08" w14:textId="77777777" w:rsidR="00E67E32" w:rsidRPr="00A15CAE" w:rsidRDefault="00E67E32" w:rsidP="00FB2EC7">
            <w:pPr>
              <w:spacing w:after="200" w:line="276" w:lineRule="auto"/>
              <w:rPr>
                <w:rFonts w:ascii="Calibri" w:eastAsia="Calibri" w:hAnsi="Calibri"/>
                <w:noProof w:val="0"/>
                <w:sz w:val="24"/>
              </w:rPr>
            </w:pPr>
            <w:r w:rsidRPr="00A15CAE">
              <w:rPr>
                <w:rFonts w:ascii="Calibri" w:eastAsia="Calibri" w:hAnsi="Calibri"/>
                <w:noProof w:val="0"/>
                <w:sz w:val="24"/>
              </w:rPr>
              <w:t>Mains voltage reflector  incandescent lamps (includes halogen)</w:t>
            </w:r>
          </w:p>
          <w:p w14:paraId="5B2190ED" w14:textId="64B2B3E7" w:rsidR="00E67E32" w:rsidRDefault="00E67E32" w:rsidP="0010791E">
            <w:pPr>
              <w:spacing w:after="200" w:line="276" w:lineRule="auto"/>
              <w:rPr>
                <w:rFonts w:ascii="Calibri" w:eastAsia="Calibri" w:hAnsi="Calibri"/>
                <w:noProof w:val="0"/>
                <w:sz w:val="24"/>
              </w:rPr>
            </w:pPr>
            <w:r w:rsidRPr="00A15CAE">
              <w:rPr>
                <w:rFonts w:ascii="Calibri" w:eastAsia="Calibri" w:hAnsi="Calibri"/>
                <w:noProof w:val="0"/>
                <w:sz w:val="24"/>
              </w:rPr>
              <w:t>Caps: E14, E26, E27, B15, B22d or GU10</w:t>
            </w:r>
          </w:p>
        </w:tc>
        <w:tc>
          <w:tcPr>
            <w:tcW w:w="5528" w:type="dxa"/>
            <w:tcBorders>
              <w:top w:val="single" w:sz="4" w:space="0" w:color="auto"/>
              <w:left w:val="single" w:sz="4" w:space="0" w:color="auto"/>
              <w:bottom w:val="single" w:sz="4" w:space="0" w:color="auto"/>
              <w:right w:val="single" w:sz="4" w:space="0" w:color="auto"/>
            </w:tcBorders>
          </w:tcPr>
          <w:p w14:paraId="36AC8EA5" w14:textId="77777777" w:rsidR="00E67E32" w:rsidRPr="00A15CAE" w:rsidRDefault="00E67E32" w:rsidP="00FB2EC7">
            <w:pPr>
              <w:spacing w:after="200" w:line="276" w:lineRule="auto"/>
              <w:rPr>
                <w:rFonts w:ascii="Calibri" w:eastAsia="Calibri" w:hAnsi="Calibri"/>
                <w:b/>
                <w:noProof w:val="0"/>
                <w:sz w:val="24"/>
              </w:rPr>
            </w:pPr>
            <w:r w:rsidRPr="00A15CAE">
              <w:rPr>
                <w:rFonts w:ascii="Calibri" w:eastAsia="Calibri" w:hAnsi="Calibri"/>
                <w:noProof w:val="0"/>
                <w:sz w:val="24"/>
              </w:rPr>
              <w:t xml:space="preserve">Currently unregulated. </w:t>
            </w:r>
            <w:r>
              <w:rPr>
                <w:rFonts w:ascii="Calibri" w:eastAsia="Calibri" w:hAnsi="Calibri"/>
                <w:b/>
                <w:noProof w:val="0"/>
                <w:sz w:val="24"/>
              </w:rPr>
              <w:t>All</w:t>
            </w:r>
            <w:r w:rsidRPr="00A15CAE">
              <w:rPr>
                <w:rFonts w:ascii="Calibri" w:eastAsia="Calibri" w:hAnsi="Calibri"/>
                <w:b/>
                <w:noProof w:val="0"/>
                <w:sz w:val="24"/>
              </w:rPr>
              <w:t xml:space="preserve"> to be phased out in 2019.</w:t>
            </w:r>
          </w:p>
          <w:p w14:paraId="31C1BDAC" w14:textId="77777777" w:rsidR="00E67E32" w:rsidRPr="00A15CAE" w:rsidRDefault="00E67E32" w:rsidP="0010791E">
            <w:pPr>
              <w:spacing w:after="200" w:line="276" w:lineRule="auto"/>
              <w:rPr>
                <w:rFonts w:ascii="Calibri" w:eastAsia="Calibri" w:hAnsi="Calibri"/>
                <w:b/>
                <w:noProof w:val="0"/>
                <w:sz w:val="24"/>
              </w:rPr>
            </w:pPr>
          </w:p>
        </w:tc>
        <w:tc>
          <w:tcPr>
            <w:tcW w:w="1094" w:type="dxa"/>
            <w:tcBorders>
              <w:top w:val="single" w:sz="4" w:space="0" w:color="auto"/>
              <w:left w:val="single" w:sz="4" w:space="0" w:color="auto"/>
              <w:bottom w:val="single" w:sz="4" w:space="0" w:color="auto"/>
              <w:right w:val="single" w:sz="4" w:space="0" w:color="auto"/>
            </w:tcBorders>
          </w:tcPr>
          <w:p w14:paraId="709646B3" w14:textId="14E90EBC" w:rsidR="00E67E32" w:rsidRPr="00A15CAE" w:rsidRDefault="00E67E32" w:rsidP="0010791E">
            <w:pPr>
              <w:spacing w:after="200" w:line="276" w:lineRule="auto"/>
              <w:rPr>
                <w:rFonts w:ascii="Calibri" w:eastAsia="Calibri" w:hAnsi="Calibri"/>
                <w:noProof w:val="0"/>
                <w:sz w:val="24"/>
              </w:rPr>
            </w:pPr>
            <w:r w:rsidRPr="00A15CAE">
              <w:rPr>
                <w:rFonts w:ascii="Calibri" w:eastAsia="Calibri" w:hAnsi="Calibri"/>
                <w:noProof w:val="0"/>
                <w:sz w:val="24"/>
              </w:rPr>
              <w:t>2019</w:t>
            </w:r>
          </w:p>
        </w:tc>
      </w:tr>
      <w:tr w:rsidR="00E67E32" w:rsidRPr="00A15CAE" w14:paraId="25D91C71" w14:textId="77777777" w:rsidTr="00E67E32">
        <w:trPr>
          <w:trHeight w:val="1910"/>
        </w:trPr>
        <w:tc>
          <w:tcPr>
            <w:tcW w:w="2416" w:type="dxa"/>
            <w:tcBorders>
              <w:top w:val="single" w:sz="4" w:space="0" w:color="auto"/>
              <w:left w:val="single" w:sz="8" w:space="0" w:color="000000"/>
              <w:bottom w:val="single" w:sz="8" w:space="0" w:color="000000"/>
              <w:right w:val="single" w:sz="8" w:space="0" w:color="000000"/>
            </w:tcBorders>
            <w:hideMark/>
          </w:tcPr>
          <w:p w14:paraId="77ABB05F" w14:textId="77777777" w:rsidR="00E67E32" w:rsidRPr="00A15CAE" w:rsidRDefault="00E67E32" w:rsidP="00FB2EC7">
            <w:pPr>
              <w:spacing w:after="200" w:line="276" w:lineRule="auto"/>
              <w:rPr>
                <w:rFonts w:ascii="Calibri" w:eastAsia="Calibri" w:hAnsi="Calibri"/>
                <w:noProof w:val="0"/>
                <w:sz w:val="24"/>
              </w:rPr>
            </w:pPr>
            <w:r>
              <w:rPr>
                <w:rFonts w:ascii="Calibri" w:eastAsia="Calibri" w:hAnsi="Calibri"/>
                <w:noProof w:val="0"/>
                <w:sz w:val="24"/>
              </w:rPr>
              <w:t>Downlight</w:t>
            </w:r>
            <w:r w:rsidRPr="00A15CAE">
              <w:rPr>
                <w:rFonts w:ascii="Calibri" w:eastAsia="Calibri" w:hAnsi="Calibri"/>
                <w:noProof w:val="0"/>
                <w:sz w:val="24"/>
              </w:rPr>
              <w:t xml:space="preserve"> reflector  halogen lamps (Class 7)</w:t>
            </w:r>
          </w:p>
          <w:p w14:paraId="5295FAAE" w14:textId="109A3350" w:rsidR="00E67E32" w:rsidRPr="00A15CAE" w:rsidRDefault="00E67E32" w:rsidP="00FB2EC7">
            <w:pPr>
              <w:spacing w:after="200" w:line="276" w:lineRule="auto"/>
              <w:rPr>
                <w:rFonts w:ascii="Calibri" w:eastAsia="Calibri" w:hAnsi="Calibri"/>
                <w:noProof w:val="0"/>
                <w:sz w:val="24"/>
              </w:rPr>
            </w:pPr>
            <w:r>
              <w:rPr>
                <w:rFonts w:ascii="Calibri" w:eastAsia="Calibri" w:hAnsi="Calibri"/>
                <w:noProof w:val="0"/>
                <w:sz w:val="24"/>
              </w:rPr>
              <w:t>Types: MR11 shape or MR16 shape or GU10 cap</w:t>
            </w:r>
          </w:p>
        </w:tc>
        <w:tc>
          <w:tcPr>
            <w:tcW w:w="5528" w:type="dxa"/>
            <w:tcBorders>
              <w:top w:val="single" w:sz="4" w:space="0" w:color="auto"/>
              <w:left w:val="nil"/>
              <w:bottom w:val="single" w:sz="8" w:space="0" w:color="000000"/>
              <w:right w:val="single" w:sz="8" w:space="0" w:color="000000"/>
            </w:tcBorders>
            <w:hideMark/>
          </w:tcPr>
          <w:p w14:paraId="06AF2EDA" w14:textId="77777777" w:rsidR="00E67E32" w:rsidRPr="009E63F9" w:rsidRDefault="00E67E32" w:rsidP="00FB2EC7">
            <w:pPr>
              <w:keepNext/>
              <w:keepLines/>
              <w:spacing w:before="200" w:after="200" w:line="276" w:lineRule="auto"/>
              <w:outlineLvl w:val="7"/>
              <w:rPr>
                <w:rFonts w:ascii="Calibri" w:eastAsia="Calibri" w:hAnsi="Calibri"/>
                <w:b/>
                <w:noProof w:val="0"/>
                <w:sz w:val="24"/>
              </w:rPr>
            </w:pPr>
            <w:r w:rsidRPr="009E63F9">
              <w:rPr>
                <w:rFonts w:ascii="Calibri" w:eastAsia="Calibri" w:hAnsi="Calibri"/>
                <w:b/>
                <w:noProof w:val="0"/>
                <w:sz w:val="24"/>
              </w:rPr>
              <w:t>Exempt until 202</w:t>
            </w:r>
            <w:r>
              <w:rPr>
                <w:rFonts w:ascii="Calibri" w:eastAsia="Calibri" w:hAnsi="Calibri"/>
                <w:b/>
                <w:noProof w:val="0"/>
                <w:sz w:val="24"/>
              </w:rPr>
              <w:t>1</w:t>
            </w:r>
          </w:p>
          <w:p w14:paraId="5774BEBB" w14:textId="77777777" w:rsidR="00E67E32" w:rsidRPr="00A15CAE" w:rsidRDefault="00E67E32" w:rsidP="00FB2EC7">
            <w:pPr>
              <w:spacing w:after="200" w:line="276" w:lineRule="auto"/>
              <w:rPr>
                <w:rFonts w:ascii="Calibri" w:eastAsia="Calibri" w:hAnsi="Calibri"/>
                <w:noProof w:val="0"/>
                <w:sz w:val="24"/>
              </w:rPr>
            </w:pPr>
          </w:p>
        </w:tc>
        <w:tc>
          <w:tcPr>
            <w:tcW w:w="1094" w:type="dxa"/>
            <w:tcBorders>
              <w:top w:val="single" w:sz="4" w:space="0" w:color="auto"/>
              <w:left w:val="nil"/>
              <w:bottom w:val="single" w:sz="8" w:space="0" w:color="000000"/>
              <w:right w:val="single" w:sz="8" w:space="0" w:color="000000"/>
            </w:tcBorders>
            <w:hideMark/>
          </w:tcPr>
          <w:p w14:paraId="34C5DDC2" w14:textId="1B760EE9" w:rsidR="00E67E32" w:rsidRPr="00A15CAE" w:rsidRDefault="00E67E32" w:rsidP="00FB2EC7">
            <w:pPr>
              <w:spacing w:after="200" w:line="276" w:lineRule="auto"/>
              <w:rPr>
                <w:rFonts w:ascii="Calibri" w:eastAsia="Calibri" w:hAnsi="Calibri"/>
                <w:noProof w:val="0"/>
                <w:sz w:val="24"/>
              </w:rPr>
            </w:pPr>
            <w:r w:rsidRPr="00A15CAE">
              <w:rPr>
                <w:rFonts w:ascii="Calibri" w:eastAsia="Calibri" w:hAnsi="Calibri"/>
                <w:noProof w:val="0"/>
                <w:sz w:val="24"/>
              </w:rPr>
              <w:t>20</w:t>
            </w:r>
            <w:r>
              <w:rPr>
                <w:rFonts w:ascii="Calibri" w:eastAsia="Calibri" w:hAnsi="Calibri"/>
                <w:noProof w:val="0"/>
                <w:sz w:val="24"/>
              </w:rPr>
              <w:t>21</w:t>
            </w:r>
          </w:p>
        </w:tc>
      </w:tr>
      <w:tr w:rsidR="00E67E32" w:rsidRPr="00A15CAE" w14:paraId="7986D9DF" w14:textId="77777777" w:rsidTr="00E67E32">
        <w:trPr>
          <w:trHeight w:val="1619"/>
        </w:trPr>
        <w:tc>
          <w:tcPr>
            <w:tcW w:w="2416" w:type="dxa"/>
            <w:tcBorders>
              <w:top w:val="nil"/>
              <w:left w:val="single" w:sz="8" w:space="0" w:color="000000"/>
              <w:bottom w:val="single" w:sz="8" w:space="0" w:color="000000"/>
              <w:right w:val="single" w:sz="8" w:space="0" w:color="000000"/>
            </w:tcBorders>
            <w:hideMark/>
          </w:tcPr>
          <w:p w14:paraId="3A17958F" w14:textId="77777777" w:rsidR="00E67E32" w:rsidRPr="00A15CAE" w:rsidRDefault="00E67E32" w:rsidP="00FB2EC7">
            <w:pPr>
              <w:spacing w:after="200" w:line="276" w:lineRule="auto"/>
              <w:rPr>
                <w:rFonts w:ascii="Calibri" w:eastAsia="Calibri" w:hAnsi="Calibri"/>
                <w:noProof w:val="0"/>
                <w:sz w:val="24"/>
              </w:rPr>
            </w:pPr>
            <w:r w:rsidRPr="00A15CAE">
              <w:rPr>
                <w:rFonts w:ascii="Calibri" w:eastAsia="Calibri" w:hAnsi="Calibri"/>
                <w:noProof w:val="0"/>
                <w:sz w:val="24"/>
              </w:rPr>
              <w:t xml:space="preserve">ELV </w:t>
            </w:r>
            <w:r>
              <w:rPr>
                <w:rFonts w:ascii="Calibri" w:eastAsia="Calibri" w:hAnsi="Calibri"/>
                <w:noProof w:val="0"/>
                <w:sz w:val="24"/>
              </w:rPr>
              <w:t>non-directional</w:t>
            </w:r>
          </w:p>
          <w:p w14:paraId="35D1669E" w14:textId="77777777" w:rsidR="00E67E32" w:rsidRPr="00A15CAE" w:rsidRDefault="00E67E32" w:rsidP="00FB2EC7">
            <w:pPr>
              <w:spacing w:after="200" w:line="276" w:lineRule="auto"/>
              <w:rPr>
                <w:rFonts w:ascii="Calibri" w:eastAsia="Calibri" w:hAnsi="Calibri"/>
                <w:noProof w:val="0"/>
                <w:sz w:val="24"/>
              </w:rPr>
            </w:pPr>
            <w:r w:rsidRPr="00A15CAE">
              <w:rPr>
                <w:rFonts w:ascii="Calibri" w:eastAsia="Calibri" w:hAnsi="Calibri"/>
                <w:noProof w:val="0"/>
                <w:sz w:val="24"/>
              </w:rPr>
              <w:t>(product class 2)</w:t>
            </w:r>
          </w:p>
          <w:p w14:paraId="42D9E2C5" w14:textId="3D5A82CE" w:rsidR="00E67E32" w:rsidRPr="00A15CAE" w:rsidRDefault="00E67E32" w:rsidP="00FB2EC7">
            <w:pPr>
              <w:spacing w:after="200" w:line="276" w:lineRule="auto"/>
              <w:rPr>
                <w:rFonts w:ascii="Calibri" w:eastAsia="Calibri" w:hAnsi="Calibri"/>
                <w:noProof w:val="0"/>
                <w:sz w:val="24"/>
              </w:rPr>
            </w:pPr>
            <w:r w:rsidRPr="00A15CAE">
              <w:rPr>
                <w:rFonts w:ascii="Calibri" w:eastAsia="Calibri" w:hAnsi="Calibri"/>
                <w:noProof w:val="0"/>
                <w:sz w:val="24"/>
              </w:rPr>
              <w:t>Caps: Bi-pin (including G4, GY6.35 caps)</w:t>
            </w:r>
          </w:p>
        </w:tc>
        <w:tc>
          <w:tcPr>
            <w:tcW w:w="5528" w:type="dxa"/>
            <w:tcBorders>
              <w:top w:val="nil"/>
              <w:left w:val="nil"/>
              <w:bottom w:val="single" w:sz="8" w:space="0" w:color="000000"/>
              <w:right w:val="single" w:sz="8" w:space="0" w:color="000000"/>
            </w:tcBorders>
            <w:hideMark/>
          </w:tcPr>
          <w:p w14:paraId="5458F6A5" w14:textId="77777777" w:rsidR="00E67E32" w:rsidRPr="00A15CAE" w:rsidRDefault="00E67E32" w:rsidP="00FB2EC7">
            <w:pPr>
              <w:spacing w:after="200" w:line="276" w:lineRule="auto"/>
              <w:rPr>
                <w:rFonts w:ascii="Calibri" w:eastAsia="Calibri" w:hAnsi="Calibri"/>
                <w:noProof w:val="0"/>
                <w:sz w:val="24"/>
              </w:rPr>
            </w:pPr>
            <w:r>
              <w:rPr>
                <w:rFonts w:ascii="Calibri" w:eastAsia="Calibri" w:hAnsi="Calibri"/>
                <w:noProof w:val="0"/>
                <w:sz w:val="24"/>
              </w:rPr>
              <w:t>Increase MEPS in 2021</w:t>
            </w:r>
            <w:r w:rsidRPr="00A15CAE">
              <w:rPr>
                <w:rFonts w:ascii="Calibri" w:eastAsia="Calibri" w:hAnsi="Calibri"/>
                <w:noProof w:val="0"/>
                <w:sz w:val="24"/>
              </w:rPr>
              <w:t>, delay due to limited product on the market at high lumen output</w:t>
            </w:r>
          </w:p>
          <w:p w14:paraId="73FB01AA" w14:textId="77777777" w:rsidR="00E67E32" w:rsidRPr="00A15CAE" w:rsidRDefault="00E67E32" w:rsidP="00FB2EC7">
            <w:pPr>
              <w:spacing w:after="200" w:line="276" w:lineRule="auto"/>
              <w:rPr>
                <w:rFonts w:ascii="Calibri" w:eastAsia="Calibri" w:hAnsi="Calibri"/>
                <w:b/>
                <w:noProof w:val="0"/>
                <w:sz w:val="24"/>
              </w:rPr>
            </w:pPr>
            <w:r w:rsidRPr="00A15CAE">
              <w:rPr>
                <w:rFonts w:ascii="Calibri" w:eastAsia="Calibri" w:hAnsi="Calibri"/>
                <w:b/>
                <w:noProof w:val="0"/>
                <w:sz w:val="24"/>
              </w:rPr>
              <w:t>Justification</w:t>
            </w:r>
          </w:p>
          <w:p w14:paraId="7F7BBBE8" w14:textId="77777777" w:rsidR="00E67E32" w:rsidRPr="00A15CAE" w:rsidRDefault="00E67E32" w:rsidP="00FB2EC7">
            <w:pPr>
              <w:spacing w:after="200" w:line="276" w:lineRule="auto"/>
              <w:rPr>
                <w:rFonts w:ascii="Calibri" w:eastAsia="Calibri" w:hAnsi="Calibri"/>
                <w:noProof w:val="0"/>
                <w:sz w:val="24"/>
              </w:rPr>
            </w:pPr>
            <w:r w:rsidRPr="00A15CAE">
              <w:rPr>
                <w:rFonts w:ascii="Calibri" w:eastAsia="Calibri" w:hAnsi="Calibri"/>
                <w:noProof w:val="0"/>
                <w:sz w:val="24"/>
              </w:rPr>
              <w:t>LED replacements currently do not emit enough light and/or are too bulky (especially for higher power halogen lamp replacements).</w:t>
            </w:r>
          </w:p>
          <w:p w14:paraId="48E4BBE0" w14:textId="77777777" w:rsidR="00E67E32" w:rsidRPr="00A15CAE" w:rsidRDefault="00E67E32" w:rsidP="00FB2EC7">
            <w:pPr>
              <w:spacing w:after="200" w:line="276" w:lineRule="auto"/>
              <w:rPr>
                <w:rFonts w:ascii="Calibri" w:eastAsia="Calibri" w:hAnsi="Calibri"/>
                <w:noProof w:val="0"/>
                <w:sz w:val="24"/>
              </w:rPr>
            </w:pPr>
            <w:r w:rsidRPr="00A15CAE">
              <w:rPr>
                <w:rFonts w:ascii="Calibri" w:eastAsia="Calibri" w:hAnsi="Calibri"/>
                <w:noProof w:val="0"/>
                <w:sz w:val="24"/>
              </w:rPr>
              <w:t>Transformer compatibility issues exist.</w:t>
            </w:r>
          </w:p>
          <w:p w14:paraId="0A085F50" w14:textId="77777777" w:rsidR="00E67E32" w:rsidRPr="00A15CAE" w:rsidRDefault="00E67E32" w:rsidP="00FB2EC7">
            <w:pPr>
              <w:spacing w:after="200" w:line="276" w:lineRule="auto"/>
              <w:rPr>
                <w:rFonts w:ascii="Calibri" w:eastAsia="Calibri" w:hAnsi="Calibri"/>
                <w:noProof w:val="0"/>
                <w:sz w:val="24"/>
              </w:rPr>
            </w:pPr>
            <w:r w:rsidRPr="00A15CAE">
              <w:rPr>
                <w:rFonts w:ascii="Calibri" w:eastAsia="Calibri" w:hAnsi="Calibri"/>
                <w:noProof w:val="0"/>
                <w:sz w:val="24"/>
              </w:rPr>
              <w:t>Desk lamps (a popular application) have a shrinking penetration, in favour of integrated LED units, and low operating hours.</w:t>
            </w:r>
          </w:p>
          <w:p w14:paraId="3D251E52" w14:textId="77777777" w:rsidR="00E67E32" w:rsidRPr="00A15CAE" w:rsidRDefault="00E67E32" w:rsidP="00FB2EC7">
            <w:pPr>
              <w:spacing w:after="200" w:line="276" w:lineRule="auto"/>
              <w:rPr>
                <w:rFonts w:ascii="Calibri" w:eastAsia="Calibri" w:hAnsi="Calibri"/>
                <w:b/>
                <w:noProof w:val="0"/>
                <w:sz w:val="24"/>
              </w:rPr>
            </w:pPr>
          </w:p>
        </w:tc>
        <w:tc>
          <w:tcPr>
            <w:tcW w:w="1094" w:type="dxa"/>
            <w:tcBorders>
              <w:top w:val="nil"/>
              <w:left w:val="nil"/>
              <w:bottom w:val="single" w:sz="8" w:space="0" w:color="000000"/>
              <w:right w:val="single" w:sz="8" w:space="0" w:color="000000"/>
            </w:tcBorders>
            <w:hideMark/>
          </w:tcPr>
          <w:p w14:paraId="5409080E" w14:textId="0DBB1DA0" w:rsidR="00E67E32" w:rsidRPr="00A15CAE" w:rsidRDefault="00E67E32" w:rsidP="00FB2EC7">
            <w:pPr>
              <w:spacing w:after="200" w:line="276" w:lineRule="auto"/>
              <w:rPr>
                <w:rFonts w:ascii="Calibri" w:eastAsia="Calibri" w:hAnsi="Calibri"/>
                <w:noProof w:val="0"/>
                <w:sz w:val="24"/>
              </w:rPr>
            </w:pPr>
            <w:r w:rsidRPr="00A15CAE">
              <w:rPr>
                <w:rFonts w:ascii="Calibri" w:eastAsia="Calibri" w:hAnsi="Calibri"/>
                <w:noProof w:val="0"/>
                <w:sz w:val="24"/>
              </w:rPr>
              <w:t>2020</w:t>
            </w:r>
          </w:p>
        </w:tc>
      </w:tr>
    </w:tbl>
    <w:p w14:paraId="7B51DD42" w14:textId="77777777" w:rsidR="007359BF" w:rsidRPr="00A15CAE" w:rsidRDefault="007359BF" w:rsidP="007359BF">
      <w:pPr>
        <w:spacing w:after="0" w:line="240" w:lineRule="auto"/>
        <w:rPr>
          <w:rFonts w:ascii="Calibri" w:hAnsi="Calibri"/>
          <w:b/>
          <w:bCs/>
          <w:color w:val="000000"/>
          <w:sz w:val="24"/>
        </w:rPr>
      </w:pPr>
    </w:p>
    <w:p w14:paraId="0EA218F4" w14:textId="77777777" w:rsidR="007359BF" w:rsidRPr="00D905B5" w:rsidRDefault="007359BF" w:rsidP="007359BF">
      <w:pPr>
        <w:pStyle w:val="E3Heading4"/>
      </w:pPr>
      <w:r w:rsidRPr="00D905B5">
        <w:t>Exemptions (2019 phase out)</w:t>
      </w:r>
    </w:p>
    <w:p w14:paraId="7BA3F25F" w14:textId="36140919" w:rsidR="007359BF" w:rsidRDefault="007359BF" w:rsidP="003B62AD">
      <w:pPr>
        <w:pStyle w:val="E3BodyText"/>
      </w:pPr>
      <w:r>
        <w:t>The</w:t>
      </w:r>
      <w:r w:rsidRPr="00A15CAE">
        <w:t xml:space="preserve"> cap types </w:t>
      </w:r>
      <w:r>
        <w:t>listed below are proposed</w:t>
      </w:r>
      <w:r w:rsidRPr="00A15CAE">
        <w:t xml:space="preserve"> </w:t>
      </w:r>
      <w:r>
        <w:t xml:space="preserve">to </w:t>
      </w:r>
      <w:r w:rsidRPr="00A15CAE">
        <w:t xml:space="preserve">be exempt </w:t>
      </w:r>
      <w:r>
        <w:t xml:space="preserve">from the 2019 </w:t>
      </w:r>
      <w:r w:rsidR="00D50CC1">
        <w:t>phase out</w:t>
      </w:r>
      <w:r>
        <w:t xml:space="preserve"> for the reasons outlined below</w:t>
      </w:r>
      <w:r w:rsidRPr="00A15CAE">
        <w:t xml:space="preserve">. At this time, </w:t>
      </w:r>
      <w:r>
        <w:t xml:space="preserve">these lamp types will </w:t>
      </w:r>
      <w:r w:rsidRPr="00A15CAE">
        <w:t xml:space="preserve">automatically </w:t>
      </w:r>
      <w:r>
        <w:t xml:space="preserve">be included </w:t>
      </w:r>
      <w:r w:rsidRPr="00A15CAE">
        <w:t xml:space="preserve">in the </w:t>
      </w:r>
      <w:r w:rsidR="00D50CC1">
        <w:t>phase out</w:t>
      </w:r>
      <w:r w:rsidRPr="00A15CAE">
        <w:t xml:space="preserve"> scope</w:t>
      </w:r>
      <w:r>
        <w:t xml:space="preserve"> in 2020; with downlight reflector halogen light bulbs targeted for 2021</w:t>
      </w:r>
      <w:r w:rsidRPr="00A15CAE">
        <w:t xml:space="preserve">, unless testing of the market explicitly reveals that LED replacement options are still not suitable (or </w:t>
      </w:r>
      <w:r>
        <w:t>an</w:t>
      </w:r>
      <w:r w:rsidRPr="00A15CAE">
        <w:t>other valid reason for continuing the exemption exists).</w:t>
      </w:r>
    </w:p>
    <w:p w14:paraId="5B962D62" w14:textId="77777777" w:rsidR="007359BF" w:rsidRPr="00A15CAE" w:rsidRDefault="007359BF" w:rsidP="007359BF">
      <w:pPr>
        <w:pStyle w:val="E3BodyText"/>
        <w:rPr>
          <w:b/>
        </w:rPr>
      </w:pPr>
      <w:r w:rsidRPr="00A15CAE">
        <w:rPr>
          <w:b/>
        </w:rPr>
        <w:t>R7 Tubular halogen</w:t>
      </w:r>
      <w:r>
        <w:rPr>
          <w:b/>
        </w:rPr>
        <w:t xml:space="preserve"> lamps</w:t>
      </w:r>
    </w:p>
    <w:p w14:paraId="2B57E0A5" w14:textId="77777777" w:rsidR="007359BF" w:rsidRPr="00A15CAE" w:rsidRDefault="007359BF" w:rsidP="007359BF">
      <w:pPr>
        <w:pStyle w:val="E3BodyText"/>
      </w:pPr>
      <w:r w:rsidRPr="00A15CAE">
        <w:t>Justification:</w:t>
      </w:r>
    </w:p>
    <w:p w14:paraId="6551DDD3" w14:textId="77777777" w:rsidR="007359BF" w:rsidRPr="00A15CAE" w:rsidRDefault="007359BF" w:rsidP="003B62AD">
      <w:pPr>
        <w:pStyle w:val="E3Bullets"/>
      </w:pPr>
      <w:r>
        <w:t xml:space="preserve">Currently available </w:t>
      </w:r>
      <w:r w:rsidRPr="00A15CAE">
        <w:t>LED replacements do not emit enough light and/or are too bulky to fit inside conventional halogen floodlights.</w:t>
      </w:r>
    </w:p>
    <w:p w14:paraId="10B7D739" w14:textId="77777777" w:rsidR="007359BF" w:rsidRPr="00A15CAE" w:rsidRDefault="007359BF" w:rsidP="003B62AD">
      <w:pPr>
        <w:pStyle w:val="E3Bullets"/>
      </w:pPr>
      <w:r w:rsidRPr="00A15CAE">
        <w:t>This type of floodlight has a shrinking penetration, in favour of integrated LED floodlights.</w:t>
      </w:r>
    </w:p>
    <w:p w14:paraId="77C86AF0" w14:textId="5B199B95" w:rsidR="007359BF" w:rsidRPr="00A15CAE" w:rsidRDefault="007359BF" w:rsidP="003B62AD">
      <w:pPr>
        <w:pStyle w:val="E3Bullets"/>
      </w:pPr>
      <w:r w:rsidRPr="00A15CAE">
        <w:t>This type of floodlight has perceived limited operating hours (e.g. used for backyard barbeques, etc.)</w:t>
      </w:r>
      <w:r>
        <w:t xml:space="preserve">, thus the temporary delay in </w:t>
      </w:r>
      <w:r w:rsidR="00D50CC1">
        <w:t>phase out</w:t>
      </w:r>
      <w:r>
        <w:t xml:space="preserve"> will not be a large loss in energy savings.</w:t>
      </w:r>
    </w:p>
    <w:p w14:paraId="5EBB7318" w14:textId="77777777" w:rsidR="007359BF" w:rsidRPr="00A15CAE" w:rsidRDefault="007359BF" w:rsidP="007359BF">
      <w:pPr>
        <w:pStyle w:val="E3BodyText"/>
        <w:rPr>
          <w:b/>
        </w:rPr>
      </w:pPr>
      <w:r w:rsidRPr="00A15CAE">
        <w:rPr>
          <w:b/>
        </w:rPr>
        <w:t>G4 and GY6.35 ELV halogen capsules</w:t>
      </w:r>
    </w:p>
    <w:p w14:paraId="583B4DF0" w14:textId="77777777" w:rsidR="007359BF" w:rsidRPr="00A15CAE" w:rsidRDefault="007359BF" w:rsidP="007359BF">
      <w:pPr>
        <w:pStyle w:val="E3BodyText"/>
      </w:pPr>
      <w:r w:rsidRPr="00A15CAE">
        <w:t xml:space="preserve">Justification: </w:t>
      </w:r>
    </w:p>
    <w:p w14:paraId="7629D171" w14:textId="639C8CCE" w:rsidR="007359BF" w:rsidRPr="00A15CAE" w:rsidRDefault="007359BF" w:rsidP="003B62AD">
      <w:pPr>
        <w:pStyle w:val="E3Bullets"/>
      </w:pPr>
      <w:r w:rsidRPr="00A15CAE">
        <w:t>LED replacements currently do not emit enough light and/or are too bulky (especially for higher power halogen lamp replacements).</w:t>
      </w:r>
    </w:p>
    <w:p w14:paraId="3D54D369" w14:textId="07D29F52" w:rsidR="007359BF" w:rsidRPr="00A15CAE" w:rsidRDefault="007359BF" w:rsidP="003B62AD">
      <w:pPr>
        <w:pStyle w:val="E3Bullets"/>
      </w:pPr>
      <w:r w:rsidRPr="00A15CAE">
        <w:t>Transformer compatibility issues exist.</w:t>
      </w:r>
    </w:p>
    <w:p w14:paraId="7A3F4A9E" w14:textId="3636B028" w:rsidR="007359BF" w:rsidRPr="00A15CAE" w:rsidRDefault="007359BF" w:rsidP="003B62AD">
      <w:pPr>
        <w:pStyle w:val="E3Bullets"/>
      </w:pPr>
      <w:r w:rsidRPr="00A15CAE">
        <w:t>Desk lamps (a popular application) have a shrinking penetration, in favour of integrated LED units.</w:t>
      </w:r>
    </w:p>
    <w:p w14:paraId="6151D9FD" w14:textId="6F08AFF4" w:rsidR="007359BF" w:rsidRPr="00D905B5" w:rsidRDefault="007359BF" w:rsidP="007359BF">
      <w:pPr>
        <w:pStyle w:val="E3BodyText"/>
        <w:rPr>
          <w:b/>
        </w:rPr>
      </w:pPr>
      <w:r w:rsidRPr="00D905B5">
        <w:rPr>
          <w:b/>
        </w:rPr>
        <w:t>Current Exceptions in the Incandescent</w:t>
      </w:r>
      <w:r w:rsidR="000C0448">
        <w:rPr>
          <w:b/>
        </w:rPr>
        <w:t xml:space="preserve"> Lamps for General Lighting Services</w:t>
      </w:r>
      <w:r w:rsidRPr="00D905B5">
        <w:rPr>
          <w:b/>
        </w:rPr>
        <w:t xml:space="preserve"> Determination</w:t>
      </w:r>
    </w:p>
    <w:p w14:paraId="1C249D19" w14:textId="06D43BF0" w:rsidR="007359BF" w:rsidRDefault="007359BF" w:rsidP="007359BF">
      <w:pPr>
        <w:rPr>
          <w:rFonts w:ascii="Calibri" w:hAnsi="Calibri"/>
          <w:bCs/>
          <w:color w:val="000000"/>
          <w:sz w:val="24"/>
        </w:rPr>
      </w:pPr>
      <w:r>
        <w:rPr>
          <w:rFonts w:ascii="Calibri" w:hAnsi="Calibri"/>
          <w:bCs/>
          <w:color w:val="000000"/>
          <w:sz w:val="24"/>
        </w:rPr>
        <w:t>The following e</w:t>
      </w:r>
      <w:r w:rsidRPr="00A15CAE">
        <w:rPr>
          <w:rFonts w:ascii="Calibri" w:hAnsi="Calibri"/>
          <w:bCs/>
          <w:color w:val="000000"/>
          <w:sz w:val="24"/>
        </w:rPr>
        <w:t xml:space="preserve">xceptions listed in sub section </w:t>
      </w:r>
      <w:r w:rsidR="00C85E8B">
        <w:rPr>
          <w:rFonts w:ascii="Calibri" w:hAnsi="Calibri"/>
          <w:bCs/>
          <w:color w:val="000000"/>
          <w:sz w:val="24"/>
        </w:rPr>
        <w:t>5</w:t>
      </w:r>
      <w:r w:rsidRPr="00A15CAE">
        <w:rPr>
          <w:rFonts w:ascii="Calibri" w:hAnsi="Calibri"/>
          <w:bCs/>
          <w:color w:val="000000"/>
          <w:sz w:val="24"/>
        </w:rPr>
        <w:t>(2) of the Determination are proposed to remain</w:t>
      </w:r>
      <w:r>
        <w:rPr>
          <w:rFonts w:ascii="Calibri" w:hAnsi="Calibri"/>
          <w:bCs/>
          <w:color w:val="000000"/>
          <w:sz w:val="24"/>
        </w:rPr>
        <w:t>:</w:t>
      </w:r>
      <w:r w:rsidRPr="00A15CAE">
        <w:rPr>
          <w:rFonts w:ascii="Calibri" w:hAnsi="Calibri"/>
          <w:bCs/>
          <w:color w:val="000000"/>
          <w:sz w:val="24"/>
        </w:rPr>
        <w:t xml:space="preserve"> </w:t>
      </w:r>
    </w:p>
    <w:p w14:paraId="0BB4324C" w14:textId="45AFCCAA" w:rsidR="009874ED" w:rsidRDefault="007129AA" w:rsidP="003B62AD">
      <w:pPr>
        <w:pStyle w:val="E3Bullets"/>
      </w:pPr>
      <w:r>
        <w:t>Automotive lamps</w:t>
      </w:r>
    </w:p>
    <w:p w14:paraId="43AB87EC" w14:textId="1AFA5731" w:rsidR="007359BF" w:rsidRDefault="007359BF" w:rsidP="003B62AD">
      <w:pPr>
        <w:pStyle w:val="E3Bullets"/>
      </w:pPr>
      <w:r>
        <w:t>Traffic lights</w:t>
      </w:r>
    </w:p>
    <w:p w14:paraId="268A3949" w14:textId="044B6FAD" w:rsidR="007359BF" w:rsidRDefault="007359BF" w:rsidP="003B62AD">
      <w:pPr>
        <w:pStyle w:val="E3Bullets"/>
      </w:pPr>
      <w:r>
        <w:t>Lamps used for air and sea navigation</w:t>
      </w:r>
    </w:p>
    <w:p w14:paraId="1FC4631D" w14:textId="5D07F220" w:rsidR="007359BF" w:rsidRDefault="007359BF" w:rsidP="003B62AD">
      <w:pPr>
        <w:pStyle w:val="E3Bullets"/>
      </w:pPr>
      <w:r>
        <w:t>Oven lamps</w:t>
      </w:r>
    </w:p>
    <w:p w14:paraId="4C1B0ED9" w14:textId="14E08AE5" w:rsidR="007359BF" w:rsidRDefault="007359BF" w:rsidP="003B62AD">
      <w:pPr>
        <w:pStyle w:val="E3Bullets"/>
      </w:pPr>
      <w:r>
        <w:t>Infra-red heat lamps</w:t>
      </w:r>
    </w:p>
    <w:p w14:paraId="45158754" w14:textId="477212B9" w:rsidR="007359BF" w:rsidRDefault="007359BF" w:rsidP="007359BF">
      <w:pPr>
        <w:rPr>
          <w:rFonts w:ascii="Calibri" w:hAnsi="Calibri"/>
          <w:bCs/>
          <w:color w:val="000000"/>
          <w:sz w:val="24"/>
        </w:rPr>
      </w:pPr>
      <w:r>
        <w:rPr>
          <w:rFonts w:ascii="Calibri" w:hAnsi="Calibri"/>
          <w:bCs/>
          <w:color w:val="000000"/>
          <w:sz w:val="24"/>
        </w:rPr>
        <w:t>The following e</w:t>
      </w:r>
      <w:r w:rsidRPr="00A15CAE">
        <w:rPr>
          <w:rFonts w:ascii="Calibri" w:hAnsi="Calibri"/>
          <w:bCs/>
          <w:color w:val="000000"/>
          <w:sz w:val="24"/>
        </w:rPr>
        <w:t xml:space="preserve">xceptions listed in sub section </w:t>
      </w:r>
      <w:r w:rsidR="00C85E8B">
        <w:rPr>
          <w:rFonts w:ascii="Calibri" w:hAnsi="Calibri"/>
          <w:bCs/>
          <w:color w:val="000000"/>
          <w:sz w:val="24"/>
        </w:rPr>
        <w:t>5</w:t>
      </w:r>
      <w:r w:rsidRPr="00A15CAE">
        <w:rPr>
          <w:rFonts w:ascii="Calibri" w:hAnsi="Calibri"/>
          <w:bCs/>
          <w:color w:val="000000"/>
          <w:sz w:val="24"/>
        </w:rPr>
        <w:t xml:space="preserve">(2) of the Determination are proposed to </w:t>
      </w:r>
      <w:r>
        <w:rPr>
          <w:rFonts w:ascii="Calibri" w:hAnsi="Calibri"/>
          <w:bCs/>
          <w:color w:val="000000"/>
          <w:sz w:val="24"/>
        </w:rPr>
        <w:t>be removed:</w:t>
      </w:r>
      <w:r w:rsidRPr="00A15CAE">
        <w:rPr>
          <w:rFonts w:ascii="Calibri" w:hAnsi="Calibri"/>
          <w:bCs/>
          <w:color w:val="000000"/>
          <w:sz w:val="24"/>
        </w:rPr>
        <w:t xml:space="preserve"> </w:t>
      </w:r>
    </w:p>
    <w:p w14:paraId="65F57BF4" w14:textId="0E68C17D" w:rsidR="007359BF" w:rsidRDefault="007359BF" w:rsidP="003B62AD">
      <w:pPr>
        <w:pStyle w:val="E3Bullets"/>
      </w:pPr>
      <w:r>
        <w:t>R</w:t>
      </w:r>
      <w:r w:rsidRPr="00A15CAE">
        <w:t>ough use or vibration lamps, on the basis that LED are superior under these conditions and thus the exception is</w:t>
      </w:r>
      <w:r>
        <w:t xml:space="preserve"> no longer necessary </w:t>
      </w:r>
    </w:p>
    <w:p w14:paraId="15A122B3" w14:textId="63D381B2" w:rsidR="007359BF" w:rsidRPr="00121207" w:rsidRDefault="007359BF" w:rsidP="003B62AD">
      <w:pPr>
        <w:pStyle w:val="E3Bullets"/>
        <w:rPr>
          <w:b/>
        </w:rPr>
      </w:pPr>
      <w:r w:rsidRPr="00A15CAE">
        <w:t xml:space="preserve">Incandescent crown reflector lamps, </w:t>
      </w:r>
      <w:r>
        <w:t>unless advice from sta</w:t>
      </w:r>
      <w:r w:rsidRPr="00A15CAE">
        <w:t>k</w:t>
      </w:r>
      <w:r>
        <w:t>e</w:t>
      </w:r>
      <w:r w:rsidRPr="00A15CAE">
        <w:t>holders reveals that LED replacement options are not suitable (or other valid reason for continuing the exemption exists).</w:t>
      </w:r>
    </w:p>
    <w:p w14:paraId="61BCE572" w14:textId="31FD312A" w:rsidR="007359BF" w:rsidRPr="00A15CAE" w:rsidRDefault="007359BF" w:rsidP="003B62AD">
      <w:pPr>
        <w:pStyle w:val="E3BodyText"/>
      </w:pPr>
      <w:r w:rsidRPr="00A15CAE">
        <w:t xml:space="preserve">Crown reflector lamps </w:t>
      </w:r>
      <w:r>
        <w:t>were not referenced in the CRIS for phaseout – E3 program requests information from stakeholders on any reasons why these products should continue to be exempt. Crown refl</w:t>
      </w:r>
      <w:r w:rsidRPr="00A15CAE">
        <w:t>ector lamps reflect light towards the base of the lamp. As the beam is control</w:t>
      </w:r>
      <w:r w:rsidR="0091296F">
        <w:t>l</w:t>
      </w:r>
      <w:r w:rsidRPr="00A15CAE">
        <w:t>ed it can achieve dramatic effects and low glare. These lamp types can be used in a range of applications, such as fitted around a mirror frame, over a dining table to reflect light back up to the ceiling, in retail stores, or simply used as decorative lighting.</w:t>
      </w:r>
      <w:r>
        <w:t xml:space="preserve"> </w:t>
      </w:r>
      <w:r w:rsidRPr="00A15CAE">
        <w:t xml:space="preserve">LED filament replacements are available that emit 450 lumens, equivlanent to </w:t>
      </w:r>
      <w:r>
        <w:t>about a 35W halogen.</w:t>
      </w:r>
    </w:p>
    <w:p w14:paraId="26BB3E00" w14:textId="77777777" w:rsidR="007359BF" w:rsidRDefault="007359BF" w:rsidP="003B62AD">
      <w:pPr>
        <w:pStyle w:val="E3BodyText"/>
      </w:pPr>
      <w:r>
        <w:t>Examples of crown-reflector LED lamps:</w:t>
      </w:r>
    </w:p>
    <w:p w14:paraId="78465BF1" w14:textId="77777777" w:rsidR="007359BF" w:rsidRPr="00A15CAE" w:rsidRDefault="005933B0" w:rsidP="007359BF">
      <w:pPr>
        <w:tabs>
          <w:tab w:val="left" w:pos="8640"/>
        </w:tabs>
        <w:rPr>
          <w:rFonts w:ascii="Calibri" w:hAnsi="Calibri"/>
          <w:bCs/>
          <w:color w:val="000000"/>
          <w:sz w:val="24"/>
        </w:rPr>
      </w:pPr>
      <w:hyperlink r:id="rId38" w:history="1">
        <w:r w:rsidR="007359BF" w:rsidRPr="00A15CAE">
          <w:rPr>
            <w:rStyle w:val="Hyperlink"/>
            <w:rFonts w:ascii="Calibri" w:hAnsi="Calibri"/>
            <w:bCs/>
            <w:sz w:val="24"/>
          </w:rPr>
          <w:t>https://www.amazon.co.uk/dp/B01MXFLPHR/ref=asc_df_B01MXFLPHR43477927/?tag=lion0d29-21&amp;creative=22374&amp;creativeASIN=B01MXFLPHR&amp;linkCode=df0</w:t>
        </w:r>
      </w:hyperlink>
      <w:r w:rsidR="007359BF" w:rsidRPr="00A15CAE">
        <w:rPr>
          <w:rFonts w:ascii="Calibri" w:hAnsi="Calibri"/>
          <w:bCs/>
          <w:color w:val="000000"/>
          <w:sz w:val="24"/>
        </w:rPr>
        <w:t xml:space="preserve"> </w:t>
      </w:r>
    </w:p>
    <w:p w14:paraId="3E421381" w14:textId="77777777" w:rsidR="007359BF" w:rsidRPr="00A15CAE" w:rsidRDefault="005933B0" w:rsidP="007359BF">
      <w:pPr>
        <w:rPr>
          <w:rFonts w:ascii="Calibri" w:hAnsi="Calibri"/>
          <w:bCs/>
          <w:color w:val="000000"/>
          <w:sz w:val="24"/>
        </w:rPr>
      </w:pPr>
      <w:hyperlink r:id="rId39" w:history="1">
        <w:r w:rsidR="007359BF" w:rsidRPr="00A15CAE">
          <w:rPr>
            <w:rStyle w:val="Hyperlink"/>
            <w:rFonts w:ascii="Calibri" w:hAnsi="Calibri"/>
            <w:bCs/>
            <w:sz w:val="24"/>
          </w:rPr>
          <w:t>https://www.lampsandlights.com/uploads/products/2948/LB06silver-LED-ES-data.pdf</w:t>
        </w:r>
      </w:hyperlink>
    </w:p>
    <w:p w14:paraId="349922D2" w14:textId="55009EE9" w:rsidR="007359BF" w:rsidRPr="00165057" w:rsidRDefault="005933B0" w:rsidP="007359BF">
      <w:pPr>
        <w:rPr>
          <w:rFonts w:ascii="Calibri" w:hAnsi="Calibri"/>
          <w:bCs/>
          <w:color w:val="000000"/>
          <w:sz w:val="24"/>
        </w:rPr>
      </w:pPr>
      <w:hyperlink r:id="rId40" w:history="1">
        <w:r w:rsidR="007359BF" w:rsidRPr="00A15CAE">
          <w:rPr>
            <w:rStyle w:val="Hyperlink"/>
            <w:rFonts w:ascii="Calibri" w:hAnsi="Calibri"/>
            <w:bCs/>
            <w:sz w:val="24"/>
          </w:rPr>
          <w:t>http://www.megaman.cc/products/lamps/led-lamps/decorative/crown-silver?voltage=220-240V&amp;lampbase=All&amp;lampshape=All&amp;max_luminous=&amp;beamangle=&amp;color_temp=&amp;dimming=&amp;eca</w:t>
        </w:r>
      </w:hyperlink>
    </w:p>
    <w:p w14:paraId="444EBAF3" w14:textId="13DD2CE2" w:rsidR="007359BF" w:rsidRPr="00D905B5" w:rsidRDefault="007359BF" w:rsidP="00165057">
      <w:pPr>
        <w:pStyle w:val="E3Heading3"/>
      </w:pPr>
      <w:r>
        <w:t>Transitional issues</w:t>
      </w:r>
    </w:p>
    <w:p w14:paraId="1B66C8EE" w14:textId="77777777" w:rsidR="007359BF" w:rsidRPr="003B62AD" w:rsidRDefault="007359BF" w:rsidP="003B62AD">
      <w:pPr>
        <w:pStyle w:val="E3Heading4"/>
      </w:pPr>
      <w:r w:rsidRPr="003B62AD">
        <w:t>Dimmer compatibility with LED</w:t>
      </w:r>
    </w:p>
    <w:p w14:paraId="51372555" w14:textId="49F51F75" w:rsidR="007359BF" w:rsidRDefault="007359BF" w:rsidP="007359BF">
      <w:pPr>
        <w:pStyle w:val="E3BodyText"/>
      </w:pPr>
      <w:r w:rsidRPr="003B62AD">
        <w:t>Some LED lamps may not be compatible with existing lighting systems that include a dimmer circuit, resulting in the LED lamp not operating satisfactorily (flickers, restricted dimming). Options where incompatibility occurs includes trying another model of LED lamp (preferably with advice from a lighting retailer or supplier), or engaging a qualified electrician to upgrade the dimmer system.  An estimate of consumers costs associated with this issue is included in</w:t>
      </w:r>
      <w:r>
        <w:t xml:space="preserve"> </w:t>
      </w:r>
      <w:hyperlink w:anchor="Attachment_E" w:history="1">
        <w:r w:rsidRPr="000C0448">
          <w:rPr>
            <w:rStyle w:val="Hyperlink"/>
          </w:rPr>
          <w:t>Attachment E</w:t>
        </w:r>
      </w:hyperlink>
      <w:r>
        <w:t>.</w:t>
      </w:r>
    </w:p>
    <w:p w14:paraId="54B9B680" w14:textId="77777777" w:rsidR="007359BF" w:rsidRPr="003B62AD" w:rsidRDefault="007359BF" w:rsidP="003B62AD">
      <w:pPr>
        <w:pStyle w:val="E3Heading4"/>
      </w:pPr>
      <w:r w:rsidRPr="003B62AD">
        <w:t>Two wire devices</w:t>
      </w:r>
    </w:p>
    <w:p w14:paraId="739B1E3E" w14:textId="77777777" w:rsidR="007359BF" w:rsidRPr="00CF4D15" w:rsidRDefault="007359BF" w:rsidP="003B62AD">
      <w:pPr>
        <w:pStyle w:val="E3BodyText"/>
      </w:pPr>
      <w:r w:rsidRPr="00CF4D15">
        <w:t xml:space="preserve">Some LED lamps may not be compatible with existing light fixtures that have a sensor function (a two wire device), resulting in the LED lamp operating unsatisfactorily (lamp stays on in off state, flickers). </w:t>
      </w:r>
    </w:p>
    <w:p w14:paraId="20E4373F" w14:textId="7CE46F37" w:rsidR="007359BF" w:rsidRPr="00CF4D15" w:rsidRDefault="007359BF" w:rsidP="003B62AD">
      <w:pPr>
        <w:pStyle w:val="E3BodyText"/>
        <w:rPr>
          <w:rFonts w:cs="Times New Roman"/>
        </w:rPr>
      </w:pPr>
      <w:r w:rsidRPr="00CF4D15">
        <w:rPr>
          <w:rFonts w:cs="Times New Roman"/>
        </w:rPr>
        <w:t>There is a large range of lighting products available with sensors. Motion sensors are generally installed on lights for security or ease of use reasons including outdoor lighting. The sensors are usually sold as a package with one or more lamps controlled by a single sensor.</w:t>
      </w:r>
      <w:r>
        <w:rPr>
          <w:rFonts w:cs="Times New Roman"/>
        </w:rPr>
        <w:t xml:space="preserve"> </w:t>
      </w:r>
      <w:r>
        <w:t xml:space="preserve">Advice from the Compatibility working group is that some LED lamps do </w:t>
      </w:r>
      <w:r w:rsidR="00E11146">
        <w:t xml:space="preserve">not </w:t>
      </w:r>
      <w:r>
        <w:t>work with two wire devices. Non-compatibility can be resolved through purchase of a new unit or alternatively an electrician can modify the load so the existing unit works satisfactorily.</w:t>
      </w:r>
    </w:p>
    <w:p w14:paraId="6E283623" w14:textId="5B27C903" w:rsidR="007359BF" w:rsidRPr="00CF4D15" w:rsidRDefault="007359BF" w:rsidP="003B62AD">
      <w:pPr>
        <w:pStyle w:val="E3BodyText"/>
        <w:rPr>
          <w:rFonts w:cs="Times New Roman"/>
        </w:rPr>
      </w:pPr>
      <w:r w:rsidRPr="00CF4D15">
        <w:rPr>
          <w:rFonts w:cs="Times New Roman"/>
        </w:rPr>
        <w:t xml:space="preserve">Informal advice from industry is that manufacturers of these sensor products moved to three wire designs from 2010, making these more recent products highly compatible with LED. Outdoor sensor lights are often exposed to the elements and therefore have a shorter life span of between 5 to 10 years. On the assumption that many </w:t>
      </w:r>
      <w:r w:rsidR="00FC1213">
        <w:rPr>
          <w:rFonts w:cs="Times New Roman"/>
        </w:rPr>
        <w:t xml:space="preserve">two wire </w:t>
      </w:r>
      <w:r w:rsidRPr="00CF4D15">
        <w:rPr>
          <w:rFonts w:cs="Times New Roman"/>
        </w:rPr>
        <w:t>products will be due for replacement by 2018</w:t>
      </w:r>
      <w:r w:rsidR="00FC1213">
        <w:rPr>
          <w:rFonts w:cs="Times New Roman"/>
        </w:rPr>
        <w:t xml:space="preserve"> (purchased before 2010)</w:t>
      </w:r>
      <w:r w:rsidRPr="00CF4D15">
        <w:rPr>
          <w:rFonts w:cs="Times New Roman"/>
        </w:rPr>
        <w:t>,</w:t>
      </w:r>
      <w:r>
        <w:rPr>
          <w:rFonts w:cs="Times New Roman"/>
        </w:rPr>
        <w:t xml:space="preserve"> the </w:t>
      </w:r>
      <w:r w:rsidRPr="00CF4D15">
        <w:rPr>
          <w:rFonts w:cs="Times New Roman"/>
        </w:rPr>
        <w:t xml:space="preserve">costs of upgrading </w:t>
      </w:r>
      <w:r w:rsidRPr="00470961">
        <w:rPr>
          <w:rFonts w:cs="Times New Roman"/>
        </w:rPr>
        <w:t>sensor lights have not been accounted</w:t>
      </w:r>
      <w:r>
        <w:rPr>
          <w:rFonts w:cs="Times New Roman"/>
        </w:rPr>
        <w:t xml:space="preserve"> for</w:t>
      </w:r>
      <w:r w:rsidRPr="00470961">
        <w:rPr>
          <w:rFonts w:cs="Times New Roman"/>
        </w:rPr>
        <w:t xml:space="preserve">. </w:t>
      </w:r>
    </w:p>
    <w:p w14:paraId="17B1DD25" w14:textId="77777777" w:rsidR="007359BF" w:rsidRPr="00A94838" w:rsidRDefault="007359BF" w:rsidP="007359BF">
      <w:pPr>
        <w:pStyle w:val="E3BodyText"/>
        <w:rPr>
          <w:b/>
        </w:rPr>
      </w:pPr>
      <w:r w:rsidRPr="00A94838">
        <w:rPr>
          <w:b/>
        </w:rPr>
        <w:t>Controls</w:t>
      </w:r>
    </w:p>
    <w:p w14:paraId="1D7D94CF" w14:textId="77777777" w:rsidR="007359BF" w:rsidRDefault="007359BF" w:rsidP="007359BF">
      <w:pPr>
        <w:pStyle w:val="E3BodyText"/>
      </w:pPr>
      <w:r>
        <w:t>For impacted households, options include:</w:t>
      </w:r>
    </w:p>
    <w:p w14:paraId="75C27DCC" w14:textId="77777777" w:rsidR="007359BF" w:rsidRDefault="007359BF" w:rsidP="007359BF">
      <w:pPr>
        <w:pStyle w:val="E3Bullets"/>
      </w:pPr>
      <w:r>
        <w:t>Deferring costs in the short term by keeping spare halogen lamps on hand</w:t>
      </w:r>
    </w:p>
    <w:p w14:paraId="4160E894" w14:textId="6649B8E1" w:rsidR="007359BF" w:rsidRDefault="007359BF" w:rsidP="007359BF">
      <w:pPr>
        <w:pStyle w:val="E3Bullets"/>
      </w:pPr>
      <w:r>
        <w:t>Replacing the sensor or timer or modifying the load, seeking to incorporate this job with the next electrician visit to reduce costs</w:t>
      </w:r>
      <w:r w:rsidR="00B63592">
        <w:t>.</w:t>
      </w:r>
    </w:p>
    <w:p w14:paraId="3DC75E24" w14:textId="77777777" w:rsidR="007359BF" w:rsidRPr="004973CC" w:rsidRDefault="007359BF" w:rsidP="003B62AD">
      <w:pPr>
        <w:pStyle w:val="E3Heading4"/>
      </w:pPr>
      <w:r w:rsidRPr="004973CC">
        <w:t>Ripple control filtering</w:t>
      </w:r>
    </w:p>
    <w:p w14:paraId="247365E5" w14:textId="77777777" w:rsidR="007359BF" w:rsidRPr="00CF4D15" w:rsidRDefault="007359BF" w:rsidP="003B62AD">
      <w:pPr>
        <w:pStyle w:val="E3BodyText"/>
      </w:pPr>
      <w:r w:rsidRPr="00CF4D15">
        <w:t>Some consumers in certain geographic areas in Australia may notice that their LED lamps flicker for a short period (approximately 2-3 minutes), as ripple control signals are sent several times a day from distribution network service providers to control off peak tariff hot water, street lamps and space heating. The impact may vary due to the strength of the ripple current signals experienced, which can be locally amplified due to resonance in the network resulting from reactive loads</w:t>
      </w:r>
      <w:r>
        <w:t>.</w:t>
      </w:r>
    </w:p>
    <w:p w14:paraId="7A18BB5C" w14:textId="77777777" w:rsidR="007359BF" w:rsidRPr="00CF4D15" w:rsidRDefault="007359BF" w:rsidP="003B62AD">
      <w:pPr>
        <w:pStyle w:val="E3BodyText"/>
      </w:pPr>
      <w:r w:rsidRPr="00CF4D15">
        <w:t>The problem may occur in LED lighting due to their electronic design, possibly combined with an increase in the signal strength being experienced in the network.  This is an existing issue that has also been reported to affect other household electrical products (including humming in electric fans, fast electric clocks and unintended operation of ovens).</w:t>
      </w:r>
    </w:p>
    <w:p w14:paraId="790BB53F" w14:textId="6340BBC6" w:rsidR="00982C67" w:rsidRDefault="007359BF" w:rsidP="003B62AD">
      <w:pPr>
        <w:pStyle w:val="E3BodyText"/>
        <w:sectPr w:rsidR="00982C67" w:rsidSect="00A967A4">
          <w:pgSz w:w="11907" w:h="16840" w:code="9"/>
          <w:pgMar w:top="1134" w:right="1134" w:bottom="1418" w:left="1134" w:header="709" w:footer="709" w:gutter="0"/>
          <w:cols w:space="720"/>
          <w:titlePg/>
          <w:docGrid w:linePitch="360"/>
        </w:sectPr>
      </w:pPr>
      <w:r>
        <w:t>The Department has established a Ripple Control working group that includes membership from</w:t>
      </w:r>
      <w:r w:rsidRPr="00CF4D15">
        <w:t xml:space="preserve"> </w:t>
      </w:r>
      <w:r>
        <w:t xml:space="preserve">LCA, Lighting Council New Zealand, </w:t>
      </w:r>
      <w:r w:rsidRPr="00CF4D15">
        <w:t xml:space="preserve">Energy </w:t>
      </w:r>
      <w:r>
        <w:t>N</w:t>
      </w:r>
      <w:r w:rsidRPr="00CF4D15">
        <w:t>etwork</w:t>
      </w:r>
      <w:r w:rsidR="00B23FB6">
        <w:t>s</w:t>
      </w:r>
      <w:r w:rsidRPr="00CF4D15">
        <w:t xml:space="preserve"> Association</w:t>
      </w:r>
      <w:r>
        <w:t>, University of Wollongong and energy network and lighting manufacturers,</w:t>
      </w:r>
      <w:r w:rsidRPr="00CF4D15">
        <w:t xml:space="preserve"> to understand the geographical areas affected, conditions when this can occur and options to resolve.</w:t>
      </w:r>
      <w:r>
        <w:t xml:space="preserve"> It is anticipated that options to address this problem can developed with the various parties involved before October 2019.</w:t>
      </w:r>
    </w:p>
    <w:p w14:paraId="070B0C28" w14:textId="22762D7D" w:rsidR="00982C67" w:rsidRPr="00343437" w:rsidRDefault="00135A2B" w:rsidP="00982C67">
      <w:pPr>
        <w:pStyle w:val="E3ChapterTitle"/>
        <w:spacing w:after="1320"/>
      </w:pPr>
      <w:bookmarkStart w:id="62" w:name="Attachment_I"/>
      <w:bookmarkStart w:id="63" w:name="_Toc493159060"/>
      <w:bookmarkEnd w:id="62"/>
      <w:r>
        <w:t>Attachment I</w:t>
      </w:r>
      <w:r w:rsidR="00982C67">
        <w:t>: Lumen maintenance testing</w:t>
      </w:r>
      <w:bookmarkEnd w:id="63"/>
    </w:p>
    <w:p w14:paraId="575B5691" w14:textId="77777777" w:rsidR="00982C67" w:rsidRPr="00C157FA" w:rsidRDefault="00982C67" w:rsidP="00C157FA">
      <w:pPr>
        <w:pStyle w:val="E3Heading2"/>
      </w:pPr>
      <w:bookmarkStart w:id="64" w:name="_Toc493159061"/>
      <w:r w:rsidRPr="00C157FA">
        <w:t>Background</w:t>
      </w:r>
      <w:bookmarkEnd w:id="64"/>
    </w:p>
    <w:p w14:paraId="6614D642" w14:textId="1CA20B2E" w:rsidR="00982C67" w:rsidRPr="0092053E" w:rsidRDefault="00982C67" w:rsidP="003B62AD">
      <w:pPr>
        <w:pStyle w:val="E3BodyText"/>
      </w:pPr>
      <w:r w:rsidRPr="0092053E">
        <w:rPr>
          <w:b/>
        </w:rPr>
        <w:t>Lumen maintenance (or lumen depreciation) is the reduction in light output of a light source over time.</w:t>
      </w:r>
      <w:r w:rsidRPr="0092053E">
        <w:t xml:space="preserve"> It is one form of parametric failure of LED light sources. The typical parameter used to quantify lumen maintenance is the L</w:t>
      </w:r>
      <w:r w:rsidRPr="0092053E">
        <w:rPr>
          <w:vertAlign w:val="subscript"/>
        </w:rPr>
        <w:t>70</w:t>
      </w:r>
      <w:r w:rsidRPr="0092053E">
        <w:t xml:space="preserve"> which is defined as the time duration at which the emitted luminous flux from a light source has reduced to 70% of the initial luminous flux emitted</w:t>
      </w:r>
      <w:r w:rsidRPr="005B48C2">
        <w:t xml:space="preserve">, </w:t>
      </w:r>
      <w:r w:rsidR="005B48C2" w:rsidRPr="005B48C2">
        <w:fldChar w:fldCharType="begin"/>
      </w:r>
      <w:r w:rsidR="005B48C2" w:rsidRPr="005B48C2">
        <w:instrText xml:space="preserve"> REF _Ref493076942 \h  \* MERGEFORMAT </w:instrText>
      </w:r>
      <w:r w:rsidR="005B48C2" w:rsidRPr="005B48C2">
        <w:fldChar w:fldCharType="separate"/>
      </w:r>
      <w:r w:rsidR="005933B0">
        <w:t>Figure 7</w:t>
      </w:r>
      <w:r w:rsidR="005B48C2" w:rsidRPr="005B48C2">
        <w:fldChar w:fldCharType="end"/>
      </w:r>
      <w:r w:rsidRPr="005B48C2">
        <w:t>.</w:t>
      </w:r>
      <w:r w:rsidRPr="0092053E">
        <w:t xml:space="preserve"> Other metrics such as L</w:t>
      </w:r>
      <w:r w:rsidRPr="0092053E">
        <w:rPr>
          <w:vertAlign w:val="subscript"/>
        </w:rPr>
        <w:t>85</w:t>
      </w:r>
      <w:r w:rsidRPr="0092053E">
        <w:t xml:space="preserve"> and L</w:t>
      </w:r>
      <w:r w:rsidRPr="0092053E">
        <w:rPr>
          <w:vertAlign w:val="subscript"/>
        </w:rPr>
        <w:t>90</w:t>
      </w:r>
      <w:r w:rsidRPr="0092053E">
        <w:t xml:space="preserve"> representing 85% and 90% respectively of the initial luminous flux have also been provided by manufacturers. </w:t>
      </w:r>
    </w:p>
    <w:p w14:paraId="45F6E153" w14:textId="77777777" w:rsidR="009D2249" w:rsidRDefault="00982C67" w:rsidP="009D2249">
      <w:pPr>
        <w:keepNext/>
      </w:pPr>
      <w:r>
        <w:rPr>
          <w:lang w:eastAsia="en-AU"/>
        </w:rPr>
        <w:drawing>
          <wp:inline distT="0" distB="0" distL="0" distR="0" wp14:anchorId="02711F5C" wp14:editId="43E5A9D3">
            <wp:extent cx="5396666" cy="2506980"/>
            <wp:effectExtent l="133350" t="133350" r="147320" b="160020"/>
            <wp:docPr id="15" name="Picture 15" descr="Graph shows decrease of relative luminous flux output (as a percentage), over the time of operation (10,000 hours to 100,000 hours)." title="Graph showing LED lumen depre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t="11639"/>
                    <a:stretch/>
                  </pic:blipFill>
                  <pic:spPr bwMode="auto">
                    <a:xfrm>
                      <a:off x="0" y="0"/>
                      <a:ext cx="5415484" cy="25157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14:paraId="486C9D29" w14:textId="315CA6EF" w:rsidR="00982C67" w:rsidRDefault="009D2249" w:rsidP="009D2249">
      <w:pPr>
        <w:pStyle w:val="Caption"/>
      </w:pPr>
      <w:bookmarkStart w:id="65" w:name="_Ref493076942"/>
      <w:bookmarkStart w:id="66" w:name="_Toc493158349"/>
      <w:r>
        <w:t xml:space="preserve">Figure </w:t>
      </w:r>
      <w:r>
        <w:fldChar w:fldCharType="begin"/>
      </w:r>
      <w:r>
        <w:instrText xml:space="preserve"> SEQ Figure \* ARABIC </w:instrText>
      </w:r>
      <w:r>
        <w:fldChar w:fldCharType="separate"/>
      </w:r>
      <w:r w:rsidR="005933B0">
        <w:t>7</w:t>
      </w:r>
      <w:r>
        <w:fldChar w:fldCharType="end"/>
      </w:r>
      <w:bookmarkEnd w:id="65"/>
      <w:r>
        <w:t xml:space="preserve">: </w:t>
      </w:r>
      <w:r w:rsidRPr="009D2249">
        <w:t>Example of different LED lumen depreciation rates and associated L70 values</w:t>
      </w:r>
      <w:bookmarkEnd w:id="66"/>
    </w:p>
    <w:p w14:paraId="70C02250" w14:textId="77777777" w:rsidR="00982C67" w:rsidRPr="0092053E" w:rsidRDefault="00982C67" w:rsidP="00AE4F4A">
      <w:pPr>
        <w:pStyle w:val="E3BodyText"/>
      </w:pPr>
      <w:r w:rsidRPr="0092053E">
        <w:t>For an LED product, the L</w:t>
      </w:r>
      <w:r w:rsidRPr="0092053E">
        <w:rPr>
          <w:vertAlign w:val="subscript"/>
        </w:rPr>
        <w:t>70</w:t>
      </w:r>
      <w:r w:rsidRPr="0092053E">
        <w:t xml:space="preserve"> is typically stated as the median (50</w:t>
      </w:r>
      <w:r w:rsidRPr="0092053E">
        <w:rPr>
          <w:vertAlign w:val="superscript"/>
        </w:rPr>
        <w:t>th</w:t>
      </w:r>
      <w:r w:rsidRPr="0092053E">
        <w:t xml:space="preserve"> percentile) and is represented by L</w:t>
      </w:r>
      <w:r w:rsidRPr="0092053E">
        <w:rPr>
          <w:vertAlign w:val="subscript"/>
        </w:rPr>
        <w:t>70</w:t>
      </w:r>
      <w:r w:rsidRPr="0092053E">
        <w:t>B</w:t>
      </w:r>
      <w:r w:rsidRPr="0092053E">
        <w:rPr>
          <w:vertAlign w:val="subscript"/>
        </w:rPr>
        <w:t>50</w:t>
      </w:r>
      <w:r w:rsidRPr="0092053E">
        <w:t>. This is where 50% of test samples of the product will have failed due to their light output having dropped below 70% of the initial light output. Higher lumen maintenance levels such as L</w:t>
      </w:r>
      <w:r w:rsidRPr="0092053E">
        <w:rPr>
          <w:vertAlign w:val="subscript"/>
        </w:rPr>
        <w:t>90</w:t>
      </w:r>
      <w:r w:rsidRPr="0092053E">
        <w:t>, are sometimes stated on high-end professional products but also accompanied with a much lower failure proportion such as 10%, (and signified as L</w:t>
      </w:r>
      <w:r w:rsidRPr="0092053E">
        <w:rPr>
          <w:vertAlign w:val="subscript"/>
        </w:rPr>
        <w:t>90</w:t>
      </w:r>
      <w:r w:rsidRPr="0092053E">
        <w:t>B</w:t>
      </w:r>
      <w:r w:rsidRPr="0092053E">
        <w:rPr>
          <w:vertAlign w:val="subscript"/>
        </w:rPr>
        <w:t>10</w:t>
      </w:r>
      <w:r w:rsidRPr="0092053E">
        <w:t>).</w:t>
      </w:r>
    </w:p>
    <w:p w14:paraId="15F158EB" w14:textId="77777777" w:rsidR="00982C67" w:rsidRPr="0092053E" w:rsidRDefault="00982C67" w:rsidP="00AE4F4A">
      <w:pPr>
        <w:pStyle w:val="E3BodyText"/>
      </w:pPr>
      <w:r w:rsidRPr="0092053E">
        <w:t>With conventional light sources, lumen maintenance was determined by operating product samples under test conditions until half (ie 50</w:t>
      </w:r>
      <w:r w:rsidRPr="0092053E">
        <w:rPr>
          <w:vertAlign w:val="superscript"/>
        </w:rPr>
        <w:t>th</w:t>
      </w:r>
      <w:r w:rsidRPr="0092053E">
        <w:t xml:space="preserve"> percentile) the samples reached the target depreciation level. But due to the extremely long operating time generally required for an LED light source to reach 70% of the initial luminous flux emitted, </w:t>
      </w:r>
      <w:r w:rsidRPr="0092053E">
        <w:rPr>
          <w:b/>
        </w:rPr>
        <w:t>physical testing of LED products until they reach this point is impractical</w:t>
      </w:r>
      <w:r w:rsidRPr="0092053E">
        <w:t xml:space="preserve">. </w:t>
      </w:r>
    </w:p>
    <w:p w14:paraId="66ECDA9A" w14:textId="540850A8" w:rsidR="00982C67" w:rsidRPr="0092053E" w:rsidRDefault="00982C67" w:rsidP="00AE4F4A">
      <w:pPr>
        <w:pStyle w:val="E3BodyText"/>
      </w:pPr>
      <w:r w:rsidRPr="0092053E">
        <w:t xml:space="preserve">LED light sources are known to experience greater lumen depreciation than conventional light sources such as incandescent and fluorescent technology </w:t>
      </w:r>
      <w:r w:rsidRPr="00BB394A">
        <w:t>lamps,</w:t>
      </w:r>
      <w:r w:rsidR="00BB394A" w:rsidRPr="00BB394A">
        <w:t xml:space="preserve"> </w:t>
      </w:r>
      <w:r w:rsidR="00BB394A" w:rsidRPr="00BB394A">
        <w:fldChar w:fldCharType="begin"/>
      </w:r>
      <w:r w:rsidR="00BB394A" w:rsidRPr="00BB394A">
        <w:instrText xml:space="preserve"> REF _Ref492043399 \h  \* MERGEFORMAT </w:instrText>
      </w:r>
      <w:r w:rsidR="00BB394A" w:rsidRPr="00BB394A">
        <w:fldChar w:fldCharType="separate"/>
      </w:r>
      <w:r w:rsidR="005933B0">
        <w:t>Figure 8</w:t>
      </w:r>
      <w:r w:rsidR="00BB394A" w:rsidRPr="00BB394A">
        <w:fldChar w:fldCharType="end"/>
      </w:r>
      <w:r w:rsidRPr="00BB394A">
        <w:t>.  Thus, while LED lighting</w:t>
      </w:r>
      <w:r w:rsidRPr="0092053E">
        <w:t xml:space="preserve"> might offer a longer life product, once the lumen maintenance has reached L</w:t>
      </w:r>
      <w:r w:rsidRPr="0092053E">
        <w:rPr>
          <w:vertAlign w:val="subscript"/>
        </w:rPr>
        <w:t>70</w:t>
      </w:r>
      <w:r w:rsidRPr="0092053E">
        <w:t>, the product is no longer considered to be providing the desired lighting service satisfying the original intent.  This means that the useful life of the product may be significantly less than the actual time to failure (ie no light output) of the LED product.</w:t>
      </w:r>
    </w:p>
    <w:p w14:paraId="01850065" w14:textId="77777777" w:rsidR="00495815" w:rsidRDefault="00982C67" w:rsidP="00495815">
      <w:pPr>
        <w:keepNext/>
      </w:pPr>
      <w:r>
        <w:rPr>
          <w:lang w:eastAsia="en-AU"/>
        </w:rPr>
        <w:drawing>
          <wp:inline distT="0" distB="0" distL="0" distR="0" wp14:anchorId="703B7FA0" wp14:editId="492D7931">
            <wp:extent cx="5400000" cy="3532838"/>
            <wp:effectExtent l="0" t="0" r="0" b="0"/>
            <wp:docPr id="18" name="Picture 18" descr="Linear fluorescent, CFL, tungsten halogen and LED (long life, medium life and short life) lamps operating hours are graphed showing light output depreciation (as a % relative to the intial output)." title="Graph showing lumen depreciation of different lamp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0000" cy="3532838"/>
                    </a:xfrm>
                    <a:prstGeom prst="rect">
                      <a:avLst/>
                    </a:prstGeom>
                    <a:noFill/>
                  </pic:spPr>
                </pic:pic>
              </a:graphicData>
            </a:graphic>
          </wp:inline>
        </w:drawing>
      </w:r>
    </w:p>
    <w:p w14:paraId="278B3EBB" w14:textId="4E557D7E" w:rsidR="00982C67" w:rsidRDefault="00495815" w:rsidP="00495815">
      <w:pPr>
        <w:pStyle w:val="Caption"/>
      </w:pPr>
      <w:bookmarkStart w:id="67" w:name="_Ref492043399"/>
      <w:bookmarkStart w:id="68" w:name="_Toc493158350"/>
      <w:r>
        <w:t xml:space="preserve">Figure </w:t>
      </w:r>
      <w:r>
        <w:fldChar w:fldCharType="begin"/>
      </w:r>
      <w:r>
        <w:instrText xml:space="preserve"> SEQ Figure \* ARABIC </w:instrText>
      </w:r>
      <w:r>
        <w:fldChar w:fldCharType="separate"/>
      </w:r>
      <w:r w:rsidR="005933B0">
        <w:t>8</w:t>
      </w:r>
      <w:r>
        <w:fldChar w:fldCharType="end"/>
      </w:r>
      <w:bookmarkEnd w:id="67"/>
      <w:r>
        <w:t xml:space="preserve">: </w:t>
      </w:r>
      <w:r w:rsidRPr="00495815">
        <w:t>Lumen depreciation and life of different lamp technologies</w:t>
      </w:r>
      <w:bookmarkEnd w:id="68"/>
    </w:p>
    <w:p w14:paraId="2417BB89" w14:textId="77777777" w:rsidR="00982C67" w:rsidRPr="0092053E" w:rsidRDefault="00982C67" w:rsidP="00AE4F4A">
      <w:pPr>
        <w:pStyle w:val="E3BodyText"/>
      </w:pPr>
      <w:r w:rsidRPr="0092053E">
        <w:rPr>
          <w:b/>
        </w:rPr>
        <w:t>The initial and long-term performance characteristics of LED chips and the phosphors used to create the white light are sensitive to temperature.</w:t>
      </w:r>
      <w:r w:rsidRPr="0092053E">
        <w:t xml:space="preserve"> The initial luminous flux and the lumen depreciation rate will change for different operating temperatures of the LED package/module. The initial luminous flux will decrease and the rate of lumen depreciation will increase (i.e. shorter L</w:t>
      </w:r>
      <w:r w:rsidRPr="0092053E">
        <w:rPr>
          <w:vertAlign w:val="subscript"/>
        </w:rPr>
        <w:t>70</w:t>
      </w:r>
      <w:r w:rsidRPr="0092053E">
        <w:t xml:space="preserve">) with higher LED package/module temperatures (which have a correlation with the junction point temperature of the LED chip. For the LED package/module the stabilised operating temperature is the combination of effects from the drive current and the capacity (based on package/module design) for thermal dissipation. Thus, to manage the lumen depreciation rate of an LED package/module within an LED luminaire, its in-situ temperature must be able to be measured and controlled. </w:t>
      </w:r>
    </w:p>
    <w:p w14:paraId="3D824645" w14:textId="77777777" w:rsidR="00982C67" w:rsidRDefault="00982C67" w:rsidP="00982C67"/>
    <w:p w14:paraId="49CE9431" w14:textId="77777777" w:rsidR="00982C67" w:rsidRPr="00982C67" w:rsidRDefault="00982C67" w:rsidP="00C157FA">
      <w:pPr>
        <w:pStyle w:val="E3Heading3"/>
      </w:pPr>
      <w:r>
        <w:t>Temperature measurement point</w:t>
      </w:r>
    </w:p>
    <w:p w14:paraId="1517EE73" w14:textId="77777777" w:rsidR="00982C67" w:rsidRPr="0092053E" w:rsidRDefault="00982C67" w:rsidP="00AE4F4A">
      <w:pPr>
        <w:pStyle w:val="E3BodyText"/>
      </w:pPr>
      <w:r w:rsidRPr="0092053E">
        <w:t xml:space="preserve">LED package/modules have a temperature gradient that will be highest at the heat generating source, the LED chip. Measurement of the temperature at the LED chip most likely will not be possible due to its lack of accessibility within the LED package/module or luminaire. An alternative temperature measurement can be obtained at a more accessible position on the LED package/module which is most representative of the LED chip temperature. This temperature measurement point should be specified by the package/module manufacturer and is a requirement of the relevant LED light source performance and test method standards. </w:t>
      </w:r>
    </w:p>
    <w:p w14:paraId="522372AA" w14:textId="77777777" w:rsidR="00982C67" w:rsidRPr="0092053E" w:rsidRDefault="00982C67" w:rsidP="00AE4F4A">
      <w:pPr>
        <w:pStyle w:val="E3BodyText"/>
      </w:pPr>
      <w:r w:rsidRPr="0092053E">
        <w:t xml:space="preserve">This temperature at this temperature measurement point has varying designations by different publications: </w:t>
      </w:r>
    </w:p>
    <w:p w14:paraId="34F2C923" w14:textId="77777777" w:rsidR="00982C67" w:rsidRPr="0092053E" w:rsidRDefault="00982C67" w:rsidP="00AE4F4A">
      <w:pPr>
        <w:pStyle w:val="E3Bullets"/>
      </w:pPr>
      <w:r w:rsidRPr="0092053E">
        <w:t>t</w:t>
      </w:r>
      <w:r w:rsidRPr="0092053E">
        <w:rPr>
          <w:vertAlign w:val="subscript"/>
        </w:rPr>
        <w:t>LED</w:t>
      </w:r>
      <w:r w:rsidRPr="0092053E">
        <w:t xml:space="preserve"> in IEC 62612 (lamps); </w:t>
      </w:r>
    </w:p>
    <w:p w14:paraId="611B1456" w14:textId="77777777" w:rsidR="00982C67" w:rsidRPr="0092053E" w:rsidRDefault="00982C67" w:rsidP="00AE4F4A">
      <w:pPr>
        <w:pStyle w:val="E3Bullets"/>
      </w:pPr>
      <w:r w:rsidRPr="0092053E">
        <w:t>t</w:t>
      </w:r>
      <w:r w:rsidRPr="0092053E">
        <w:rPr>
          <w:vertAlign w:val="subscript"/>
        </w:rPr>
        <w:t>p</w:t>
      </w:r>
      <w:r w:rsidRPr="0092053E">
        <w:t xml:space="preserve">, in IEC standards 62717 (modules) and 62722-2-1 (luminaires); </w:t>
      </w:r>
    </w:p>
    <w:p w14:paraId="66E8122A" w14:textId="77777777" w:rsidR="00982C67" w:rsidRPr="0092053E" w:rsidRDefault="00982C67" w:rsidP="00AE4F4A">
      <w:pPr>
        <w:pStyle w:val="E3Bullets"/>
      </w:pPr>
      <w:r w:rsidRPr="0092053E">
        <w:t>T</w:t>
      </w:r>
      <w:r w:rsidRPr="0092053E">
        <w:rPr>
          <w:vertAlign w:val="subscript"/>
        </w:rPr>
        <w:t>s</w:t>
      </w:r>
      <w:r w:rsidRPr="0092053E">
        <w:t xml:space="preserve"> in IESNA standards LM-80/TM-21 and LM-84/TM-28; and </w:t>
      </w:r>
    </w:p>
    <w:p w14:paraId="700DB6D0" w14:textId="48BE2C8A" w:rsidR="00982C67" w:rsidRPr="0092053E" w:rsidRDefault="00982C67" w:rsidP="00AE4F4A">
      <w:pPr>
        <w:pStyle w:val="E3Bullets"/>
      </w:pPr>
      <w:r w:rsidRPr="0092053E">
        <w:t>T</w:t>
      </w:r>
      <w:r w:rsidRPr="0092053E">
        <w:rPr>
          <w:vertAlign w:val="subscript"/>
        </w:rPr>
        <w:t>c</w:t>
      </w:r>
      <w:r w:rsidRPr="0092053E">
        <w:t xml:space="preserve"> in some manufacturer </w:t>
      </w:r>
      <w:r w:rsidRPr="00BB0ACD">
        <w:t>documentation,</w:t>
      </w:r>
      <w:r w:rsidR="00BB0ACD" w:rsidRPr="00BB0ACD">
        <w:t xml:space="preserve"> </w:t>
      </w:r>
      <w:r w:rsidR="00BB0ACD" w:rsidRPr="00BB0ACD">
        <w:fldChar w:fldCharType="begin"/>
      </w:r>
      <w:r w:rsidR="00BB0ACD" w:rsidRPr="00BB0ACD">
        <w:instrText xml:space="preserve"> REF _Ref492042392 \h  \* MERGEFORMAT </w:instrText>
      </w:r>
      <w:r w:rsidR="00BB0ACD" w:rsidRPr="00BB0ACD">
        <w:fldChar w:fldCharType="separate"/>
      </w:r>
      <w:r w:rsidR="005933B0">
        <w:t xml:space="preserve">Figure </w:t>
      </w:r>
      <w:r w:rsidR="005933B0">
        <w:rPr>
          <w:noProof/>
        </w:rPr>
        <w:t>9</w:t>
      </w:r>
      <w:r w:rsidR="00BB0ACD" w:rsidRPr="00BB0ACD">
        <w:fldChar w:fldCharType="end"/>
      </w:r>
      <w:r w:rsidR="00F9596F">
        <w:rPr>
          <w:rStyle w:val="FootnoteReference"/>
        </w:rPr>
        <w:footnoteReference w:id="12"/>
      </w:r>
      <w:r w:rsidRPr="00BB0ACD">
        <w:t>.</w:t>
      </w:r>
      <w:r w:rsidRPr="0092053E">
        <w:t xml:space="preserve"> </w:t>
      </w:r>
    </w:p>
    <w:p w14:paraId="592B366F" w14:textId="5B5DC85F" w:rsidR="00982C67" w:rsidRDefault="00982C67" w:rsidP="002F626A">
      <w:pPr>
        <w:ind w:left="1440" w:firstLine="720"/>
      </w:pPr>
      <w:r w:rsidRPr="00751DC4">
        <w:rPr>
          <w:lang w:eastAsia="en-AU"/>
        </w:rPr>
        <w:drawing>
          <wp:inline distT="0" distB="0" distL="0" distR="0" wp14:anchorId="627FF694" wp14:editId="4028B1BB">
            <wp:extent cx="2149200" cy="1616400"/>
            <wp:effectExtent l="0" t="0" r="3810" b="3175"/>
            <wp:docPr id="22" name="Picture 22" descr="Image showing measuring point for thermocouple in a manufacturer's docu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149200" cy="1616400"/>
                    </a:xfrm>
                    <a:prstGeom prst="rect">
                      <a:avLst/>
                    </a:prstGeom>
                  </pic:spPr>
                </pic:pic>
              </a:graphicData>
            </a:graphic>
          </wp:inline>
        </w:drawing>
      </w:r>
    </w:p>
    <w:p w14:paraId="3E1210C9" w14:textId="7490E2F0" w:rsidR="00BB0ACD" w:rsidRPr="00BB0ACD" w:rsidRDefault="00BB0ACD" w:rsidP="00BB0ACD">
      <w:pPr>
        <w:pStyle w:val="Caption"/>
        <w:rPr>
          <w:sz w:val="19"/>
          <w:szCs w:val="24"/>
        </w:rPr>
      </w:pPr>
      <w:bookmarkStart w:id="69" w:name="_Ref492042392"/>
      <w:bookmarkStart w:id="70" w:name="_Toc493158351"/>
      <w:r>
        <w:t xml:space="preserve">Figure </w:t>
      </w:r>
      <w:r>
        <w:fldChar w:fldCharType="begin"/>
      </w:r>
      <w:r>
        <w:instrText xml:space="preserve"> SEQ Figure \* ARABIC </w:instrText>
      </w:r>
      <w:r>
        <w:fldChar w:fldCharType="separate"/>
      </w:r>
      <w:r w:rsidR="005933B0">
        <w:t>9</w:t>
      </w:r>
      <w:r>
        <w:fldChar w:fldCharType="end"/>
      </w:r>
      <w:bookmarkEnd w:id="69"/>
      <w:r>
        <w:t>:</w:t>
      </w:r>
      <w:r w:rsidRPr="00BB0ACD">
        <w:t xml:space="preserve"> Manufacturer's designation of the Temperature Measurement Point</w:t>
      </w:r>
      <w:bookmarkEnd w:id="70"/>
    </w:p>
    <w:p w14:paraId="10943B43" w14:textId="77777777" w:rsidR="00982C67" w:rsidRDefault="00982C67" w:rsidP="00C157FA">
      <w:pPr>
        <w:pStyle w:val="E3Heading2"/>
      </w:pPr>
      <w:bookmarkStart w:id="71" w:name="_Toc493159062"/>
      <w:r>
        <w:t>Theoretical basis behind testing</w:t>
      </w:r>
      <w:bookmarkEnd w:id="71"/>
    </w:p>
    <w:p w14:paraId="21B236EF" w14:textId="77777777" w:rsidR="00982C67" w:rsidRPr="004D1B57" w:rsidRDefault="00982C67" w:rsidP="00C157FA">
      <w:pPr>
        <w:pStyle w:val="E3Heading3"/>
      </w:pPr>
      <w:r>
        <w:t>L</w:t>
      </w:r>
      <w:r w:rsidRPr="004D1B57">
        <w:t xml:space="preserve">umen </w:t>
      </w:r>
      <w:r>
        <w:t>maintenance</w:t>
      </w:r>
      <w:r w:rsidRPr="004D1B57">
        <w:t xml:space="preserve"> </w:t>
      </w:r>
      <w:r>
        <w:t>model</w:t>
      </w:r>
    </w:p>
    <w:p w14:paraId="4CF22E23" w14:textId="77777777" w:rsidR="00982C67" w:rsidRPr="0092053E" w:rsidRDefault="00982C67" w:rsidP="00AE4F4A">
      <w:pPr>
        <w:pStyle w:val="E3BodyText"/>
      </w:pPr>
      <w:r w:rsidRPr="0092053E">
        <w:t>Based on the collective research from many manufacturers and research laboratories a mathematical (exponential) model has been developed which describes the lumen depreciation of an LED light source. It is:</w:t>
      </w:r>
    </w:p>
    <w:p w14:paraId="01E0E137" w14:textId="77777777" w:rsidR="00982C67" w:rsidRPr="0092053E" w:rsidRDefault="00982C67" w:rsidP="00982C67">
      <w:pPr>
        <w:rPr>
          <w:rFonts w:ascii="Calibri" w:eastAsiaTheme="minorEastAsia" w:hAnsi="Calibri"/>
          <w:sz w:val="24"/>
        </w:rPr>
      </w:pPr>
      <m:oMathPara>
        <m:oMathParaPr>
          <m:jc m:val="center"/>
        </m:oMathParaPr>
        <m:oMath>
          <m:r>
            <m:rPr>
              <m:sty m:val="p"/>
            </m:rPr>
            <w:rPr>
              <w:rFonts w:ascii="Cambria Math" w:hAnsi="Cambria Math"/>
              <w:sz w:val="24"/>
            </w:rPr>
            <m:t>Φ</m:t>
          </m:r>
          <m:d>
            <m:dPr>
              <m:ctrlPr>
                <w:rPr>
                  <w:rFonts w:ascii="Cambria Math" w:hAnsi="Cambria Math"/>
                  <w:i/>
                  <w:sz w:val="24"/>
                </w:rPr>
              </m:ctrlPr>
            </m:dPr>
            <m:e>
              <m:r>
                <w:rPr>
                  <w:rFonts w:ascii="Cambria Math" w:hAnsi="Cambria Math"/>
                  <w:sz w:val="24"/>
                </w:rPr>
                <m:t>t</m:t>
              </m:r>
            </m:e>
          </m:d>
          <m:r>
            <w:rPr>
              <w:rFonts w:ascii="Cambria Math" w:hAnsi="Cambria Math"/>
              <w:sz w:val="24"/>
            </w:rPr>
            <m:t>=B</m:t>
          </m:r>
          <m:sSup>
            <m:sSupPr>
              <m:ctrlPr>
                <w:rPr>
                  <w:rFonts w:ascii="Cambria Math" w:hAnsi="Cambria Math"/>
                  <w:i/>
                  <w:sz w:val="24"/>
                </w:rPr>
              </m:ctrlPr>
            </m:sSupPr>
            <m:e>
              <m:r>
                <w:rPr>
                  <w:rFonts w:ascii="Cambria Math" w:hAnsi="Cambria Math"/>
                  <w:sz w:val="24"/>
                </w:rPr>
                <m:t>exp</m:t>
              </m:r>
            </m:e>
            <m:sup>
              <m:r>
                <w:rPr>
                  <w:rFonts w:ascii="Cambria Math" w:hAnsi="Cambria Math"/>
                  <w:sz w:val="24"/>
                </w:rPr>
                <m:t>-αt</m:t>
              </m:r>
            </m:sup>
          </m:sSup>
        </m:oMath>
      </m:oMathPara>
    </w:p>
    <w:p w14:paraId="2B2CAF0F" w14:textId="77777777" w:rsidR="00982C67" w:rsidRPr="0092053E" w:rsidRDefault="00982C67" w:rsidP="00982C67">
      <w:pPr>
        <w:ind w:firstLine="720"/>
        <w:rPr>
          <w:rFonts w:ascii="Calibri" w:eastAsiaTheme="minorEastAsia" w:hAnsi="Calibri"/>
          <w:sz w:val="24"/>
        </w:rPr>
      </w:pPr>
      <w:r w:rsidRPr="0092053E">
        <w:rPr>
          <w:rFonts w:ascii="Calibri" w:eastAsiaTheme="minorEastAsia" w:hAnsi="Calibri"/>
          <w:sz w:val="24"/>
        </w:rPr>
        <w:t>where:</w:t>
      </w:r>
      <w:r w:rsidRPr="0092053E">
        <w:rPr>
          <w:rFonts w:ascii="Calibri" w:eastAsiaTheme="minorEastAsia" w:hAnsi="Calibri"/>
          <w:sz w:val="24"/>
        </w:rPr>
        <w:tab/>
      </w:r>
      <w:r w:rsidRPr="0092053E">
        <w:rPr>
          <w:rFonts w:ascii="Calibri" w:eastAsiaTheme="minorEastAsia" w:hAnsi="Calibri"/>
          <w:sz w:val="24"/>
        </w:rPr>
        <w:tab/>
      </w:r>
      <m:oMath>
        <m:r>
          <w:rPr>
            <w:rFonts w:ascii="Cambria Math" w:hAnsi="Cambria Math"/>
            <w:sz w:val="24"/>
          </w:rPr>
          <m:t>t</m:t>
        </m:r>
      </m:oMath>
      <w:r w:rsidRPr="0092053E">
        <w:rPr>
          <w:rFonts w:ascii="Calibri" w:eastAsiaTheme="minorEastAsia" w:hAnsi="Calibri"/>
          <w:sz w:val="24"/>
        </w:rPr>
        <w:tab/>
        <w:t>= operating time in hours</w:t>
      </w:r>
    </w:p>
    <w:p w14:paraId="6C448F24" w14:textId="77777777" w:rsidR="00982C67" w:rsidRPr="0092053E" w:rsidRDefault="00982C67" w:rsidP="00982C67">
      <w:pPr>
        <w:rPr>
          <w:rFonts w:ascii="Calibri" w:eastAsiaTheme="minorEastAsia" w:hAnsi="Calibri"/>
          <w:sz w:val="24"/>
        </w:rPr>
      </w:pPr>
      <w:r w:rsidRPr="0092053E">
        <w:rPr>
          <w:rFonts w:ascii="Calibri" w:eastAsiaTheme="minorEastAsia" w:hAnsi="Calibri"/>
          <w:sz w:val="24"/>
        </w:rPr>
        <w:tab/>
      </w:r>
      <w:r w:rsidRPr="0092053E">
        <w:rPr>
          <w:rFonts w:ascii="Calibri" w:eastAsiaTheme="minorEastAsia" w:hAnsi="Calibri"/>
          <w:sz w:val="24"/>
        </w:rPr>
        <w:tab/>
      </w:r>
      <w:r w:rsidRPr="0092053E">
        <w:rPr>
          <w:rFonts w:ascii="Calibri" w:eastAsiaTheme="minorEastAsia" w:hAnsi="Calibri"/>
          <w:sz w:val="24"/>
        </w:rPr>
        <w:tab/>
      </w:r>
      <m:oMath>
        <m:r>
          <m:rPr>
            <m:sty m:val="p"/>
          </m:rPr>
          <w:rPr>
            <w:rFonts w:ascii="Cambria Math" w:hAnsi="Cambria Math"/>
            <w:sz w:val="24"/>
          </w:rPr>
          <m:t>Φ</m:t>
        </m:r>
        <m:d>
          <m:dPr>
            <m:ctrlPr>
              <w:rPr>
                <w:rFonts w:ascii="Cambria Math" w:hAnsi="Cambria Math"/>
                <w:i/>
                <w:sz w:val="24"/>
              </w:rPr>
            </m:ctrlPr>
          </m:dPr>
          <m:e>
            <m:r>
              <w:rPr>
                <w:rFonts w:ascii="Cambria Math" w:hAnsi="Cambria Math"/>
                <w:sz w:val="24"/>
              </w:rPr>
              <m:t>t</m:t>
            </m:r>
          </m:e>
        </m:d>
      </m:oMath>
      <w:r w:rsidRPr="0092053E">
        <w:rPr>
          <w:rFonts w:ascii="Calibri" w:eastAsiaTheme="minorEastAsia" w:hAnsi="Calibri"/>
          <w:sz w:val="24"/>
        </w:rPr>
        <w:t xml:space="preserve"> </w:t>
      </w:r>
      <w:r w:rsidRPr="0092053E">
        <w:rPr>
          <w:rFonts w:ascii="Calibri" w:eastAsiaTheme="minorEastAsia" w:hAnsi="Calibri"/>
          <w:sz w:val="24"/>
        </w:rPr>
        <w:tab/>
        <w:t>= luminous flux output at time t</w:t>
      </w:r>
    </w:p>
    <w:p w14:paraId="1D344DDE" w14:textId="77777777" w:rsidR="00982C67" w:rsidRPr="0092053E" w:rsidRDefault="00982C67" w:rsidP="00982C67">
      <w:pPr>
        <w:rPr>
          <w:rFonts w:ascii="Calibri" w:eastAsiaTheme="minorEastAsia" w:hAnsi="Calibri"/>
          <w:sz w:val="24"/>
        </w:rPr>
      </w:pPr>
      <w:r w:rsidRPr="0092053E">
        <w:rPr>
          <w:rFonts w:ascii="Calibri" w:eastAsiaTheme="minorEastAsia" w:hAnsi="Calibri"/>
          <w:sz w:val="24"/>
        </w:rPr>
        <w:tab/>
      </w:r>
      <w:r w:rsidRPr="0092053E">
        <w:rPr>
          <w:rFonts w:ascii="Calibri" w:eastAsiaTheme="minorEastAsia" w:hAnsi="Calibri"/>
          <w:sz w:val="24"/>
        </w:rPr>
        <w:tab/>
      </w:r>
      <w:r w:rsidRPr="0092053E">
        <w:rPr>
          <w:rFonts w:ascii="Calibri" w:eastAsiaTheme="minorEastAsia" w:hAnsi="Calibri"/>
          <w:sz w:val="24"/>
        </w:rPr>
        <w:tab/>
      </w:r>
      <m:oMath>
        <m:r>
          <w:rPr>
            <w:rFonts w:ascii="Cambria Math" w:hAnsi="Cambria Math"/>
            <w:sz w:val="24"/>
          </w:rPr>
          <m:t>B</m:t>
        </m:r>
      </m:oMath>
      <w:r w:rsidRPr="0092053E">
        <w:rPr>
          <w:rFonts w:ascii="Calibri" w:eastAsiaTheme="minorEastAsia" w:hAnsi="Calibri"/>
          <w:sz w:val="24"/>
        </w:rPr>
        <w:tab/>
        <w:t>= initial luminous flux output</w:t>
      </w:r>
    </w:p>
    <w:p w14:paraId="7A9C05CD" w14:textId="77777777" w:rsidR="00982C67" w:rsidRPr="0092053E" w:rsidRDefault="00982C67" w:rsidP="00982C67">
      <w:pPr>
        <w:rPr>
          <w:rFonts w:ascii="Calibri" w:eastAsiaTheme="minorEastAsia" w:hAnsi="Calibri"/>
          <w:sz w:val="24"/>
        </w:rPr>
      </w:pPr>
      <w:r w:rsidRPr="0092053E">
        <w:rPr>
          <w:rFonts w:ascii="Calibri" w:eastAsiaTheme="minorEastAsia" w:hAnsi="Calibri"/>
          <w:sz w:val="24"/>
        </w:rPr>
        <w:tab/>
      </w:r>
      <w:r w:rsidRPr="0092053E">
        <w:rPr>
          <w:rFonts w:ascii="Calibri" w:eastAsiaTheme="minorEastAsia" w:hAnsi="Calibri"/>
          <w:sz w:val="24"/>
        </w:rPr>
        <w:tab/>
      </w:r>
      <w:r w:rsidRPr="0092053E">
        <w:rPr>
          <w:rFonts w:ascii="Calibri" w:eastAsiaTheme="minorEastAsia" w:hAnsi="Calibri"/>
          <w:sz w:val="24"/>
        </w:rPr>
        <w:tab/>
      </w:r>
      <m:oMath>
        <m:r>
          <w:rPr>
            <w:rFonts w:ascii="Cambria Math" w:hAnsi="Cambria Math"/>
            <w:sz w:val="24"/>
          </w:rPr>
          <m:t>α</m:t>
        </m:r>
      </m:oMath>
      <w:r w:rsidRPr="0092053E">
        <w:rPr>
          <w:rFonts w:ascii="Calibri" w:eastAsiaTheme="minorEastAsia" w:hAnsi="Calibri"/>
          <w:sz w:val="24"/>
        </w:rPr>
        <w:tab/>
        <w:t>= decay rate constant (i.e. luminous depreciation rate constant)</w:t>
      </w:r>
    </w:p>
    <w:p w14:paraId="2613A8F9" w14:textId="77777777" w:rsidR="00982C67" w:rsidRPr="0092053E" w:rsidRDefault="00982C67" w:rsidP="00AE4F4A">
      <w:pPr>
        <w:pStyle w:val="E3BodyText"/>
        <w:rPr>
          <w:rFonts w:eastAsiaTheme="minorEastAsia"/>
        </w:rPr>
      </w:pPr>
      <w:r w:rsidRPr="0092053E">
        <w:rPr>
          <w:rFonts w:eastAsiaTheme="minorEastAsia"/>
        </w:rPr>
        <w:t>As stated earlier, since physical testing of products until they reach the target lumen maintenance level is impractical, an alternative test method is required to provide confidence/assurance of a product’s in-service life. The alternative test method developed and published by the Illuminating Engineering Society of North America (IESNA) entails the acquisition of test data for a product (generally an LED package or module) over a relatively short period of time, typically at least 6,000 hours (for various operating conditions) to establish a light output performance profile that can then be used to predict (based on the physics of LEDs) with a level of confidence the typical mean value for that product’s lumen maintenance. This information can then be applied to derive the predicted lumen maintenance of the package or module once installed in a luminaire.</w:t>
      </w:r>
    </w:p>
    <w:p w14:paraId="5B4628EE" w14:textId="77777777" w:rsidR="00982C67" w:rsidRPr="0092053E" w:rsidRDefault="00982C67" w:rsidP="00AE4F4A">
      <w:pPr>
        <w:pStyle w:val="E3BodyText"/>
        <w:rPr>
          <w:rFonts w:eastAsiaTheme="minorEastAsia"/>
        </w:rPr>
      </w:pPr>
      <w:r w:rsidRPr="0092053E">
        <w:rPr>
          <w:rFonts w:eastAsiaTheme="minorEastAsia"/>
        </w:rPr>
        <w:t xml:space="preserve">This theory and test methodology are provided in the following sections. </w:t>
      </w:r>
    </w:p>
    <w:p w14:paraId="2D9D0F73" w14:textId="77777777" w:rsidR="00982C67" w:rsidRDefault="00982C67" w:rsidP="00982C67"/>
    <w:p w14:paraId="7D667236" w14:textId="77777777" w:rsidR="00982C67" w:rsidRPr="004D1B57" w:rsidRDefault="00982C67" w:rsidP="00C157FA">
      <w:pPr>
        <w:pStyle w:val="E3Heading3"/>
      </w:pPr>
      <w:r w:rsidRPr="004D1B57">
        <w:t>Determining the lumen depreciation rate by data interpolation</w:t>
      </w:r>
    </w:p>
    <w:p w14:paraId="5E386DBD" w14:textId="032DF51D" w:rsidR="00982C67" w:rsidRPr="00AE4F4A" w:rsidRDefault="00982C67" w:rsidP="00AE4F4A">
      <w:pPr>
        <w:pStyle w:val="E3BodyText"/>
      </w:pPr>
      <w:r w:rsidRPr="0092053E">
        <w:t xml:space="preserve">Where two identical LED package/modules are operated at the same drive current but installed in different luminaires which have quite different thermal pathways for LED package/module heat dissipation, the stabilised operating temperature of the two modules will be quite different. </w:t>
      </w:r>
      <w:r w:rsidRPr="0092053E">
        <w:rPr>
          <w:b/>
        </w:rPr>
        <w:t>The LED module/package with the higher stabilised temperature has a shorter L</w:t>
      </w:r>
      <w:r w:rsidRPr="0092053E">
        <w:rPr>
          <w:b/>
          <w:vertAlign w:val="subscript"/>
        </w:rPr>
        <w:t>70</w:t>
      </w:r>
      <w:r w:rsidRPr="0092053E">
        <w:rPr>
          <w:b/>
        </w:rPr>
        <w:t>.</w:t>
      </w:r>
      <w:r w:rsidRPr="0092053E">
        <w:t xml:space="preserve"> </w:t>
      </w:r>
      <w:r w:rsidRPr="00AE4F4A">
        <w:t xml:space="preserve">So, under laboratory conditions, where many samples of the same LED package/module are operated at the same drive current but subgroups of the samples are maintained at a minimum of two different (normally a maximum and a typical low) controlled temperatures (in environment chambers), a lumen depreciation vs temperature profile can be established for an LED package/module for that particular drive current, </w:t>
      </w:r>
      <w:r w:rsidR="005B48C2" w:rsidRPr="00AE4F4A">
        <w:fldChar w:fldCharType="begin"/>
      </w:r>
      <w:r w:rsidR="005B48C2" w:rsidRPr="00AE4F4A">
        <w:instrText xml:space="preserve"> REF _Ref493077109 \h  \* MERGEFORMAT </w:instrText>
      </w:r>
      <w:r w:rsidR="005B48C2" w:rsidRPr="00AE4F4A">
        <w:fldChar w:fldCharType="separate"/>
      </w:r>
      <w:r w:rsidR="005933B0">
        <w:t>Figure 10</w:t>
      </w:r>
      <w:r w:rsidR="005B48C2" w:rsidRPr="00AE4F4A">
        <w:fldChar w:fldCharType="end"/>
      </w:r>
      <w:r w:rsidRPr="00AE4F4A">
        <w:t>. Note that the initial light output will be lower for the higher temperatures so the lumen depreciation vs temperature profile is typically illustrated using normalised “relative luminous flux output” graphs.</w:t>
      </w:r>
    </w:p>
    <w:p w14:paraId="35583E1A" w14:textId="77777777" w:rsidR="00BB0ACD" w:rsidRDefault="00982C67" w:rsidP="00BB0ACD">
      <w:pPr>
        <w:keepNext/>
      </w:pPr>
      <w:r>
        <w:rPr>
          <w:lang w:eastAsia="en-AU"/>
        </w:rPr>
        <w:drawing>
          <wp:inline distT="0" distB="0" distL="0" distR="0" wp14:anchorId="2FA87DD3" wp14:editId="32EFB1FE">
            <wp:extent cx="5400000" cy="2863653"/>
            <wp:effectExtent l="0" t="0" r="0" b="0"/>
            <wp:docPr id="23" name="Picture 23" descr="Graph showing lumen depreciation at different operating temperatures (one line at 55 degrees and another at 105 degrees), but with the same drive cur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000" cy="2863653"/>
                    </a:xfrm>
                    <a:prstGeom prst="rect">
                      <a:avLst/>
                    </a:prstGeom>
                    <a:noFill/>
                  </pic:spPr>
                </pic:pic>
              </a:graphicData>
            </a:graphic>
          </wp:inline>
        </w:drawing>
      </w:r>
    </w:p>
    <w:p w14:paraId="252C4841" w14:textId="4FA7964B" w:rsidR="00982C67" w:rsidRDefault="00BB0ACD" w:rsidP="00BB0ACD">
      <w:pPr>
        <w:pStyle w:val="Caption"/>
      </w:pPr>
      <w:bookmarkStart w:id="72" w:name="_Ref493077109"/>
      <w:bookmarkStart w:id="73" w:name="_Toc493158352"/>
      <w:r>
        <w:t xml:space="preserve">Figure </w:t>
      </w:r>
      <w:r>
        <w:fldChar w:fldCharType="begin"/>
      </w:r>
      <w:r>
        <w:instrText xml:space="preserve"> SEQ Figure \* ARABIC </w:instrText>
      </w:r>
      <w:r>
        <w:fldChar w:fldCharType="separate"/>
      </w:r>
      <w:r w:rsidR="005933B0">
        <w:t>10</w:t>
      </w:r>
      <w:r>
        <w:fldChar w:fldCharType="end"/>
      </w:r>
      <w:bookmarkEnd w:id="72"/>
      <w:r>
        <w:t xml:space="preserve">: </w:t>
      </w:r>
      <w:r w:rsidRPr="00BB0ACD">
        <w:t>Measured LED lumen depreciation rates for LED module at different operating temperatures but same drive current</w:t>
      </w:r>
      <w:bookmarkEnd w:id="73"/>
    </w:p>
    <w:p w14:paraId="7B76E859" w14:textId="77777777" w:rsidR="00595A17" w:rsidRDefault="00982C67" w:rsidP="00AE4F4A">
      <w:pPr>
        <w:pStyle w:val="E3BodyText"/>
      </w:pPr>
      <w:r w:rsidRPr="0092053E">
        <w:t>These exponential curves are the result of the quantum physics of p-n junctions (which is the basis of an LED) and the in-situ decay rate constant of the exponential function can be mathematically represented by what is known as the Arrhenius Equation.</w:t>
      </w:r>
    </w:p>
    <w:p w14:paraId="2EDCA275" w14:textId="1BBC982B" w:rsidR="00982C67" w:rsidRPr="0092053E" w:rsidRDefault="00982C67" w:rsidP="00AE4F4A">
      <w:pPr>
        <w:pStyle w:val="E3BodyText"/>
      </w:pPr>
      <w:r w:rsidRPr="0092053E">
        <w:t xml:space="preserve"> </w:t>
      </w:r>
    </w:p>
    <w:p w14:paraId="615128DC" w14:textId="77777777" w:rsidR="00982C67" w:rsidRPr="0092053E" w:rsidRDefault="00982C67" w:rsidP="00982C67">
      <w:pPr>
        <w:rPr>
          <w:rFonts w:ascii="Calibri" w:eastAsiaTheme="minorEastAsia" w:hAnsi="Calibri"/>
          <w:sz w:val="24"/>
        </w:rPr>
      </w:pPr>
      <m:oMathPara>
        <m:oMath>
          <m:r>
            <w:rPr>
              <w:rFonts w:ascii="Cambria Math" w:hAnsi="Cambria Math"/>
              <w:sz w:val="24"/>
            </w:rPr>
            <m:t>α=A exp</m:t>
          </m:r>
          <m:d>
            <m:dPr>
              <m:ctrlPr>
                <w:rPr>
                  <w:rFonts w:ascii="Cambria Math" w:hAnsi="Cambria Math"/>
                  <w:i/>
                  <w:sz w:val="24"/>
                </w:rPr>
              </m:ctrlPr>
            </m:dPr>
            <m:e>
              <m:f>
                <m:fPr>
                  <m:ctrlPr>
                    <w:rPr>
                      <w:rFonts w:ascii="Cambria Math" w:hAnsi="Cambria Math"/>
                      <w:i/>
                      <w:sz w:val="24"/>
                    </w:rPr>
                  </m:ctrlPr>
                </m:fPr>
                <m:num>
                  <m:r>
                    <w:rPr>
                      <w:rFonts w:ascii="Cambria Math" w:hAnsi="Cambria Math"/>
                      <w:sz w:val="24"/>
                    </w:rPr>
                    <m:t>-</m:t>
                  </m:r>
                  <m:sSub>
                    <m:sSubPr>
                      <m:ctrlPr>
                        <w:rPr>
                          <w:rFonts w:ascii="Cambria Math" w:hAnsi="Cambria Math"/>
                          <w:i/>
                          <w:sz w:val="24"/>
                        </w:rPr>
                      </m:ctrlPr>
                    </m:sSubPr>
                    <m:e>
                      <m:r>
                        <w:rPr>
                          <w:rFonts w:ascii="Cambria Math" w:hAnsi="Cambria Math"/>
                          <w:sz w:val="24"/>
                        </w:rPr>
                        <m:t>E</m:t>
                      </m:r>
                    </m:e>
                    <m:sub>
                      <m:r>
                        <w:rPr>
                          <w:rFonts w:ascii="Cambria Math" w:hAnsi="Cambria Math"/>
                          <w:sz w:val="24"/>
                        </w:rPr>
                        <m:t>a</m:t>
                      </m:r>
                    </m:sub>
                  </m:sSub>
                </m:num>
                <m:den>
                  <m:sSub>
                    <m:sSubPr>
                      <m:ctrlPr>
                        <w:rPr>
                          <w:rFonts w:ascii="Cambria Math" w:hAnsi="Cambria Math"/>
                          <w:i/>
                          <w:sz w:val="24"/>
                        </w:rPr>
                      </m:ctrlPr>
                    </m:sSubPr>
                    <m:e>
                      <m:r>
                        <w:rPr>
                          <w:rFonts w:ascii="Cambria Math" w:hAnsi="Cambria Math"/>
                          <w:sz w:val="24"/>
                        </w:rPr>
                        <m:t>k</m:t>
                      </m:r>
                    </m:e>
                    <m:sub>
                      <m:r>
                        <w:rPr>
                          <w:rFonts w:ascii="Cambria Math" w:hAnsi="Cambria Math"/>
                          <w:sz w:val="24"/>
                        </w:rPr>
                        <m:t>B</m:t>
                      </m:r>
                    </m:sub>
                  </m:sSub>
                  <m:sSub>
                    <m:sSubPr>
                      <m:ctrlPr>
                        <w:rPr>
                          <w:rFonts w:ascii="Cambria Math" w:hAnsi="Cambria Math"/>
                          <w:i/>
                          <w:sz w:val="24"/>
                        </w:rPr>
                      </m:ctrlPr>
                    </m:sSubPr>
                    <m:e>
                      <m:r>
                        <w:rPr>
                          <w:rFonts w:ascii="Cambria Math" w:hAnsi="Cambria Math"/>
                          <w:sz w:val="24"/>
                        </w:rPr>
                        <m:t>T</m:t>
                      </m:r>
                    </m:e>
                    <m:sub>
                      <m:r>
                        <w:rPr>
                          <w:rFonts w:ascii="Cambria Math" w:hAnsi="Cambria Math"/>
                          <w:sz w:val="24"/>
                        </w:rPr>
                        <m:t>s</m:t>
                      </m:r>
                    </m:sub>
                  </m:sSub>
                </m:den>
              </m:f>
            </m:e>
          </m:d>
        </m:oMath>
      </m:oMathPara>
    </w:p>
    <w:p w14:paraId="01996F45" w14:textId="77777777" w:rsidR="00982C67" w:rsidRPr="0092053E" w:rsidRDefault="00982C67" w:rsidP="00982C67">
      <w:pPr>
        <w:ind w:firstLine="720"/>
        <w:rPr>
          <w:rFonts w:ascii="Calibri" w:hAnsi="Calibri"/>
          <w:sz w:val="24"/>
        </w:rPr>
      </w:pPr>
      <w:r w:rsidRPr="0092053E">
        <w:rPr>
          <w:rFonts w:ascii="Calibri" w:hAnsi="Calibri"/>
          <w:sz w:val="24"/>
        </w:rPr>
        <w:t xml:space="preserve">Where </w:t>
      </w:r>
      <w:r w:rsidRPr="0092053E">
        <w:rPr>
          <w:rFonts w:ascii="Calibri" w:hAnsi="Calibri"/>
          <w:sz w:val="24"/>
        </w:rPr>
        <w:tab/>
      </w:r>
      <m:oMath>
        <m:r>
          <w:rPr>
            <w:rFonts w:ascii="Cambria Math" w:hAnsi="Cambria Math"/>
            <w:sz w:val="24"/>
          </w:rPr>
          <m:t>α</m:t>
        </m:r>
      </m:oMath>
      <w:r w:rsidRPr="0092053E">
        <w:rPr>
          <w:rFonts w:ascii="Calibri" w:eastAsiaTheme="minorEastAsia" w:hAnsi="Calibri"/>
          <w:sz w:val="24"/>
        </w:rPr>
        <w:t xml:space="preserve"> </w:t>
      </w:r>
      <w:r w:rsidRPr="0092053E">
        <w:rPr>
          <w:rFonts w:ascii="Calibri" w:eastAsiaTheme="minorEastAsia" w:hAnsi="Calibri"/>
          <w:sz w:val="24"/>
        </w:rPr>
        <w:tab/>
        <w:t xml:space="preserve">= in-situ </w:t>
      </w:r>
      <w:r w:rsidRPr="0092053E">
        <w:rPr>
          <w:rFonts w:ascii="Calibri" w:hAnsi="Calibri"/>
          <w:sz w:val="24"/>
        </w:rPr>
        <w:t>decay rate constant</w:t>
      </w:r>
    </w:p>
    <w:p w14:paraId="764E5A64" w14:textId="77777777" w:rsidR="00982C67" w:rsidRPr="0092053E" w:rsidRDefault="00982C67" w:rsidP="00982C67">
      <w:pPr>
        <w:ind w:firstLine="720"/>
        <w:rPr>
          <w:rFonts w:ascii="Calibri" w:eastAsiaTheme="minorEastAsia" w:hAnsi="Calibri"/>
          <w:sz w:val="24"/>
        </w:rPr>
      </w:pPr>
      <w:r w:rsidRPr="0092053E">
        <w:rPr>
          <w:rFonts w:ascii="Calibri" w:hAnsi="Calibri"/>
          <w:sz w:val="24"/>
        </w:rPr>
        <w:tab/>
      </w:r>
      <m:oMath>
        <m:r>
          <w:rPr>
            <w:rFonts w:ascii="Cambria Math" w:hAnsi="Cambria Math"/>
            <w:sz w:val="24"/>
          </w:rPr>
          <m:t>A</m:t>
        </m:r>
      </m:oMath>
      <w:r w:rsidRPr="0092053E">
        <w:rPr>
          <w:rFonts w:ascii="Calibri" w:eastAsiaTheme="minorEastAsia" w:hAnsi="Calibri"/>
          <w:sz w:val="24"/>
        </w:rPr>
        <w:t xml:space="preserve"> </w:t>
      </w:r>
      <w:r w:rsidRPr="0092053E">
        <w:rPr>
          <w:rFonts w:ascii="Calibri" w:eastAsiaTheme="minorEastAsia" w:hAnsi="Calibri"/>
          <w:sz w:val="24"/>
        </w:rPr>
        <w:tab/>
        <w:t>= pre-exponential factor</w:t>
      </w:r>
    </w:p>
    <w:p w14:paraId="36EEB49A" w14:textId="77777777" w:rsidR="00982C67" w:rsidRPr="0092053E" w:rsidRDefault="00982C67" w:rsidP="00982C67">
      <w:pPr>
        <w:ind w:firstLine="720"/>
        <w:rPr>
          <w:rFonts w:ascii="Calibri" w:eastAsiaTheme="minorEastAsia" w:hAnsi="Calibri"/>
          <w:sz w:val="24"/>
        </w:rPr>
      </w:pPr>
      <w:r w:rsidRPr="0092053E">
        <w:rPr>
          <w:rFonts w:ascii="Calibri" w:hAnsi="Calibri"/>
          <w:sz w:val="24"/>
        </w:rPr>
        <w:tab/>
      </w:r>
      <m:oMath>
        <m:sSub>
          <m:sSubPr>
            <m:ctrlPr>
              <w:rPr>
                <w:rFonts w:ascii="Cambria Math" w:hAnsi="Cambria Math"/>
                <w:i/>
                <w:sz w:val="24"/>
              </w:rPr>
            </m:ctrlPr>
          </m:sSubPr>
          <m:e>
            <m:r>
              <w:rPr>
                <w:rFonts w:ascii="Cambria Math" w:hAnsi="Cambria Math"/>
                <w:sz w:val="24"/>
              </w:rPr>
              <m:t>E</m:t>
            </m:r>
          </m:e>
          <m:sub>
            <m:r>
              <w:rPr>
                <w:rFonts w:ascii="Cambria Math" w:hAnsi="Cambria Math"/>
                <w:sz w:val="24"/>
              </w:rPr>
              <m:t>a</m:t>
            </m:r>
          </m:sub>
        </m:sSub>
      </m:oMath>
      <w:r w:rsidRPr="0092053E">
        <w:rPr>
          <w:rFonts w:ascii="Calibri" w:eastAsiaTheme="minorEastAsia" w:hAnsi="Calibri"/>
          <w:sz w:val="24"/>
        </w:rPr>
        <w:t xml:space="preserve"> </w:t>
      </w:r>
      <w:r w:rsidRPr="0092053E">
        <w:rPr>
          <w:rFonts w:ascii="Calibri" w:eastAsiaTheme="minorEastAsia" w:hAnsi="Calibri"/>
          <w:sz w:val="24"/>
        </w:rPr>
        <w:tab/>
        <w:t>= activation energy (in eV)</w:t>
      </w:r>
    </w:p>
    <w:p w14:paraId="7E934A23" w14:textId="77777777" w:rsidR="00982C67" w:rsidRPr="0092053E" w:rsidRDefault="00982C67" w:rsidP="00982C67">
      <w:pPr>
        <w:ind w:firstLine="720"/>
        <w:rPr>
          <w:rFonts w:ascii="Calibri" w:eastAsiaTheme="minorEastAsia" w:hAnsi="Calibri"/>
          <w:sz w:val="24"/>
        </w:rPr>
      </w:pPr>
      <w:r w:rsidRPr="0092053E">
        <w:rPr>
          <w:rFonts w:ascii="Calibri" w:eastAsiaTheme="minorEastAsia" w:hAnsi="Calibri"/>
          <w:sz w:val="24"/>
        </w:rPr>
        <w:tab/>
      </w:r>
      <m:oMath>
        <m:sSub>
          <m:sSubPr>
            <m:ctrlPr>
              <w:rPr>
                <w:rFonts w:ascii="Cambria Math" w:hAnsi="Cambria Math"/>
                <w:i/>
                <w:sz w:val="24"/>
              </w:rPr>
            </m:ctrlPr>
          </m:sSubPr>
          <m:e>
            <m:r>
              <w:rPr>
                <w:rFonts w:ascii="Cambria Math" w:hAnsi="Cambria Math"/>
                <w:sz w:val="24"/>
              </w:rPr>
              <m:t>k</m:t>
            </m:r>
          </m:e>
          <m:sub>
            <m:r>
              <w:rPr>
                <w:rFonts w:ascii="Cambria Math" w:hAnsi="Cambria Math"/>
                <w:sz w:val="24"/>
              </w:rPr>
              <m:t>B</m:t>
            </m:r>
          </m:sub>
        </m:sSub>
      </m:oMath>
      <w:r w:rsidRPr="0092053E">
        <w:rPr>
          <w:rFonts w:ascii="Calibri" w:eastAsiaTheme="minorEastAsia" w:hAnsi="Calibri"/>
          <w:sz w:val="24"/>
        </w:rPr>
        <w:tab/>
        <w:t>= Boltzmann’s constant (8.6173x10</w:t>
      </w:r>
      <w:r w:rsidRPr="0092053E">
        <w:rPr>
          <w:rFonts w:ascii="Calibri" w:eastAsiaTheme="minorEastAsia" w:hAnsi="Calibri"/>
          <w:sz w:val="24"/>
          <w:vertAlign w:val="superscript"/>
        </w:rPr>
        <w:t>-5</w:t>
      </w:r>
      <w:r w:rsidRPr="0092053E">
        <w:rPr>
          <w:rFonts w:ascii="Calibri" w:eastAsiaTheme="minorEastAsia" w:hAnsi="Calibri"/>
          <w:sz w:val="24"/>
        </w:rPr>
        <w:t xml:space="preserve"> eV/K)</w:t>
      </w:r>
    </w:p>
    <w:p w14:paraId="73902AE1" w14:textId="77777777" w:rsidR="00982C67" w:rsidRPr="0092053E" w:rsidRDefault="00982C67" w:rsidP="00982C67">
      <w:pPr>
        <w:ind w:firstLine="720"/>
        <w:rPr>
          <w:rFonts w:ascii="Calibri" w:hAnsi="Calibri"/>
          <w:sz w:val="24"/>
        </w:rPr>
      </w:pPr>
      <w:r w:rsidRPr="0092053E">
        <w:rPr>
          <w:rFonts w:ascii="Calibri" w:hAnsi="Calibri"/>
          <w:sz w:val="24"/>
        </w:rPr>
        <w:tab/>
      </w:r>
      <m:oMath>
        <m:sSub>
          <m:sSubPr>
            <m:ctrlPr>
              <w:rPr>
                <w:rFonts w:ascii="Cambria Math" w:hAnsi="Cambria Math"/>
                <w:i/>
                <w:sz w:val="24"/>
              </w:rPr>
            </m:ctrlPr>
          </m:sSubPr>
          <m:e>
            <m:r>
              <w:rPr>
                <w:rFonts w:ascii="Cambria Math" w:hAnsi="Cambria Math"/>
                <w:sz w:val="24"/>
              </w:rPr>
              <m:t>T</m:t>
            </m:r>
          </m:e>
          <m:sub>
            <m:r>
              <w:rPr>
                <w:rFonts w:ascii="Cambria Math" w:hAnsi="Cambria Math"/>
                <w:sz w:val="24"/>
              </w:rPr>
              <m:t>s</m:t>
            </m:r>
          </m:sub>
        </m:sSub>
      </m:oMath>
      <w:r w:rsidRPr="0092053E">
        <w:rPr>
          <w:rFonts w:ascii="Calibri" w:eastAsiaTheme="minorEastAsia" w:hAnsi="Calibri"/>
          <w:sz w:val="24"/>
        </w:rPr>
        <w:tab/>
        <w:t>= in-situ temperature (K)</w:t>
      </w:r>
    </w:p>
    <w:p w14:paraId="7CC9F7D7" w14:textId="14417882" w:rsidR="00982C67" w:rsidRPr="005B48C2" w:rsidRDefault="00982C67" w:rsidP="00AE4F4A">
      <w:pPr>
        <w:pStyle w:val="E3BodyText"/>
      </w:pPr>
      <w:r w:rsidRPr="0092053E">
        <w:t xml:space="preserve">Therefore, by obtaining the lumen depreciation vs temperature profile of an LED package/module, knowing this fundamental equation and solving for the constants of the equation, means that the lumen depreciation rate for any operating temperature of this particular LED package/module within these bounding </w:t>
      </w:r>
      <w:r w:rsidRPr="005B48C2">
        <w:t xml:space="preserve">two temperatures can be interpolated (for the same operating current), </w:t>
      </w:r>
      <w:r w:rsidR="005B48C2" w:rsidRPr="005B48C2">
        <w:fldChar w:fldCharType="begin"/>
      </w:r>
      <w:r w:rsidR="005B48C2" w:rsidRPr="005B48C2">
        <w:instrText xml:space="preserve"> REF _Ref493077178 \h  \* MERGEFORMAT </w:instrText>
      </w:r>
      <w:r w:rsidR="005B48C2" w:rsidRPr="005B48C2">
        <w:fldChar w:fldCharType="separate"/>
      </w:r>
      <w:r w:rsidR="005933B0">
        <w:t>Figure 11</w:t>
      </w:r>
      <w:r w:rsidR="005B48C2" w:rsidRPr="005B48C2">
        <w:fldChar w:fldCharType="end"/>
      </w:r>
      <w:r w:rsidRPr="005B48C2">
        <w:t xml:space="preserve">. </w:t>
      </w:r>
    </w:p>
    <w:p w14:paraId="0DAA0AAB" w14:textId="77777777" w:rsidR="00BB0ACD" w:rsidRDefault="00982C67" w:rsidP="00BB0ACD">
      <w:pPr>
        <w:keepNext/>
      </w:pPr>
      <w:r>
        <w:rPr>
          <w:lang w:eastAsia="en-AU"/>
        </w:rPr>
        <w:drawing>
          <wp:inline distT="0" distB="0" distL="0" distR="0" wp14:anchorId="2499883E" wp14:editId="05928A95">
            <wp:extent cx="5400000" cy="2863653"/>
            <wp:effectExtent l="0" t="0" r="0" b="0"/>
            <wp:docPr id="24" name="Picture 24" descr="Graph indicates LED lumen depreciation for LED modules, at the same drive current but different operating temperatures. One line is 55 degrees, one is 105 degrees and 85 degrees has been interpo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000" cy="2863653"/>
                    </a:xfrm>
                    <a:prstGeom prst="rect">
                      <a:avLst/>
                    </a:prstGeom>
                    <a:noFill/>
                  </pic:spPr>
                </pic:pic>
              </a:graphicData>
            </a:graphic>
          </wp:inline>
        </w:drawing>
      </w:r>
    </w:p>
    <w:p w14:paraId="6B35E7EB" w14:textId="1C4B8303" w:rsidR="00982C67" w:rsidRDefault="00BB0ACD" w:rsidP="00BB0ACD">
      <w:pPr>
        <w:pStyle w:val="Caption"/>
      </w:pPr>
      <w:bookmarkStart w:id="74" w:name="_Ref493077178"/>
      <w:bookmarkStart w:id="75" w:name="_Toc493158353"/>
      <w:r>
        <w:t xml:space="preserve">Figure </w:t>
      </w:r>
      <w:r>
        <w:fldChar w:fldCharType="begin"/>
      </w:r>
      <w:r>
        <w:instrText xml:space="preserve"> SEQ Figure \* ARABIC </w:instrText>
      </w:r>
      <w:r>
        <w:fldChar w:fldCharType="separate"/>
      </w:r>
      <w:r w:rsidR="005933B0">
        <w:t>11</w:t>
      </w:r>
      <w:r>
        <w:fldChar w:fldCharType="end"/>
      </w:r>
      <w:bookmarkEnd w:id="74"/>
      <w:r>
        <w:t xml:space="preserve">: </w:t>
      </w:r>
      <w:r w:rsidRPr="00BB0ACD">
        <w:t>Predicting the LED depreciation rate for LED module at same drive current but different operating temperature</w:t>
      </w:r>
      <w:bookmarkEnd w:id="75"/>
    </w:p>
    <w:p w14:paraId="0E0F031B" w14:textId="26CBD400" w:rsidR="00982C67" w:rsidRPr="00CB7857" w:rsidRDefault="00982C67" w:rsidP="00AE4F4A">
      <w:pPr>
        <w:pStyle w:val="E3BodyText"/>
      </w:pPr>
      <w:r w:rsidRPr="00CB7857">
        <w:t>In this example, the operating temperature measured at the temperature measurement point was 85°</w:t>
      </w:r>
    </w:p>
    <w:p w14:paraId="70F6E977" w14:textId="77777777" w:rsidR="00982C67" w:rsidRPr="004D1B57" w:rsidRDefault="00982C67" w:rsidP="00C157FA">
      <w:pPr>
        <w:pStyle w:val="E3Heading3"/>
      </w:pPr>
      <w:r w:rsidRPr="004D1B57">
        <w:t xml:space="preserve">Determining the lumen </w:t>
      </w:r>
      <w:r>
        <w:t>maintenance</w:t>
      </w:r>
      <w:r w:rsidRPr="004D1B57">
        <w:t xml:space="preserve"> by data </w:t>
      </w:r>
      <w:r>
        <w:t>ex</w:t>
      </w:r>
      <w:r w:rsidRPr="004D1B57">
        <w:t>t</w:t>
      </w:r>
      <w:r>
        <w:t>ra</w:t>
      </w:r>
      <w:r w:rsidRPr="004D1B57">
        <w:t>polation</w:t>
      </w:r>
    </w:p>
    <w:p w14:paraId="4B675F15" w14:textId="31F070C2" w:rsidR="00982C67" w:rsidRPr="005B48C2" w:rsidRDefault="00982C67" w:rsidP="00AE4F4A">
      <w:pPr>
        <w:pStyle w:val="E3BodyText"/>
      </w:pPr>
      <w:r w:rsidRPr="0092053E">
        <w:t>A methodology for predicting the lumen depreciation of LED products has been developed based on the mathematical extrapolation of measured lumen depreciation data from multiple samples of an LED package/module for a minimum duration of 6000h. Due to the statistical genesis of the model and the typical spread in product performance, extrapolation for the purposes of a claimed lumen maintenance value is not permitted beyond 6 times the test duration for a sample set of 20 units of the LED package/</w:t>
      </w:r>
      <w:r w:rsidRPr="005B48C2">
        <w:t xml:space="preserve">module, </w:t>
      </w:r>
      <w:r w:rsidR="005B48C2" w:rsidRPr="005B48C2">
        <w:fldChar w:fldCharType="begin"/>
      </w:r>
      <w:r w:rsidR="005B48C2" w:rsidRPr="005B48C2">
        <w:instrText xml:space="preserve"> REF _Ref493077201 \h  \* MERGEFORMAT </w:instrText>
      </w:r>
      <w:r w:rsidR="005B48C2" w:rsidRPr="005B48C2">
        <w:fldChar w:fldCharType="separate"/>
      </w:r>
      <w:r w:rsidR="005933B0">
        <w:t>Figure 12</w:t>
      </w:r>
      <w:r w:rsidR="005B48C2" w:rsidRPr="005B48C2">
        <w:fldChar w:fldCharType="end"/>
      </w:r>
      <w:r w:rsidRPr="005B48C2">
        <w:t>.</w:t>
      </w:r>
    </w:p>
    <w:p w14:paraId="7959004D" w14:textId="77777777" w:rsidR="00BB0ACD" w:rsidRDefault="00982C67" w:rsidP="00BB0ACD">
      <w:pPr>
        <w:keepNext/>
      </w:pPr>
      <w:r>
        <w:rPr>
          <w:lang w:eastAsia="en-AU"/>
        </w:rPr>
        <w:drawing>
          <wp:inline distT="0" distB="0" distL="0" distR="0" wp14:anchorId="480D2D7E" wp14:editId="4DFE324E">
            <wp:extent cx="5400000" cy="3087338"/>
            <wp:effectExtent l="0" t="0" r="0" b="0"/>
            <wp:docPr id="19" name="Picture 19" descr="Graph indicates measured lumen maintenance data at 55 degrees and 85 degrees, and extrapolated data for both those temper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000" cy="3087338"/>
                    </a:xfrm>
                    <a:prstGeom prst="rect">
                      <a:avLst/>
                    </a:prstGeom>
                    <a:noFill/>
                  </pic:spPr>
                </pic:pic>
              </a:graphicData>
            </a:graphic>
          </wp:inline>
        </w:drawing>
      </w:r>
    </w:p>
    <w:p w14:paraId="57B79559" w14:textId="2138E4C9" w:rsidR="00982C67" w:rsidRDefault="00BB0ACD" w:rsidP="00BB0ACD">
      <w:pPr>
        <w:pStyle w:val="Caption"/>
      </w:pPr>
      <w:bookmarkStart w:id="76" w:name="_Ref493077201"/>
      <w:bookmarkStart w:id="77" w:name="_Toc493158354"/>
      <w:r>
        <w:t xml:space="preserve">Figure </w:t>
      </w:r>
      <w:r>
        <w:fldChar w:fldCharType="begin"/>
      </w:r>
      <w:r>
        <w:instrText xml:space="preserve"> SEQ Figure \* ARABIC </w:instrText>
      </w:r>
      <w:r>
        <w:fldChar w:fldCharType="separate"/>
      </w:r>
      <w:r w:rsidR="005933B0">
        <w:t>12</w:t>
      </w:r>
      <w:r>
        <w:fldChar w:fldCharType="end"/>
      </w:r>
      <w:bookmarkEnd w:id="76"/>
      <w:r>
        <w:t xml:space="preserve">: </w:t>
      </w:r>
      <w:r w:rsidRPr="00BB0ACD">
        <w:t>Determining the lumen maintenance (L70) of LED module at fixed drive current by extrapolation</w:t>
      </w:r>
      <w:bookmarkEnd w:id="77"/>
    </w:p>
    <w:p w14:paraId="52B77B0A" w14:textId="416763B6" w:rsidR="00982C67" w:rsidRPr="005B48C2" w:rsidRDefault="00982C67" w:rsidP="00AE4F4A">
      <w:pPr>
        <w:pStyle w:val="E3BodyText"/>
      </w:pPr>
      <w:r w:rsidRPr="0092053E">
        <w:t xml:space="preserve">If the LED package/module is operated at the same drive current but a different temperature that is within the lumen depreciation vs temperature profile, then the lumen depreciation curve can be interpolated from the data of the bounding </w:t>
      </w:r>
      <w:r w:rsidRPr="005B48C2">
        <w:t xml:space="preserve">curves, </w:t>
      </w:r>
      <w:r w:rsidR="005B48C2" w:rsidRPr="005B48C2">
        <w:fldChar w:fldCharType="begin"/>
      </w:r>
      <w:r w:rsidR="005B48C2" w:rsidRPr="005B48C2">
        <w:instrText xml:space="preserve"> REF _Ref493077287 \h  \* MERGEFORMAT </w:instrText>
      </w:r>
      <w:r w:rsidR="005B48C2" w:rsidRPr="005B48C2">
        <w:fldChar w:fldCharType="separate"/>
      </w:r>
      <w:r w:rsidR="005933B0">
        <w:t>Figure 13</w:t>
      </w:r>
      <w:r w:rsidR="005B48C2" w:rsidRPr="005B48C2">
        <w:fldChar w:fldCharType="end"/>
      </w:r>
      <w:r w:rsidRPr="005B48C2">
        <w:t>.</w:t>
      </w:r>
    </w:p>
    <w:p w14:paraId="586B508F" w14:textId="77777777" w:rsidR="00BB0ACD" w:rsidRDefault="00982C67" w:rsidP="00BB0ACD">
      <w:pPr>
        <w:keepNext/>
      </w:pPr>
      <w:r>
        <w:rPr>
          <w:lang w:eastAsia="en-AU"/>
        </w:rPr>
        <w:drawing>
          <wp:inline distT="0" distB="0" distL="0" distR="0" wp14:anchorId="0CC4C847" wp14:editId="184F1173">
            <wp:extent cx="5400000" cy="3025681"/>
            <wp:effectExtent l="0" t="0" r="0" b="3810"/>
            <wp:docPr id="25" name="Picture 25" descr="Graph indicates measured lumen maintenance data at 55 degrees and 85 degrees, and extrapolated data for both those temperatures. Also shows interpolated data at 7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000" cy="3025681"/>
                    </a:xfrm>
                    <a:prstGeom prst="rect">
                      <a:avLst/>
                    </a:prstGeom>
                    <a:noFill/>
                  </pic:spPr>
                </pic:pic>
              </a:graphicData>
            </a:graphic>
          </wp:inline>
        </w:drawing>
      </w:r>
    </w:p>
    <w:p w14:paraId="63F81BA7" w14:textId="3D4864C5" w:rsidR="00982C67" w:rsidRDefault="00BB0ACD" w:rsidP="00BB0ACD">
      <w:pPr>
        <w:pStyle w:val="Caption"/>
      </w:pPr>
      <w:bookmarkStart w:id="78" w:name="_Ref493077287"/>
      <w:bookmarkStart w:id="79" w:name="_Toc493158355"/>
      <w:r>
        <w:t xml:space="preserve">Figure </w:t>
      </w:r>
      <w:r>
        <w:fldChar w:fldCharType="begin"/>
      </w:r>
      <w:r>
        <w:instrText xml:space="preserve"> SEQ Figure \* ARABIC </w:instrText>
      </w:r>
      <w:r>
        <w:fldChar w:fldCharType="separate"/>
      </w:r>
      <w:r w:rsidR="005933B0">
        <w:t>13</w:t>
      </w:r>
      <w:r>
        <w:fldChar w:fldCharType="end"/>
      </w:r>
      <w:bookmarkEnd w:id="78"/>
      <w:r>
        <w:t xml:space="preserve">: </w:t>
      </w:r>
      <w:r w:rsidRPr="00BB0ACD">
        <w:t>Determining the lumen maintenance (L70) of LED module at a different operating temperature but same drive current</w:t>
      </w:r>
      <w:bookmarkEnd w:id="79"/>
    </w:p>
    <w:p w14:paraId="7C73C645" w14:textId="77777777" w:rsidR="00050B6B" w:rsidRDefault="00050B6B">
      <w:pPr>
        <w:spacing w:after="0" w:line="240" w:lineRule="auto"/>
        <w:rPr>
          <w:rFonts w:ascii="Helvetica" w:eastAsia="Calibri" w:hAnsi="Helvetica" w:cs="Arial"/>
          <w:b/>
          <w:color w:val="000000" w:themeColor="text1"/>
          <w:sz w:val="32"/>
          <w:szCs w:val="26"/>
          <w:lang w:val="en-US"/>
        </w:rPr>
      </w:pPr>
      <w:r>
        <w:br w:type="page"/>
      </w:r>
    </w:p>
    <w:p w14:paraId="67856CE3" w14:textId="2ACFAEDB" w:rsidR="00982C67" w:rsidRDefault="00982C67" w:rsidP="00C157FA">
      <w:pPr>
        <w:pStyle w:val="E3Heading2"/>
      </w:pPr>
      <w:bookmarkStart w:id="80" w:name="_Toc493159063"/>
      <w:r>
        <w:t>Test Methods and Analysis</w:t>
      </w:r>
      <w:bookmarkEnd w:id="80"/>
    </w:p>
    <w:p w14:paraId="04AF21E0" w14:textId="77777777" w:rsidR="00982C67" w:rsidRPr="0092053E" w:rsidRDefault="00982C67" w:rsidP="00AE4F4A">
      <w:pPr>
        <w:pStyle w:val="E3BodyText"/>
      </w:pPr>
      <w:r w:rsidRPr="0092053E">
        <w:t xml:space="preserve">When a manufacturer develops an LED luminaire incorporating an LED package/module, they can determine the lumen maintenance of the luminaire by one of three methods. </w:t>
      </w:r>
    </w:p>
    <w:p w14:paraId="4DB346F2" w14:textId="77777777" w:rsidR="00982C67" w:rsidRPr="0092053E" w:rsidRDefault="00982C67" w:rsidP="003776C5">
      <w:pPr>
        <w:pStyle w:val="ListParagraph"/>
        <w:numPr>
          <w:ilvl w:val="0"/>
          <w:numId w:val="14"/>
        </w:numPr>
        <w:spacing w:after="160" w:line="259" w:lineRule="auto"/>
        <w:rPr>
          <w:rFonts w:ascii="Calibri" w:hAnsi="Calibri"/>
          <w:b/>
          <w:sz w:val="24"/>
          <w:szCs w:val="24"/>
        </w:rPr>
      </w:pPr>
      <w:r w:rsidRPr="0092053E">
        <w:rPr>
          <w:rFonts w:ascii="Calibri" w:hAnsi="Calibri"/>
          <w:b/>
          <w:sz w:val="24"/>
          <w:szCs w:val="24"/>
        </w:rPr>
        <w:t>In-situ Temperature Measurement Test (ISTMT) where a relevant LM-80 Test Report for LED package/module exists.</w:t>
      </w:r>
    </w:p>
    <w:p w14:paraId="71B59112" w14:textId="12F25E11" w:rsidR="00982C67" w:rsidRPr="0092053E" w:rsidRDefault="00982C67" w:rsidP="003776C5">
      <w:pPr>
        <w:pStyle w:val="ListParagraph"/>
        <w:numPr>
          <w:ilvl w:val="1"/>
          <w:numId w:val="14"/>
        </w:numPr>
        <w:spacing w:after="160" w:line="259" w:lineRule="auto"/>
        <w:rPr>
          <w:rFonts w:ascii="Calibri" w:hAnsi="Calibri"/>
          <w:sz w:val="24"/>
          <w:szCs w:val="24"/>
        </w:rPr>
      </w:pPr>
      <w:r w:rsidRPr="0092053E">
        <w:rPr>
          <w:rFonts w:ascii="Calibri" w:hAnsi="Calibri"/>
          <w:sz w:val="24"/>
          <w:szCs w:val="24"/>
        </w:rPr>
        <w:t>Conducting an in-situ temperature measurement test (at the designated measurement point) and having available a lumen depreciation vs temperature profile of the LED package/module (</w:t>
      </w:r>
      <w:r w:rsidR="00CF6EA7" w:rsidRPr="0092053E">
        <w:rPr>
          <w:rFonts w:ascii="Calibri" w:hAnsi="Calibri"/>
          <w:sz w:val="24"/>
          <w:szCs w:val="24"/>
        </w:rPr>
        <w:t>i.e.</w:t>
      </w:r>
      <w:r w:rsidRPr="0092053E">
        <w:rPr>
          <w:rFonts w:ascii="Calibri" w:hAnsi="Calibri"/>
          <w:sz w:val="24"/>
          <w:szCs w:val="24"/>
        </w:rPr>
        <w:t xml:space="preserve"> LM-80 Test Report supplied by manufacturer) where the in-situ temperature and drive current of the </w:t>
      </w:r>
      <w:r w:rsidRPr="0092053E">
        <w:rPr>
          <w:rFonts w:ascii="Calibri" w:hAnsi="Calibri"/>
          <w:i/>
          <w:sz w:val="24"/>
          <w:szCs w:val="24"/>
        </w:rPr>
        <w:t>LED/package module in the luminaire</w:t>
      </w:r>
      <w:r w:rsidRPr="0092053E">
        <w:rPr>
          <w:rFonts w:ascii="Calibri" w:hAnsi="Calibri"/>
          <w:sz w:val="24"/>
          <w:szCs w:val="24"/>
        </w:rPr>
        <w:t xml:space="preserve"> are both less than the maximum values reported in this LM-80 Test Report. </w:t>
      </w:r>
    </w:p>
    <w:p w14:paraId="5D8B539A" w14:textId="77777777" w:rsidR="00982C67" w:rsidRPr="0092053E" w:rsidRDefault="00982C67" w:rsidP="003776C5">
      <w:pPr>
        <w:pStyle w:val="ListParagraph"/>
        <w:numPr>
          <w:ilvl w:val="1"/>
          <w:numId w:val="14"/>
        </w:numPr>
        <w:spacing w:after="160" w:line="259" w:lineRule="auto"/>
        <w:rPr>
          <w:rFonts w:ascii="Calibri" w:hAnsi="Calibri"/>
          <w:sz w:val="24"/>
          <w:szCs w:val="24"/>
        </w:rPr>
      </w:pPr>
      <w:r w:rsidRPr="0092053E">
        <w:rPr>
          <w:rFonts w:ascii="Calibri" w:hAnsi="Calibri"/>
          <w:sz w:val="24"/>
          <w:szCs w:val="24"/>
        </w:rPr>
        <w:t>This is a relatively short test of a couple of hours.</w:t>
      </w:r>
    </w:p>
    <w:p w14:paraId="451322B9" w14:textId="77777777" w:rsidR="00982C67" w:rsidRPr="0092053E" w:rsidRDefault="00982C67" w:rsidP="003776C5">
      <w:pPr>
        <w:pStyle w:val="ListParagraph"/>
        <w:numPr>
          <w:ilvl w:val="1"/>
          <w:numId w:val="14"/>
        </w:numPr>
        <w:spacing w:after="160" w:line="259" w:lineRule="auto"/>
        <w:rPr>
          <w:rFonts w:ascii="Calibri" w:hAnsi="Calibri"/>
          <w:sz w:val="24"/>
          <w:szCs w:val="24"/>
        </w:rPr>
      </w:pPr>
      <w:r w:rsidRPr="0092053E">
        <w:rPr>
          <w:rFonts w:ascii="Calibri" w:hAnsi="Calibri"/>
          <w:sz w:val="24"/>
          <w:szCs w:val="24"/>
        </w:rPr>
        <w:t>The method for projecting lumen maintenance is provided in TM-21.</w:t>
      </w:r>
    </w:p>
    <w:p w14:paraId="0A27DCA4" w14:textId="77777777" w:rsidR="00982C67" w:rsidRPr="0092053E" w:rsidRDefault="00982C67" w:rsidP="003776C5">
      <w:pPr>
        <w:pStyle w:val="ListParagraph"/>
        <w:numPr>
          <w:ilvl w:val="1"/>
          <w:numId w:val="14"/>
        </w:numPr>
        <w:spacing w:after="160" w:line="259" w:lineRule="auto"/>
        <w:rPr>
          <w:rFonts w:ascii="Calibri" w:hAnsi="Calibri"/>
          <w:sz w:val="24"/>
          <w:szCs w:val="24"/>
        </w:rPr>
      </w:pPr>
      <w:r w:rsidRPr="0092053E">
        <w:rPr>
          <w:rFonts w:ascii="Calibri" w:hAnsi="Calibri"/>
          <w:sz w:val="24"/>
          <w:szCs w:val="24"/>
        </w:rPr>
        <w:t>Eligibility of method</w:t>
      </w:r>
    </w:p>
    <w:tbl>
      <w:tblPr>
        <w:tblStyle w:val="TableGrid"/>
        <w:tblW w:w="7694" w:type="dxa"/>
        <w:tblInd w:w="1129" w:type="dxa"/>
        <w:tblLayout w:type="fixed"/>
        <w:tblLook w:val="04A0" w:firstRow="1" w:lastRow="0" w:firstColumn="1" w:lastColumn="0" w:noHBand="0" w:noVBand="1"/>
        <w:tblDescription w:val="Table indicates the criteria and action for 'LED drive current' and 'temperature at measurement point', using LM-80 test report."/>
      </w:tblPr>
      <w:tblGrid>
        <w:gridCol w:w="1701"/>
        <w:gridCol w:w="993"/>
        <w:gridCol w:w="5000"/>
      </w:tblGrid>
      <w:tr w:rsidR="00982C67" w:rsidRPr="0092053E" w14:paraId="17346BB0" w14:textId="77777777" w:rsidTr="00BC6AA0">
        <w:trPr>
          <w:trHeight w:val="782"/>
          <w:tblHeader/>
        </w:trPr>
        <w:tc>
          <w:tcPr>
            <w:tcW w:w="1701" w:type="dxa"/>
            <w:vAlign w:val="bottom"/>
          </w:tcPr>
          <w:p w14:paraId="3648335B" w14:textId="77777777" w:rsidR="00982C67" w:rsidRPr="0092053E" w:rsidRDefault="00982C67" w:rsidP="00BC6AA0">
            <w:pPr>
              <w:jc w:val="center"/>
              <w:rPr>
                <w:rFonts w:ascii="Calibri" w:hAnsi="Calibri"/>
                <w:sz w:val="24"/>
              </w:rPr>
            </w:pPr>
            <w:r w:rsidRPr="0092053E">
              <w:rPr>
                <w:rFonts w:ascii="Calibri" w:hAnsi="Calibri"/>
                <w:sz w:val="24"/>
              </w:rPr>
              <w:t>From LED luminaire</w:t>
            </w:r>
          </w:p>
        </w:tc>
        <w:tc>
          <w:tcPr>
            <w:tcW w:w="5993" w:type="dxa"/>
            <w:gridSpan w:val="2"/>
            <w:vAlign w:val="bottom"/>
          </w:tcPr>
          <w:p w14:paraId="58C1A06D" w14:textId="77777777" w:rsidR="00982C67" w:rsidRPr="0092053E" w:rsidRDefault="00982C67" w:rsidP="00BC6AA0">
            <w:pPr>
              <w:jc w:val="center"/>
              <w:rPr>
                <w:rFonts w:ascii="Calibri" w:hAnsi="Calibri"/>
                <w:sz w:val="24"/>
              </w:rPr>
            </w:pPr>
            <w:r w:rsidRPr="0092053E">
              <w:rPr>
                <w:rFonts w:ascii="Calibri" w:hAnsi="Calibri"/>
                <w:sz w:val="24"/>
              </w:rPr>
              <w:t>Use of LM-80 report and TM-21 projection</w:t>
            </w:r>
          </w:p>
        </w:tc>
      </w:tr>
      <w:tr w:rsidR="00982C67" w:rsidRPr="0092053E" w14:paraId="06DC6340" w14:textId="77777777" w:rsidTr="00BC6AA0">
        <w:tc>
          <w:tcPr>
            <w:tcW w:w="1701" w:type="dxa"/>
          </w:tcPr>
          <w:p w14:paraId="5113FC9A" w14:textId="77777777" w:rsidR="00982C67" w:rsidRPr="0092053E" w:rsidRDefault="00982C67" w:rsidP="001D173D">
            <w:pPr>
              <w:rPr>
                <w:rFonts w:ascii="Calibri" w:hAnsi="Calibri"/>
                <w:sz w:val="24"/>
              </w:rPr>
            </w:pPr>
          </w:p>
        </w:tc>
        <w:tc>
          <w:tcPr>
            <w:tcW w:w="993" w:type="dxa"/>
          </w:tcPr>
          <w:p w14:paraId="06CE8C98" w14:textId="77777777" w:rsidR="00982C67" w:rsidRPr="0092053E" w:rsidRDefault="00982C67" w:rsidP="001D173D">
            <w:pPr>
              <w:rPr>
                <w:rFonts w:ascii="Calibri" w:hAnsi="Calibri"/>
                <w:sz w:val="24"/>
              </w:rPr>
            </w:pPr>
            <w:r w:rsidRPr="0092053E">
              <w:rPr>
                <w:rFonts w:ascii="Calibri" w:hAnsi="Calibri"/>
                <w:sz w:val="24"/>
              </w:rPr>
              <w:t>Criteria</w:t>
            </w:r>
          </w:p>
        </w:tc>
        <w:tc>
          <w:tcPr>
            <w:tcW w:w="5000" w:type="dxa"/>
          </w:tcPr>
          <w:p w14:paraId="3CF4653B" w14:textId="77777777" w:rsidR="00982C67" w:rsidRPr="0092053E" w:rsidRDefault="00982C67" w:rsidP="001D173D">
            <w:pPr>
              <w:rPr>
                <w:rFonts w:ascii="Calibri" w:hAnsi="Calibri"/>
                <w:sz w:val="24"/>
              </w:rPr>
            </w:pPr>
            <w:r w:rsidRPr="0092053E">
              <w:rPr>
                <w:rFonts w:ascii="Calibri" w:hAnsi="Calibri"/>
                <w:sz w:val="24"/>
              </w:rPr>
              <w:t>Action</w:t>
            </w:r>
          </w:p>
        </w:tc>
      </w:tr>
      <w:tr w:rsidR="00982C67" w:rsidRPr="0092053E" w14:paraId="129D4DE6" w14:textId="77777777" w:rsidTr="00BC6AA0">
        <w:tc>
          <w:tcPr>
            <w:tcW w:w="1701" w:type="dxa"/>
          </w:tcPr>
          <w:p w14:paraId="4E53BD98" w14:textId="77777777" w:rsidR="00982C67" w:rsidRPr="0092053E" w:rsidRDefault="00982C67" w:rsidP="001D173D">
            <w:pPr>
              <w:rPr>
                <w:rFonts w:ascii="Calibri" w:hAnsi="Calibri"/>
                <w:sz w:val="24"/>
              </w:rPr>
            </w:pPr>
            <w:r w:rsidRPr="0092053E">
              <w:rPr>
                <w:rFonts w:ascii="Calibri" w:hAnsi="Calibri"/>
                <w:sz w:val="24"/>
              </w:rPr>
              <w:t>LED drive current, I</w:t>
            </w:r>
            <w:r w:rsidRPr="0092053E">
              <w:rPr>
                <w:rFonts w:ascii="Calibri" w:hAnsi="Calibri"/>
                <w:sz w:val="24"/>
                <w:vertAlign w:val="subscript"/>
              </w:rPr>
              <w:t>LED</w:t>
            </w:r>
          </w:p>
        </w:tc>
        <w:tc>
          <w:tcPr>
            <w:tcW w:w="993" w:type="dxa"/>
          </w:tcPr>
          <w:p w14:paraId="7D9D4316" w14:textId="77777777" w:rsidR="00982C67" w:rsidRPr="0092053E" w:rsidRDefault="00982C67" w:rsidP="001D173D">
            <w:pPr>
              <w:rPr>
                <w:rFonts w:ascii="Calibri" w:hAnsi="Calibri"/>
                <w:sz w:val="24"/>
              </w:rPr>
            </w:pPr>
            <w:r w:rsidRPr="0092053E">
              <w:rPr>
                <w:rFonts w:ascii="Calibri" w:hAnsi="Calibri" w:cstheme="minorHAnsi"/>
                <w:sz w:val="24"/>
              </w:rPr>
              <w:t xml:space="preserve">&lt; </w:t>
            </w:r>
            <w:r w:rsidRPr="0092053E">
              <w:rPr>
                <w:rFonts w:ascii="Calibri" w:hAnsi="Calibri"/>
                <w:sz w:val="24"/>
              </w:rPr>
              <w:t>I</w:t>
            </w:r>
            <w:r w:rsidRPr="0092053E">
              <w:rPr>
                <w:rFonts w:ascii="Calibri" w:hAnsi="Calibri"/>
                <w:sz w:val="24"/>
                <w:vertAlign w:val="subscript"/>
              </w:rPr>
              <w:t>LED max</w:t>
            </w:r>
          </w:p>
        </w:tc>
        <w:tc>
          <w:tcPr>
            <w:tcW w:w="5000" w:type="dxa"/>
          </w:tcPr>
          <w:p w14:paraId="15239F27" w14:textId="77777777" w:rsidR="00982C67" w:rsidRPr="0092053E" w:rsidRDefault="00982C67" w:rsidP="001D173D">
            <w:pPr>
              <w:rPr>
                <w:rFonts w:ascii="Calibri" w:hAnsi="Calibri"/>
                <w:sz w:val="24"/>
              </w:rPr>
            </w:pPr>
            <w:r w:rsidRPr="0092053E">
              <w:rPr>
                <w:rFonts w:ascii="Calibri" w:hAnsi="Calibri"/>
                <w:sz w:val="24"/>
              </w:rPr>
              <w:t>Refer to results for first I</w:t>
            </w:r>
            <w:r w:rsidRPr="0092053E">
              <w:rPr>
                <w:rFonts w:ascii="Calibri" w:hAnsi="Calibri"/>
                <w:sz w:val="24"/>
                <w:vertAlign w:val="subscript"/>
              </w:rPr>
              <w:t>LED</w:t>
            </w:r>
            <w:r w:rsidRPr="0092053E">
              <w:rPr>
                <w:rFonts w:ascii="Calibri" w:hAnsi="Calibri"/>
                <w:sz w:val="24"/>
              </w:rPr>
              <w:t xml:space="preserve"> that is higher</w:t>
            </w:r>
          </w:p>
        </w:tc>
      </w:tr>
      <w:tr w:rsidR="00982C67" w:rsidRPr="0092053E" w14:paraId="7A3D7CB6" w14:textId="77777777" w:rsidTr="00BC6AA0">
        <w:tc>
          <w:tcPr>
            <w:tcW w:w="1701" w:type="dxa"/>
          </w:tcPr>
          <w:p w14:paraId="37C222E8" w14:textId="77777777" w:rsidR="00982C67" w:rsidRPr="0092053E" w:rsidRDefault="00982C67" w:rsidP="001D173D">
            <w:pPr>
              <w:rPr>
                <w:rFonts w:ascii="Calibri" w:hAnsi="Calibri"/>
                <w:sz w:val="24"/>
              </w:rPr>
            </w:pPr>
          </w:p>
        </w:tc>
        <w:tc>
          <w:tcPr>
            <w:tcW w:w="993" w:type="dxa"/>
          </w:tcPr>
          <w:p w14:paraId="2DC1FA85" w14:textId="77777777" w:rsidR="00982C67" w:rsidRPr="0092053E" w:rsidRDefault="00982C67" w:rsidP="001D173D">
            <w:pPr>
              <w:rPr>
                <w:rFonts w:ascii="Calibri" w:hAnsi="Calibri"/>
                <w:sz w:val="24"/>
              </w:rPr>
            </w:pPr>
            <w:r w:rsidRPr="0092053E">
              <w:rPr>
                <w:rFonts w:ascii="Calibri" w:hAnsi="Calibri" w:cstheme="minorHAnsi"/>
                <w:sz w:val="24"/>
              </w:rPr>
              <w:t xml:space="preserve">&gt; </w:t>
            </w:r>
            <w:r w:rsidRPr="0092053E">
              <w:rPr>
                <w:rFonts w:ascii="Calibri" w:hAnsi="Calibri"/>
                <w:sz w:val="24"/>
              </w:rPr>
              <w:t>I</w:t>
            </w:r>
            <w:r w:rsidRPr="0092053E">
              <w:rPr>
                <w:rFonts w:ascii="Calibri" w:hAnsi="Calibri"/>
                <w:sz w:val="24"/>
                <w:vertAlign w:val="subscript"/>
              </w:rPr>
              <w:t>LED max</w:t>
            </w:r>
          </w:p>
        </w:tc>
        <w:tc>
          <w:tcPr>
            <w:tcW w:w="5000" w:type="dxa"/>
          </w:tcPr>
          <w:p w14:paraId="05B48ACD" w14:textId="77777777" w:rsidR="00982C67" w:rsidRPr="0092053E" w:rsidRDefault="00982C67" w:rsidP="001D173D">
            <w:pPr>
              <w:rPr>
                <w:rFonts w:ascii="Calibri" w:hAnsi="Calibri"/>
                <w:sz w:val="24"/>
              </w:rPr>
            </w:pPr>
            <w:r w:rsidRPr="0092053E">
              <w:rPr>
                <w:rFonts w:ascii="Calibri" w:hAnsi="Calibri"/>
                <w:sz w:val="24"/>
              </w:rPr>
              <w:t>Ineligible</w:t>
            </w:r>
          </w:p>
        </w:tc>
      </w:tr>
      <w:tr w:rsidR="00982C67" w:rsidRPr="0092053E" w14:paraId="218A9CE6" w14:textId="77777777" w:rsidTr="00BC6AA0">
        <w:tc>
          <w:tcPr>
            <w:tcW w:w="1701" w:type="dxa"/>
          </w:tcPr>
          <w:p w14:paraId="5EE0B67D" w14:textId="77777777" w:rsidR="00982C67" w:rsidRPr="0092053E" w:rsidRDefault="00982C67" w:rsidP="001D173D">
            <w:pPr>
              <w:rPr>
                <w:rFonts w:ascii="Calibri" w:hAnsi="Calibri"/>
                <w:sz w:val="24"/>
              </w:rPr>
            </w:pPr>
            <w:r w:rsidRPr="0092053E">
              <w:rPr>
                <w:rFonts w:ascii="Calibri" w:hAnsi="Calibri"/>
                <w:sz w:val="24"/>
              </w:rPr>
              <w:t>Temperature at measurement point, T</w:t>
            </w:r>
            <w:r w:rsidRPr="0092053E">
              <w:rPr>
                <w:rFonts w:ascii="Calibri" w:hAnsi="Calibri"/>
                <w:sz w:val="24"/>
                <w:vertAlign w:val="subscript"/>
              </w:rPr>
              <w:t>s</w:t>
            </w:r>
          </w:p>
        </w:tc>
        <w:tc>
          <w:tcPr>
            <w:tcW w:w="993" w:type="dxa"/>
          </w:tcPr>
          <w:p w14:paraId="6DC5B173" w14:textId="77777777" w:rsidR="00982C67" w:rsidRPr="0092053E" w:rsidRDefault="00982C67" w:rsidP="001D173D">
            <w:pPr>
              <w:rPr>
                <w:rFonts w:ascii="Calibri" w:hAnsi="Calibri"/>
                <w:sz w:val="24"/>
              </w:rPr>
            </w:pPr>
            <w:r w:rsidRPr="0092053E">
              <w:rPr>
                <w:rFonts w:ascii="Calibri" w:hAnsi="Calibri"/>
                <w:sz w:val="24"/>
              </w:rPr>
              <w:t>&lt; T</w:t>
            </w:r>
            <w:r w:rsidRPr="0092053E">
              <w:rPr>
                <w:rFonts w:ascii="Calibri" w:hAnsi="Calibri"/>
                <w:sz w:val="24"/>
                <w:vertAlign w:val="subscript"/>
              </w:rPr>
              <w:t>s min</w:t>
            </w:r>
          </w:p>
        </w:tc>
        <w:tc>
          <w:tcPr>
            <w:tcW w:w="5000" w:type="dxa"/>
          </w:tcPr>
          <w:p w14:paraId="54357306" w14:textId="77777777" w:rsidR="00982C67" w:rsidRPr="0092053E" w:rsidRDefault="00982C67" w:rsidP="001D173D">
            <w:pPr>
              <w:rPr>
                <w:rFonts w:ascii="Calibri" w:hAnsi="Calibri"/>
                <w:sz w:val="24"/>
              </w:rPr>
            </w:pPr>
            <w:r w:rsidRPr="0092053E">
              <w:rPr>
                <w:rFonts w:ascii="Calibri" w:hAnsi="Calibri"/>
                <w:sz w:val="24"/>
              </w:rPr>
              <w:t>Use T</w:t>
            </w:r>
            <w:r w:rsidRPr="0092053E">
              <w:rPr>
                <w:rFonts w:ascii="Calibri" w:hAnsi="Calibri"/>
                <w:sz w:val="24"/>
                <w:vertAlign w:val="subscript"/>
              </w:rPr>
              <w:t>s min</w:t>
            </w:r>
            <w:r w:rsidRPr="0092053E">
              <w:rPr>
                <w:rFonts w:ascii="Calibri" w:hAnsi="Calibri"/>
                <w:sz w:val="24"/>
              </w:rPr>
              <w:t xml:space="preserve"> results for projecting L</w:t>
            </w:r>
            <w:r w:rsidRPr="0092053E">
              <w:rPr>
                <w:rFonts w:ascii="Calibri" w:hAnsi="Calibri"/>
                <w:sz w:val="24"/>
                <w:vertAlign w:val="subscript"/>
              </w:rPr>
              <w:t>70</w:t>
            </w:r>
          </w:p>
        </w:tc>
      </w:tr>
      <w:tr w:rsidR="00982C67" w:rsidRPr="0092053E" w14:paraId="44CCF164" w14:textId="77777777" w:rsidTr="00BC6AA0">
        <w:tc>
          <w:tcPr>
            <w:tcW w:w="1701" w:type="dxa"/>
          </w:tcPr>
          <w:p w14:paraId="5DB1F6B9" w14:textId="77777777" w:rsidR="00982C67" w:rsidRPr="0092053E" w:rsidRDefault="00982C67" w:rsidP="001D173D">
            <w:pPr>
              <w:rPr>
                <w:rFonts w:ascii="Calibri" w:hAnsi="Calibri"/>
                <w:sz w:val="24"/>
              </w:rPr>
            </w:pPr>
          </w:p>
        </w:tc>
        <w:tc>
          <w:tcPr>
            <w:tcW w:w="993" w:type="dxa"/>
          </w:tcPr>
          <w:p w14:paraId="0F5308E0" w14:textId="77777777" w:rsidR="00982C67" w:rsidRPr="0092053E" w:rsidRDefault="00982C67" w:rsidP="001D173D">
            <w:pPr>
              <w:rPr>
                <w:rFonts w:ascii="Calibri" w:hAnsi="Calibri"/>
                <w:sz w:val="24"/>
              </w:rPr>
            </w:pPr>
            <w:r w:rsidRPr="0092053E">
              <w:rPr>
                <w:rFonts w:ascii="Calibri" w:hAnsi="Calibri"/>
                <w:sz w:val="24"/>
              </w:rPr>
              <w:t>&gt; T</w:t>
            </w:r>
            <w:r w:rsidRPr="0092053E">
              <w:rPr>
                <w:rFonts w:ascii="Calibri" w:hAnsi="Calibri"/>
                <w:sz w:val="24"/>
                <w:vertAlign w:val="subscript"/>
              </w:rPr>
              <w:t>s min</w:t>
            </w:r>
            <w:r w:rsidRPr="0092053E">
              <w:rPr>
                <w:rFonts w:ascii="Calibri" w:hAnsi="Calibri"/>
                <w:sz w:val="24"/>
              </w:rPr>
              <w:t xml:space="preserve"> </w:t>
            </w:r>
          </w:p>
          <w:p w14:paraId="7F8841E7" w14:textId="77777777" w:rsidR="00982C67" w:rsidRPr="0092053E" w:rsidRDefault="00982C67" w:rsidP="001D173D">
            <w:pPr>
              <w:rPr>
                <w:rFonts w:ascii="Calibri" w:hAnsi="Calibri"/>
                <w:sz w:val="24"/>
              </w:rPr>
            </w:pPr>
            <w:r w:rsidRPr="0092053E">
              <w:rPr>
                <w:rFonts w:ascii="Calibri" w:hAnsi="Calibri"/>
                <w:sz w:val="24"/>
              </w:rPr>
              <w:t>&lt; T</w:t>
            </w:r>
            <w:r w:rsidRPr="0092053E">
              <w:rPr>
                <w:rFonts w:ascii="Calibri" w:hAnsi="Calibri"/>
                <w:sz w:val="24"/>
                <w:vertAlign w:val="subscript"/>
              </w:rPr>
              <w:t>s max</w:t>
            </w:r>
          </w:p>
        </w:tc>
        <w:tc>
          <w:tcPr>
            <w:tcW w:w="5000" w:type="dxa"/>
          </w:tcPr>
          <w:p w14:paraId="29553487" w14:textId="77777777" w:rsidR="00982C67" w:rsidRPr="0092053E" w:rsidRDefault="00982C67" w:rsidP="001D173D">
            <w:pPr>
              <w:rPr>
                <w:rFonts w:ascii="Calibri" w:hAnsi="Calibri"/>
                <w:sz w:val="24"/>
              </w:rPr>
            </w:pPr>
            <w:r w:rsidRPr="0092053E">
              <w:rPr>
                <w:rFonts w:ascii="Calibri" w:hAnsi="Calibri"/>
                <w:sz w:val="24"/>
              </w:rPr>
              <w:t>Interpolate according to TM-21 and use results for projecting L</w:t>
            </w:r>
            <w:r w:rsidRPr="0092053E">
              <w:rPr>
                <w:rFonts w:ascii="Calibri" w:hAnsi="Calibri"/>
                <w:sz w:val="24"/>
                <w:vertAlign w:val="subscript"/>
              </w:rPr>
              <w:t>70</w:t>
            </w:r>
          </w:p>
        </w:tc>
      </w:tr>
      <w:tr w:rsidR="00982C67" w:rsidRPr="0092053E" w14:paraId="6A3A4C4E" w14:textId="77777777" w:rsidTr="00BC6AA0">
        <w:tc>
          <w:tcPr>
            <w:tcW w:w="1701" w:type="dxa"/>
          </w:tcPr>
          <w:p w14:paraId="055554B6" w14:textId="77777777" w:rsidR="00982C67" w:rsidRPr="0092053E" w:rsidRDefault="00982C67" w:rsidP="001D173D">
            <w:pPr>
              <w:rPr>
                <w:rFonts w:ascii="Calibri" w:hAnsi="Calibri"/>
                <w:sz w:val="24"/>
              </w:rPr>
            </w:pPr>
          </w:p>
        </w:tc>
        <w:tc>
          <w:tcPr>
            <w:tcW w:w="993" w:type="dxa"/>
          </w:tcPr>
          <w:p w14:paraId="359F7341" w14:textId="77777777" w:rsidR="00982C67" w:rsidRPr="0092053E" w:rsidRDefault="00982C67" w:rsidP="001D173D">
            <w:pPr>
              <w:rPr>
                <w:rFonts w:ascii="Calibri" w:hAnsi="Calibri"/>
                <w:sz w:val="24"/>
              </w:rPr>
            </w:pPr>
            <w:r w:rsidRPr="0092053E">
              <w:rPr>
                <w:rFonts w:ascii="Calibri" w:hAnsi="Calibri"/>
                <w:sz w:val="24"/>
              </w:rPr>
              <w:t>&gt; T</w:t>
            </w:r>
            <w:r w:rsidRPr="0092053E">
              <w:rPr>
                <w:rFonts w:ascii="Calibri" w:hAnsi="Calibri"/>
                <w:sz w:val="24"/>
                <w:vertAlign w:val="subscript"/>
              </w:rPr>
              <w:t>s max</w:t>
            </w:r>
          </w:p>
        </w:tc>
        <w:tc>
          <w:tcPr>
            <w:tcW w:w="5000" w:type="dxa"/>
          </w:tcPr>
          <w:p w14:paraId="411553BD" w14:textId="77777777" w:rsidR="00982C67" w:rsidRPr="0092053E" w:rsidRDefault="00982C67" w:rsidP="001D173D">
            <w:pPr>
              <w:rPr>
                <w:rFonts w:ascii="Calibri" w:hAnsi="Calibri"/>
                <w:sz w:val="24"/>
              </w:rPr>
            </w:pPr>
            <w:r w:rsidRPr="0092053E">
              <w:rPr>
                <w:rFonts w:ascii="Calibri" w:hAnsi="Calibri"/>
                <w:sz w:val="24"/>
              </w:rPr>
              <w:t>Ineligible</w:t>
            </w:r>
          </w:p>
        </w:tc>
      </w:tr>
    </w:tbl>
    <w:p w14:paraId="25542B7D" w14:textId="77777777" w:rsidR="00982C67" w:rsidRDefault="00982C67" w:rsidP="00982C67">
      <w:pPr>
        <w:ind w:left="1080"/>
        <w:rPr>
          <w:rFonts w:ascii="Calibri" w:hAnsi="Calibri"/>
          <w:sz w:val="24"/>
        </w:rPr>
      </w:pPr>
    </w:p>
    <w:p w14:paraId="291520EB" w14:textId="77777777" w:rsidR="00982C67" w:rsidRPr="0092053E" w:rsidRDefault="00982C67" w:rsidP="00982C67">
      <w:pPr>
        <w:pStyle w:val="ListParagraph"/>
        <w:ind w:left="1440"/>
        <w:rPr>
          <w:rFonts w:ascii="Calibri" w:hAnsi="Calibri"/>
          <w:sz w:val="24"/>
          <w:szCs w:val="24"/>
        </w:rPr>
      </w:pPr>
    </w:p>
    <w:p w14:paraId="2A9CAE4A" w14:textId="77777777" w:rsidR="00982C67" w:rsidRPr="0092053E" w:rsidRDefault="00982C67" w:rsidP="003776C5">
      <w:pPr>
        <w:pStyle w:val="ListParagraph"/>
        <w:numPr>
          <w:ilvl w:val="0"/>
          <w:numId w:val="14"/>
        </w:numPr>
        <w:spacing w:after="160" w:line="259" w:lineRule="auto"/>
        <w:rPr>
          <w:rFonts w:ascii="Calibri" w:hAnsi="Calibri"/>
          <w:sz w:val="24"/>
          <w:szCs w:val="24"/>
        </w:rPr>
      </w:pPr>
      <w:r w:rsidRPr="0092053E">
        <w:rPr>
          <w:rFonts w:ascii="Calibri" w:hAnsi="Calibri"/>
          <w:b/>
          <w:sz w:val="24"/>
          <w:szCs w:val="24"/>
        </w:rPr>
        <w:t>LM-84 Test where a relevant LM-80 Test Report for LED package/module exists.</w:t>
      </w:r>
    </w:p>
    <w:p w14:paraId="57D71B55" w14:textId="77777777" w:rsidR="00982C67" w:rsidRPr="0092053E" w:rsidRDefault="00982C67" w:rsidP="003776C5">
      <w:pPr>
        <w:pStyle w:val="ListParagraph"/>
        <w:numPr>
          <w:ilvl w:val="1"/>
          <w:numId w:val="14"/>
        </w:numPr>
        <w:spacing w:after="160" w:line="259" w:lineRule="auto"/>
        <w:rPr>
          <w:rFonts w:ascii="Calibri" w:hAnsi="Calibri"/>
          <w:sz w:val="24"/>
          <w:szCs w:val="24"/>
        </w:rPr>
      </w:pPr>
      <w:r w:rsidRPr="0092053E">
        <w:rPr>
          <w:rFonts w:ascii="Calibri" w:hAnsi="Calibri"/>
          <w:sz w:val="24"/>
          <w:szCs w:val="24"/>
        </w:rPr>
        <w:t xml:space="preserve">Conducting a luminous flux maintenance measurement test for a minimum of 3000 but less than 6000 hours and having available a lumen depreciation vs temperature profiles for the LED package/module (i.e. LM-80 Test Report) where the in-situ temperature and drive current of the </w:t>
      </w:r>
      <w:r w:rsidRPr="0092053E">
        <w:rPr>
          <w:rFonts w:ascii="Calibri" w:hAnsi="Calibri"/>
          <w:i/>
          <w:sz w:val="24"/>
          <w:szCs w:val="24"/>
        </w:rPr>
        <w:t>LED/package module in the luminaire</w:t>
      </w:r>
      <w:r w:rsidRPr="0092053E">
        <w:rPr>
          <w:rFonts w:ascii="Calibri" w:hAnsi="Calibri"/>
          <w:sz w:val="24"/>
          <w:szCs w:val="24"/>
        </w:rPr>
        <w:t xml:space="preserve"> are both less than the maximum values reported in this LM-80 Test Report.</w:t>
      </w:r>
    </w:p>
    <w:p w14:paraId="72406C89" w14:textId="77777777" w:rsidR="00982C67" w:rsidRPr="0092053E" w:rsidRDefault="00982C67" w:rsidP="003776C5">
      <w:pPr>
        <w:pStyle w:val="ListParagraph"/>
        <w:numPr>
          <w:ilvl w:val="1"/>
          <w:numId w:val="14"/>
        </w:numPr>
        <w:spacing w:after="160" w:line="259" w:lineRule="auto"/>
        <w:rPr>
          <w:rFonts w:ascii="Calibri" w:hAnsi="Calibri"/>
          <w:sz w:val="24"/>
          <w:szCs w:val="24"/>
        </w:rPr>
      </w:pPr>
      <w:r w:rsidRPr="0092053E">
        <w:rPr>
          <w:rFonts w:ascii="Calibri" w:hAnsi="Calibri"/>
          <w:sz w:val="24"/>
          <w:szCs w:val="24"/>
        </w:rPr>
        <w:t>This test takes approximately 4.5 - 8.5 months.</w:t>
      </w:r>
    </w:p>
    <w:p w14:paraId="2C90A9C0" w14:textId="77777777" w:rsidR="00982C67" w:rsidRPr="0092053E" w:rsidRDefault="00982C67" w:rsidP="003776C5">
      <w:pPr>
        <w:pStyle w:val="ListParagraph"/>
        <w:numPr>
          <w:ilvl w:val="1"/>
          <w:numId w:val="14"/>
        </w:numPr>
        <w:spacing w:after="160" w:line="259" w:lineRule="auto"/>
        <w:rPr>
          <w:rFonts w:ascii="Calibri" w:hAnsi="Calibri"/>
          <w:sz w:val="24"/>
          <w:szCs w:val="24"/>
        </w:rPr>
      </w:pPr>
      <w:r w:rsidRPr="0092053E">
        <w:rPr>
          <w:rFonts w:ascii="Calibri" w:hAnsi="Calibri"/>
          <w:sz w:val="24"/>
          <w:szCs w:val="24"/>
        </w:rPr>
        <w:t>The method for projecting lumen maintenance is provided in TM-28.</w:t>
      </w:r>
    </w:p>
    <w:p w14:paraId="44CCE678" w14:textId="77777777" w:rsidR="00982C67" w:rsidRPr="0092053E" w:rsidRDefault="00982C67" w:rsidP="003776C5">
      <w:pPr>
        <w:pStyle w:val="ListParagraph"/>
        <w:numPr>
          <w:ilvl w:val="1"/>
          <w:numId w:val="14"/>
        </w:numPr>
        <w:spacing w:after="160" w:line="259" w:lineRule="auto"/>
        <w:rPr>
          <w:rFonts w:ascii="Calibri" w:hAnsi="Calibri"/>
          <w:sz w:val="24"/>
          <w:szCs w:val="24"/>
        </w:rPr>
      </w:pPr>
      <w:r w:rsidRPr="0092053E">
        <w:rPr>
          <w:rFonts w:ascii="Calibri" w:hAnsi="Calibri"/>
          <w:sz w:val="24"/>
          <w:szCs w:val="24"/>
        </w:rPr>
        <w:t>Similar eligibility requirements as (1) above apply.</w:t>
      </w:r>
    </w:p>
    <w:p w14:paraId="03B25A85" w14:textId="77777777" w:rsidR="00982C67" w:rsidRPr="0092053E" w:rsidRDefault="00982C67" w:rsidP="00982C67">
      <w:pPr>
        <w:pStyle w:val="ListParagraph"/>
        <w:ind w:left="1440"/>
        <w:rPr>
          <w:rFonts w:ascii="Calibri" w:hAnsi="Calibri"/>
          <w:sz w:val="24"/>
          <w:szCs w:val="24"/>
        </w:rPr>
      </w:pPr>
    </w:p>
    <w:p w14:paraId="6C475A62" w14:textId="77777777" w:rsidR="00982C67" w:rsidRPr="0092053E" w:rsidRDefault="00982C67" w:rsidP="003776C5">
      <w:pPr>
        <w:pStyle w:val="ListParagraph"/>
        <w:numPr>
          <w:ilvl w:val="0"/>
          <w:numId w:val="14"/>
        </w:numPr>
        <w:spacing w:after="160" w:line="259" w:lineRule="auto"/>
        <w:rPr>
          <w:rFonts w:ascii="Calibri" w:hAnsi="Calibri"/>
          <w:sz w:val="24"/>
          <w:szCs w:val="24"/>
        </w:rPr>
      </w:pPr>
      <w:r w:rsidRPr="0092053E">
        <w:rPr>
          <w:rFonts w:ascii="Calibri" w:hAnsi="Calibri"/>
          <w:b/>
          <w:sz w:val="24"/>
          <w:szCs w:val="24"/>
        </w:rPr>
        <w:t>LM-84 Test</w:t>
      </w:r>
    </w:p>
    <w:p w14:paraId="0863590A" w14:textId="77777777" w:rsidR="00982C67" w:rsidRPr="0092053E" w:rsidRDefault="00982C67" w:rsidP="003776C5">
      <w:pPr>
        <w:pStyle w:val="ListParagraph"/>
        <w:numPr>
          <w:ilvl w:val="1"/>
          <w:numId w:val="14"/>
        </w:numPr>
        <w:spacing w:after="160" w:line="259" w:lineRule="auto"/>
        <w:rPr>
          <w:rFonts w:ascii="Calibri" w:hAnsi="Calibri"/>
          <w:sz w:val="24"/>
          <w:szCs w:val="24"/>
        </w:rPr>
      </w:pPr>
      <w:r w:rsidRPr="0092053E">
        <w:rPr>
          <w:rFonts w:ascii="Calibri" w:hAnsi="Calibri"/>
          <w:sz w:val="24"/>
          <w:szCs w:val="24"/>
        </w:rPr>
        <w:t xml:space="preserve">Conducting a luminous flux maintenance measurement test for a minimum of 6000 hours. </w:t>
      </w:r>
    </w:p>
    <w:p w14:paraId="665B9CC9" w14:textId="77777777" w:rsidR="00982C67" w:rsidRPr="0092053E" w:rsidRDefault="00982C67" w:rsidP="003776C5">
      <w:pPr>
        <w:pStyle w:val="ListParagraph"/>
        <w:numPr>
          <w:ilvl w:val="1"/>
          <w:numId w:val="14"/>
        </w:numPr>
        <w:spacing w:after="160" w:line="259" w:lineRule="auto"/>
        <w:rPr>
          <w:rFonts w:ascii="Calibri" w:hAnsi="Calibri"/>
          <w:sz w:val="24"/>
          <w:szCs w:val="24"/>
        </w:rPr>
      </w:pPr>
      <w:r w:rsidRPr="0092053E">
        <w:rPr>
          <w:rFonts w:ascii="Calibri" w:hAnsi="Calibri"/>
          <w:sz w:val="24"/>
          <w:szCs w:val="24"/>
        </w:rPr>
        <w:t>This test takes approximately 8.5 months.</w:t>
      </w:r>
    </w:p>
    <w:p w14:paraId="639AC826" w14:textId="77777777" w:rsidR="00982C67" w:rsidRPr="0092053E" w:rsidRDefault="00982C67" w:rsidP="003776C5">
      <w:pPr>
        <w:pStyle w:val="ListParagraph"/>
        <w:numPr>
          <w:ilvl w:val="1"/>
          <w:numId w:val="14"/>
        </w:numPr>
        <w:spacing w:after="160" w:line="259" w:lineRule="auto"/>
        <w:rPr>
          <w:rFonts w:ascii="Calibri" w:hAnsi="Calibri"/>
          <w:sz w:val="24"/>
          <w:szCs w:val="24"/>
        </w:rPr>
      </w:pPr>
      <w:r w:rsidRPr="0092053E">
        <w:rPr>
          <w:rFonts w:ascii="Calibri" w:hAnsi="Calibri"/>
          <w:sz w:val="24"/>
          <w:szCs w:val="24"/>
        </w:rPr>
        <w:t>The method for projecting lumen maintenance is provided in TM-28.</w:t>
      </w:r>
    </w:p>
    <w:p w14:paraId="43FD40AE" w14:textId="77777777" w:rsidR="00982C67" w:rsidRPr="0092053E" w:rsidRDefault="00982C67" w:rsidP="00982C67">
      <w:pPr>
        <w:pStyle w:val="ListParagraph"/>
        <w:ind w:left="1440"/>
        <w:rPr>
          <w:rFonts w:ascii="Calibri" w:hAnsi="Calibri"/>
          <w:sz w:val="24"/>
          <w:szCs w:val="24"/>
        </w:rPr>
      </w:pPr>
    </w:p>
    <w:p w14:paraId="65A73C1C" w14:textId="77777777" w:rsidR="00982C67" w:rsidRPr="0092053E" w:rsidRDefault="00982C67" w:rsidP="00AE4F4A">
      <w:pPr>
        <w:pStyle w:val="E3BodyText"/>
      </w:pPr>
      <w:r w:rsidRPr="0092053E">
        <w:t>For all test methods, the LED package/module within the luminaire must be operating at below its recommended maximum operating temperature.</w:t>
      </w:r>
    </w:p>
    <w:p w14:paraId="5BB9E366" w14:textId="77777777" w:rsidR="00982C67" w:rsidRDefault="00982C67" w:rsidP="00C157FA">
      <w:pPr>
        <w:pStyle w:val="E3Heading2"/>
      </w:pPr>
      <w:bookmarkStart w:id="81" w:name="_Toc493159064"/>
      <w:r>
        <w:t>Conclusion</w:t>
      </w:r>
      <w:bookmarkEnd w:id="81"/>
    </w:p>
    <w:p w14:paraId="0555A91C" w14:textId="77777777" w:rsidR="00982C67" w:rsidRPr="0092053E" w:rsidRDefault="00982C67" w:rsidP="00AE4F4A">
      <w:pPr>
        <w:pStyle w:val="E3BodyText"/>
      </w:pPr>
      <w:r w:rsidRPr="0092053E">
        <w:t>Test option (1) and to a lesser extent test option (2) provide convenient abbreviated methods for projecting the lumen maintenance of an assembled LED lamp or luminaire, by making use of more extensive testing that has already been conducted by the LED module/package manufacturer.  This provides greater certainty on an LED product’s service life for retailers and consumers, without imposing significant delays upon the manufacturer / supplier of the LED product.</w:t>
      </w:r>
    </w:p>
    <w:p w14:paraId="42453D9C" w14:textId="77777777" w:rsidR="00982C67" w:rsidRDefault="00982C67" w:rsidP="00982C67"/>
    <w:p w14:paraId="75596A7A" w14:textId="77777777" w:rsidR="00982C67" w:rsidRDefault="00982C67" w:rsidP="00982C67"/>
    <w:p w14:paraId="0256BE3D" w14:textId="77777777" w:rsidR="00982C67" w:rsidRDefault="00982C67" w:rsidP="00982C67">
      <w:r>
        <w:br w:type="page"/>
      </w:r>
    </w:p>
    <w:p w14:paraId="54CCDDA3" w14:textId="77777777" w:rsidR="00982C67" w:rsidRDefault="00982C67" w:rsidP="00982C67"/>
    <w:p w14:paraId="525F87E3" w14:textId="77777777" w:rsidR="00982C67" w:rsidRDefault="00982C67" w:rsidP="00FD3A0C">
      <w:pPr>
        <w:pStyle w:val="E3Heading3"/>
      </w:pPr>
      <w:r>
        <w:t>Annex</w:t>
      </w:r>
    </w:p>
    <w:p w14:paraId="35ECFFDC" w14:textId="6AC7FA98" w:rsidR="00982C67" w:rsidRPr="0092053E" w:rsidRDefault="00982C67" w:rsidP="00AE4F4A">
      <w:pPr>
        <w:pStyle w:val="E3BodyText"/>
      </w:pPr>
      <w:r w:rsidRPr="0067219E">
        <w:t xml:space="preserve">Examples of LED packages </w:t>
      </w:r>
      <w:r w:rsidRPr="0092053E">
        <w:t>and LED modules where the temperature measurement point (TMP) is identified in the a</w:t>
      </w:r>
      <w:r w:rsidR="0092053E">
        <w:t>ssociated product design guide.</w:t>
      </w:r>
    </w:p>
    <w:p w14:paraId="0DF33449" w14:textId="77777777" w:rsidR="0017142A" w:rsidRDefault="00982C67" w:rsidP="0017142A">
      <w:pPr>
        <w:keepNext/>
        <w:jc w:val="center"/>
      </w:pPr>
      <w:r w:rsidRPr="00D21D39">
        <w:rPr>
          <w:lang w:eastAsia="en-AU"/>
        </w:rPr>
        <w:drawing>
          <wp:inline distT="0" distB="0" distL="0" distR="0" wp14:anchorId="6FBBCAB3" wp14:editId="5496BCAE">
            <wp:extent cx="2964865" cy="1046539"/>
            <wp:effectExtent l="0" t="0" r="6985" b="1270"/>
            <wp:docPr id="26" name="Picture 26" descr="Image showing LED package with pad for thermocouple and thermocouple site if there is no separate 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84332" cy="1053410"/>
                    </a:xfrm>
                    <a:prstGeom prst="rect">
                      <a:avLst/>
                    </a:prstGeom>
                  </pic:spPr>
                </pic:pic>
              </a:graphicData>
            </a:graphic>
          </wp:inline>
        </w:drawing>
      </w:r>
    </w:p>
    <w:p w14:paraId="60206014" w14:textId="03C76F5A" w:rsidR="00982C67" w:rsidRDefault="0017142A" w:rsidP="0017142A">
      <w:pPr>
        <w:pStyle w:val="Caption"/>
        <w:jc w:val="center"/>
      </w:pPr>
      <w:bookmarkStart w:id="82" w:name="_Toc493158356"/>
      <w:r>
        <w:t xml:space="preserve">Figure </w:t>
      </w:r>
      <w:r>
        <w:fldChar w:fldCharType="begin"/>
      </w:r>
      <w:r>
        <w:instrText xml:space="preserve"> SEQ Figure \* ARABIC </w:instrText>
      </w:r>
      <w:r>
        <w:fldChar w:fldCharType="separate"/>
      </w:r>
      <w:r w:rsidR="005933B0">
        <w:t>14</w:t>
      </w:r>
      <w:r>
        <w:fldChar w:fldCharType="end"/>
      </w:r>
      <w:r>
        <w:t>:</w:t>
      </w:r>
      <w:r w:rsidRPr="0017142A">
        <w:t xml:space="preserve"> LED Package with TMP identified</w:t>
      </w:r>
      <w:bookmarkEnd w:id="82"/>
    </w:p>
    <w:p w14:paraId="5512D234" w14:textId="59A23ECA" w:rsidR="00982C67" w:rsidRPr="00CB7857" w:rsidRDefault="00982C67" w:rsidP="00CB7857">
      <w:pPr>
        <w:rPr>
          <w:rFonts w:ascii="Calibri" w:hAnsi="Calibri"/>
          <w:sz w:val="24"/>
        </w:rPr>
      </w:pPr>
      <w:r w:rsidRPr="00CB7857">
        <w:rPr>
          <w:rFonts w:ascii="Calibri" w:hAnsi="Calibri"/>
          <w:sz w:val="24"/>
        </w:rPr>
        <w:t xml:space="preserve">(Source: XLampXBD_SH.pdf at </w:t>
      </w:r>
      <w:hyperlink r:id="rId49" w:history="1">
        <w:r w:rsidRPr="00CB7857">
          <w:rPr>
            <w:rStyle w:val="Hyperlink"/>
            <w:rFonts w:ascii="Calibri" w:hAnsi="Calibri"/>
            <w:sz w:val="24"/>
          </w:rPr>
          <w:t>www.cree.com/xlamp</w:t>
        </w:r>
      </w:hyperlink>
      <w:r w:rsidRPr="00CB7857">
        <w:rPr>
          <w:rFonts w:ascii="Calibri" w:hAnsi="Calibri"/>
          <w:sz w:val="24"/>
        </w:rPr>
        <w:t>)</w:t>
      </w:r>
    </w:p>
    <w:p w14:paraId="4E170728" w14:textId="77777777" w:rsidR="00982C67" w:rsidRPr="00D21D39" w:rsidRDefault="00982C67" w:rsidP="00982C67">
      <w:pPr>
        <w:jc w:val="center"/>
      </w:pPr>
    </w:p>
    <w:p w14:paraId="617AB678" w14:textId="77777777" w:rsidR="0017142A" w:rsidRDefault="00982C67" w:rsidP="0017142A">
      <w:pPr>
        <w:keepNext/>
        <w:jc w:val="center"/>
      </w:pPr>
      <w:r>
        <w:rPr>
          <w:lang w:eastAsia="en-AU"/>
        </w:rPr>
        <w:drawing>
          <wp:inline distT="0" distB="0" distL="0" distR="0" wp14:anchorId="77366162" wp14:editId="758935CA">
            <wp:extent cx="2489494" cy="1869962"/>
            <wp:effectExtent l="0" t="0" r="6350" b="0"/>
            <wp:docPr id="27" name="Picture 27" descr="LED module with temperature measurement point identified; midway up the casting side and approximately 90 degrees from the mounting sl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499332" cy="1877352"/>
                    </a:xfrm>
                    <a:prstGeom prst="rect">
                      <a:avLst/>
                    </a:prstGeom>
                  </pic:spPr>
                </pic:pic>
              </a:graphicData>
            </a:graphic>
          </wp:inline>
        </w:drawing>
      </w:r>
    </w:p>
    <w:p w14:paraId="647A6371" w14:textId="58C67799" w:rsidR="00982C67" w:rsidRDefault="0017142A" w:rsidP="0017142A">
      <w:pPr>
        <w:pStyle w:val="Caption"/>
        <w:jc w:val="center"/>
      </w:pPr>
      <w:bookmarkStart w:id="83" w:name="_Toc493158357"/>
      <w:r>
        <w:t xml:space="preserve">Figure </w:t>
      </w:r>
      <w:r>
        <w:fldChar w:fldCharType="begin"/>
      </w:r>
      <w:r>
        <w:instrText xml:space="preserve"> SEQ Figure \* ARABIC </w:instrText>
      </w:r>
      <w:r>
        <w:fldChar w:fldCharType="separate"/>
      </w:r>
      <w:r w:rsidR="005933B0">
        <w:t>15</w:t>
      </w:r>
      <w:r>
        <w:fldChar w:fldCharType="end"/>
      </w:r>
      <w:r>
        <w:t xml:space="preserve">: </w:t>
      </w:r>
      <w:r w:rsidRPr="0017142A">
        <w:t>LED Module with TMP identified</w:t>
      </w:r>
      <w:bookmarkEnd w:id="83"/>
    </w:p>
    <w:p w14:paraId="4645E50E" w14:textId="4A15523E" w:rsidR="00982C67" w:rsidRPr="00CB7857" w:rsidRDefault="00982C67" w:rsidP="00CB7857">
      <w:pPr>
        <w:rPr>
          <w:rFonts w:ascii="Calibri" w:hAnsi="Calibri"/>
          <w:sz w:val="24"/>
        </w:rPr>
      </w:pPr>
      <w:r w:rsidRPr="00CB7857">
        <w:rPr>
          <w:rFonts w:ascii="Calibri" w:hAnsi="Calibri"/>
          <w:sz w:val="24"/>
        </w:rPr>
        <w:t xml:space="preserve">(Source: LMH2DesignGuide.pdf at </w:t>
      </w:r>
      <w:hyperlink r:id="rId51" w:history="1">
        <w:r w:rsidRPr="00CB7857">
          <w:rPr>
            <w:rStyle w:val="Hyperlink"/>
            <w:rFonts w:ascii="Calibri" w:hAnsi="Calibri"/>
            <w:sz w:val="24"/>
          </w:rPr>
          <w:t>www.cree.com/modules</w:t>
        </w:r>
      </w:hyperlink>
      <w:r w:rsidRPr="00CB7857">
        <w:rPr>
          <w:rFonts w:ascii="Calibri" w:hAnsi="Calibri"/>
          <w:sz w:val="24"/>
        </w:rPr>
        <w:t>)</w:t>
      </w:r>
    </w:p>
    <w:bookmarkEnd w:id="57"/>
    <w:bookmarkEnd w:id="58"/>
    <w:p w14:paraId="5ADDD656" w14:textId="77777777" w:rsidR="003776C5" w:rsidRDefault="003776C5" w:rsidP="00525D59">
      <w:pPr>
        <w:tabs>
          <w:tab w:val="left" w:pos="2295"/>
        </w:tabs>
        <w:rPr>
          <w:lang w:eastAsia="en-AU"/>
        </w:rPr>
        <w:sectPr w:rsidR="003776C5" w:rsidSect="00A967A4">
          <w:pgSz w:w="11907" w:h="16840" w:code="9"/>
          <w:pgMar w:top="1134" w:right="1134" w:bottom="1418" w:left="1134" w:header="709" w:footer="709" w:gutter="0"/>
          <w:cols w:space="720"/>
          <w:titlePg/>
          <w:docGrid w:linePitch="360"/>
        </w:sectPr>
      </w:pPr>
    </w:p>
    <w:p w14:paraId="71CF316B" w14:textId="77777777" w:rsidR="0058079D" w:rsidRDefault="003776C5" w:rsidP="003776C5">
      <w:pPr>
        <w:rPr>
          <w:lang w:eastAsia="en-AU"/>
        </w:rPr>
      </w:pPr>
      <w:r>
        <w:rPr>
          <w:lang w:eastAsia="en-AU"/>
        </w:rPr>
        <w:tab/>
      </w:r>
    </w:p>
    <w:p w14:paraId="36E38A8C" w14:textId="2FDA2FF9" w:rsidR="003776C5" w:rsidRPr="003B6BE5" w:rsidRDefault="00135A2B" w:rsidP="003B6BE5">
      <w:pPr>
        <w:pStyle w:val="E3ChapterTitle"/>
        <w:spacing w:after="240"/>
        <w:rPr>
          <w:rFonts w:eastAsia="Calibri"/>
          <w:color w:val="auto"/>
        </w:rPr>
      </w:pPr>
      <w:bookmarkStart w:id="84" w:name="Attachment_J"/>
      <w:bookmarkStart w:id="85" w:name="_Toc493159065"/>
      <w:bookmarkEnd w:id="84"/>
      <w:r w:rsidRPr="003B6BE5">
        <w:rPr>
          <w:rFonts w:eastAsia="Calibri"/>
          <w:color w:val="auto"/>
        </w:rPr>
        <w:t>Attachment J</w:t>
      </w:r>
      <w:r w:rsidR="0058079D" w:rsidRPr="003B6BE5">
        <w:rPr>
          <w:rFonts w:eastAsia="Calibri"/>
          <w:color w:val="auto"/>
        </w:rPr>
        <w:t xml:space="preserve">: </w:t>
      </w:r>
      <w:r w:rsidR="003776C5" w:rsidRPr="003B6BE5">
        <w:rPr>
          <w:rFonts w:eastAsia="Calibri"/>
          <w:color w:val="auto"/>
        </w:rPr>
        <w:t>Draft Minimum Energy Performance Standards (MEPS) for LED Lighting</w:t>
      </w:r>
      <w:bookmarkEnd w:id="85"/>
    </w:p>
    <w:sdt>
      <w:sdtPr>
        <w:rPr>
          <w:rFonts w:ascii="Calibri" w:eastAsia="Calibri" w:hAnsi="Calibri"/>
          <w:noProof w:val="0"/>
          <w:sz w:val="22"/>
          <w:szCs w:val="22"/>
        </w:rPr>
        <w:id w:val="1029998858"/>
        <w:docPartObj>
          <w:docPartGallery w:val="Table of Contents"/>
          <w:docPartUnique/>
        </w:docPartObj>
      </w:sdtPr>
      <w:sdtEndPr>
        <w:rPr>
          <w:b/>
          <w:bCs/>
          <w:noProof/>
        </w:rPr>
      </w:sdtEndPr>
      <w:sdtContent>
        <w:p w14:paraId="31DBDDA5" w14:textId="77777777" w:rsidR="003776C5" w:rsidRPr="003776C5" w:rsidRDefault="003776C5" w:rsidP="003776C5">
          <w:pPr>
            <w:keepNext/>
            <w:keepLines/>
            <w:spacing w:before="240" w:after="0" w:line="259" w:lineRule="auto"/>
            <w:rPr>
              <w:rFonts w:ascii="Cambria" w:eastAsia="Times New Roman" w:hAnsi="Cambria"/>
              <w:noProof w:val="0"/>
              <w:color w:val="365F91"/>
              <w:sz w:val="32"/>
              <w:szCs w:val="32"/>
              <w:lang w:val="en-US"/>
            </w:rPr>
          </w:pPr>
          <w:r w:rsidRPr="003776C5">
            <w:rPr>
              <w:rFonts w:ascii="Cambria" w:eastAsia="Times New Roman" w:hAnsi="Cambria"/>
              <w:noProof w:val="0"/>
              <w:color w:val="365F91"/>
              <w:sz w:val="32"/>
              <w:szCs w:val="32"/>
              <w:lang w:val="en-US"/>
            </w:rPr>
            <w:t>Contents</w:t>
          </w:r>
        </w:p>
        <w:p w14:paraId="5AD2D776" w14:textId="77777777" w:rsidR="003776C5" w:rsidRPr="003776C5" w:rsidRDefault="003776C5" w:rsidP="003776C5">
          <w:pPr>
            <w:tabs>
              <w:tab w:val="right" w:leader="dot" w:pos="13948"/>
            </w:tabs>
            <w:spacing w:after="100" w:line="276" w:lineRule="auto"/>
            <w:ind w:left="220"/>
            <w:rPr>
              <w:rFonts w:ascii="Calibri" w:eastAsia="Times New Roman" w:hAnsi="Calibri"/>
              <w:sz w:val="22"/>
              <w:szCs w:val="22"/>
              <w:lang w:eastAsia="en-AU"/>
            </w:rPr>
          </w:pPr>
          <w:r w:rsidRPr="003776C5">
            <w:rPr>
              <w:rFonts w:ascii="Calibri" w:eastAsia="Calibri" w:hAnsi="Calibri"/>
              <w:noProof w:val="0"/>
              <w:sz w:val="22"/>
              <w:szCs w:val="22"/>
            </w:rPr>
            <w:fldChar w:fldCharType="begin"/>
          </w:r>
          <w:r w:rsidRPr="003776C5">
            <w:rPr>
              <w:rFonts w:ascii="Calibri" w:eastAsia="Calibri" w:hAnsi="Calibri"/>
              <w:noProof w:val="0"/>
              <w:sz w:val="22"/>
              <w:szCs w:val="22"/>
            </w:rPr>
            <w:instrText xml:space="preserve"> TOC \o "1-3" \h \z \u </w:instrText>
          </w:r>
          <w:r w:rsidRPr="003776C5">
            <w:rPr>
              <w:rFonts w:ascii="Calibri" w:eastAsia="Calibri" w:hAnsi="Calibri"/>
              <w:noProof w:val="0"/>
              <w:sz w:val="22"/>
              <w:szCs w:val="22"/>
            </w:rPr>
            <w:fldChar w:fldCharType="separate"/>
          </w:r>
          <w:hyperlink w:anchor="_Toc491942537" w:history="1">
            <w:r w:rsidRPr="003776C5">
              <w:rPr>
                <w:rFonts w:ascii="Calibri" w:eastAsia="Calibri" w:hAnsi="Calibri"/>
                <w:color w:val="0000FF"/>
                <w:sz w:val="22"/>
                <w:szCs w:val="22"/>
                <w:u w:val="single"/>
              </w:rPr>
              <w:t>Scope</w:t>
            </w:r>
            <w:r w:rsidRPr="003776C5">
              <w:rPr>
                <w:rFonts w:ascii="Calibri" w:eastAsia="Calibri" w:hAnsi="Calibri"/>
                <w:webHidden/>
                <w:sz w:val="22"/>
                <w:szCs w:val="22"/>
              </w:rPr>
              <w:tab/>
            </w:r>
            <w:r w:rsidRPr="003776C5">
              <w:rPr>
                <w:rFonts w:ascii="Calibri" w:eastAsia="Calibri" w:hAnsi="Calibri"/>
                <w:webHidden/>
                <w:sz w:val="22"/>
                <w:szCs w:val="22"/>
              </w:rPr>
              <w:fldChar w:fldCharType="begin"/>
            </w:r>
            <w:r w:rsidRPr="003776C5">
              <w:rPr>
                <w:rFonts w:ascii="Calibri" w:eastAsia="Calibri" w:hAnsi="Calibri"/>
                <w:webHidden/>
                <w:sz w:val="22"/>
                <w:szCs w:val="22"/>
              </w:rPr>
              <w:instrText xml:space="preserve"> PAGEREF _Toc491942537 \h </w:instrText>
            </w:r>
            <w:r w:rsidRPr="003776C5">
              <w:rPr>
                <w:rFonts w:ascii="Calibri" w:eastAsia="Calibri" w:hAnsi="Calibri"/>
                <w:webHidden/>
                <w:sz w:val="22"/>
                <w:szCs w:val="22"/>
              </w:rPr>
            </w:r>
            <w:r w:rsidRPr="003776C5">
              <w:rPr>
                <w:rFonts w:ascii="Calibri" w:eastAsia="Calibri" w:hAnsi="Calibri"/>
                <w:webHidden/>
                <w:sz w:val="22"/>
                <w:szCs w:val="22"/>
              </w:rPr>
              <w:fldChar w:fldCharType="separate"/>
            </w:r>
            <w:r w:rsidR="005933B0">
              <w:rPr>
                <w:rFonts w:ascii="Calibri" w:eastAsia="Calibri" w:hAnsi="Calibri"/>
                <w:webHidden/>
                <w:sz w:val="22"/>
                <w:szCs w:val="22"/>
              </w:rPr>
              <w:t>66</w:t>
            </w:r>
            <w:r w:rsidRPr="003776C5">
              <w:rPr>
                <w:rFonts w:ascii="Calibri" w:eastAsia="Calibri" w:hAnsi="Calibri"/>
                <w:webHidden/>
                <w:sz w:val="22"/>
                <w:szCs w:val="22"/>
              </w:rPr>
              <w:fldChar w:fldCharType="end"/>
            </w:r>
          </w:hyperlink>
        </w:p>
        <w:p w14:paraId="65A09F82" w14:textId="77777777" w:rsidR="003776C5" w:rsidRPr="003776C5" w:rsidRDefault="005933B0" w:rsidP="003776C5">
          <w:pPr>
            <w:tabs>
              <w:tab w:val="right" w:leader="dot" w:pos="13948"/>
            </w:tabs>
            <w:spacing w:after="100" w:line="276" w:lineRule="auto"/>
            <w:ind w:left="220"/>
            <w:rPr>
              <w:rFonts w:ascii="Calibri" w:eastAsia="Times New Roman" w:hAnsi="Calibri"/>
              <w:sz w:val="22"/>
              <w:szCs w:val="22"/>
              <w:lang w:eastAsia="en-AU"/>
            </w:rPr>
          </w:pPr>
          <w:hyperlink w:anchor="_Toc491942538" w:history="1">
            <w:r w:rsidR="003776C5" w:rsidRPr="003776C5">
              <w:rPr>
                <w:rFonts w:ascii="Calibri" w:eastAsia="Times New Roman" w:hAnsi="Calibri"/>
                <w:i/>
                <w:color w:val="0000FF"/>
                <w:sz w:val="22"/>
                <w:szCs w:val="22"/>
                <w:u w:val="single"/>
                <w:lang w:eastAsia="en-AU"/>
              </w:rPr>
              <w:t>All LED Product Categories</w:t>
            </w:r>
            <w:r w:rsidR="003776C5" w:rsidRPr="003776C5">
              <w:rPr>
                <w:rFonts w:ascii="Calibri" w:eastAsia="Calibri" w:hAnsi="Calibri"/>
                <w:webHidden/>
                <w:sz w:val="22"/>
                <w:szCs w:val="22"/>
              </w:rPr>
              <w:tab/>
            </w:r>
            <w:r w:rsidR="003776C5" w:rsidRPr="003776C5">
              <w:rPr>
                <w:rFonts w:ascii="Calibri" w:eastAsia="Calibri" w:hAnsi="Calibri"/>
                <w:webHidden/>
                <w:sz w:val="22"/>
                <w:szCs w:val="22"/>
              </w:rPr>
              <w:fldChar w:fldCharType="begin"/>
            </w:r>
            <w:r w:rsidR="003776C5" w:rsidRPr="003776C5">
              <w:rPr>
                <w:rFonts w:ascii="Calibri" w:eastAsia="Calibri" w:hAnsi="Calibri"/>
                <w:webHidden/>
                <w:sz w:val="22"/>
                <w:szCs w:val="22"/>
              </w:rPr>
              <w:instrText xml:space="preserve"> PAGEREF _Toc491942538 \h </w:instrText>
            </w:r>
            <w:r w:rsidR="003776C5" w:rsidRPr="003776C5">
              <w:rPr>
                <w:rFonts w:ascii="Calibri" w:eastAsia="Calibri" w:hAnsi="Calibri"/>
                <w:webHidden/>
                <w:sz w:val="22"/>
                <w:szCs w:val="22"/>
              </w:rPr>
            </w:r>
            <w:r w:rsidR="003776C5" w:rsidRPr="003776C5">
              <w:rPr>
                <w:rFonts w:ascii="Calibri" w:eastAsia="Calibri" w:hAnsi="Calibri"/>
                <w:webHidden/>
                <w:sz w:val="22"/>
                <w:szCs w:val="22"/>
              </w:rPr>
              <w:fldChar w:fldCharType="separate"/>
            </w:r>
            <w:r>
              <w:rPr>
                <w:rFonts w:ascii="Calibri" w:eastAsia="Calibri" w:hAnsi="Calibri"/>
                <w:webHidden/>
                <w:sz w:val="22"/>
                <w:szCs w:val="22"/>
              </w:rPr>
              <w:t>67</w:t>
            </w:r>
            <w:r w:rsidR="003776C5" w:rsidRPr="003776C5">
              <w:rPr>
                <w:rFonts w:ascii="Calibri" w:eastAsia="Calibri" w:hAnsi="Calibri"/>
                <w:webHidden/>
                <w:sz w:val="22"/>
                <w:szCs w:val="22"/>
              </w:rPr>
              <w:fldChar w:fldCharType="end"/>
            </w:r>
          </w:hyperlink>
        </w:p>
        <w:p w14:paraId="5E142FAB" w14:textId="77777777" w:rsidR="003776C5" w:rsidRPr="003776C5" w:rsidRDefault="005933B0" w:rsidP="003776C5">
          <w:pPr>
            <w:tabs>
              <w:tab w:val="right" w:leader="dot" w:pos="13948"/>
            </w:tabs>
            <w:spacing w:after="100" w:line="276" w:lineRule="auto"/>
            <w:ind w:left="220"/>
            <w:rPr>
              <w:rFonts w:ascii="Calibri" w:eastAsia="Times New Roman" w:hAnsi="Calibri"/>
              <w:sz w:val="22"/>
              <w:szCs w:val="22"/>
              <w:lang w:eastAsia="en-AU"/>
            </w:rPr>
          </w:pPr>
          <w:hyperlink w:anchor="_Toc491942539" w:history="1">
            <w:r w:rsidR="003776C5" w:rsidRPr="003776C5">
              <w:rPr>
                <w:rFonts w:ascii="Calibri" w:eastAsia="Times New Roman" w:hAnsi="Calibri"/>
                <w:i/>
                <w:color w:val="0000FF"/>
                <w:sz w:val="22"/>
                <w:szCs w:val="22"/>
                <w:u w:val="single"/>
                <w:lang w:eastAsia="en-AU"/>
              </w:rPr>
              <w:t>Non-directional LED lamps (table 1)</w:t>
            </w:r>
            <w:r w:rsidR="003776C5" w:rsidRPr="003776C5">
              <w:rPr>
                <w:rFonts w:ascii="Calibri" w:eastAsia="Calibri" w:hAnsi="Calibri"/>
                <w:webHidden/>
                <w:sz w:val="22"/>
                <w:szCs w:val="22"/>
              </w:rPr>
              <w:tab/>
            </w:r>
            <w:r w:rsidR="003776C5" w:rsidRPr="003776C5">
              <w:rPr>
                <w:rFonts w:ascii="Calibri" w:eastAsia="Calibri" w:hAnsi="Calibri"/>
                <w:webHidden/>
                <w:sz w:val="22"/>
                <w:szCs w:val="22"/>
              </w:rPr>
              <w:fldChar w:fldCharType="begin"/>
            </w:r>
            <w:r w:rsidR="003776C5" w:rsidRPr="003776C5">
              <w:rPr>
                <w:rFonts w:ascii="Calibri" w:eastAsia="Calibri" w:hAnsi="Calibri"/>
                <w:webHidden/>
                <w:sz w:val="22"/>
                <w:szCs w:val="22"/>
              </w:rPr>
              <w:instrText xml:space="preserve"> PAGEREF _Toc491942539 \h </w:instrText>
            </w:r>
            <w:r w:rsidR="003776C5" w:rsidRPr="003776C5">
              <w:rPr>
                <w:rFonts w:ascii="Calibri" w:eastAsia="Calibri" w:hAnsi="Calibri"/>
                <w:webHidden/>
                <w:sz w:val="22"/>
                <w:szCs w:val="22"/>
              </w:rPr>
            </w:r>
            <w:r w:rsidR="003776C5" w:rsidRPr="003776C5">
              <w:rPr>
                <w:rFonts w:ascii="Calibri" w:eastAsia="Calibri" w:hAnsi="Calibri"/>
                <w:webHidden/>
                <w:sz w:val="22"/>
                <w:szCs w:val="22"/>
              </w:rPr>
              <w:fldChar w:fldCharType="separate"/>
            </w:r>
            <w:r>
              <w:rPr>
                <w:rFonts w:ascii="Calibri" w:eastAsia="Calibri" w:hAnsi="Calibri"/>
                <w:webHidden/>
                <w:sz w:val="22"/>
                <w:szCs w:val="22"/>
              </w:rPr>
              <w:t>67</w:t>
            </w:r>
            <w:r w:rsidR="003776C5" w:rsidRPr="003776C5">
              <w:rPr>
                <w:rFonts w:ascii="Calibri" w:eastAsia="Calibri" w:hAnsi="Calibri"/>
                <w:webHidden/>
                <w:sz w:val="22"/>
                <w:szCs w:val="22"/>
              </w:rPr>
              <w:fldChar w:fldCharType="end"/>
            </w:r>
          </w:hyperlink>
        </w:p>
        <w:p w14:paraId="47758D1C" w14:textId="77777777" w:rsidR="003776C5" w:rsidRPr="003776C5" w:rsidRDefault="005933B0" w:rsidP="003776C5">
          <w:pPr>
            <w:tabs>
              <w:tab w:val="right" w:leader="dot" w:pos="13948"/>
            </w:tabs>
            <w:spacing w:after="100" w:line="276" w:lineRule="auto"/>
            <w:ind w:left="220"/>
            <w:rPr>
              <w:rFonts w:ascii="Calibri" w:eastAsia="Times New Roman" w:hAnsi="Calibri"/>
              <w:sz w:val="22"/>
              <w:szCs w:val="22"/>
              <w:lang w:eastAsia="en-AU"/>
            </w:rPr>
          </w:pPr>
          <w:hyperlink w:anchor="_Toc491942540" w:history="1">
            <w:r w:rsidR="003776C5" w:rsidRPr="003776C5">
              <w:rPr>
                <w:rFonts w:ascii="Calibri" w:eastAsia="Times New Roman" w:hAnsi="Calibri"/>
                <w:i/>
                <w:color w:val="0000FF"/>
                <w:sz w:val="22"/>
                <w:szCs w:val="22"/>
                <w:u w:val="single"/>
                <w:lang w:eastAsia="en-AU"/>
              </w:rPr>
              <w:t>Directional LED lamps (table 1)</w:t>
            </w:r>
            <w:r w:rsidR="003776C5" w:rsidRPr="003776C5">
              <w:rPr>
                <w:rFonts w:ascii="Calibri" w:eastAsia="Calibri" w:hAnsi="Calibri"/>
                <w:webHidden/>
                <w:sz w:val="22"/>
                <w:szCs w:val="22"/>
              </w:rPr>
              <w:tab/>
            </w:r>
            <w:r w:rsidR="003776C5" w:rsidRPr="003776C5">
              <w:rPr>
                <w:rFonts w:ascii="Calibri" w:eastAsia="Calibri" w:hAnsi="Calibri"/>
                <w:webHidden/>
                <w:sz w:val="22"/>
                <w:szCs w:val="22"/>
              </w:rPr>
              <w:fldChar w:fldCharType="begin"/>
            </w:r>
            <w:r w:rsidR="003776C5" w:rsidRPr="003776C5">
              <w:rPr>
                <w:rFonts w:ascii="Calibri" w:eastAsia="Calibri" w:hAnsi="Calibri"/>
                <w:webHidden/>
                <w:sz w:val="22"/>
                <w:szCs w:val="22"/>
              </w:rPr>
              <w:instrText xml:space="preserve"> PAGEREF _Toc491942540 \h </w:instrText>
            </w:r>
            <w:r w:rsidR="003776C5" w:rsidRPr="003776C5">
              <w:rPr>
                <w:rFonts w:ascii="Calibri" w:eastAsia="Calibri" w:hAnsi="Calibri"/>
                <w:webHidden/>
                <w:sz w:val="22"/>
                <w:szCs w:val="22"/>
              </w:rPr>
            </w:r>
            <w:r w:rsidR="003776C5" w:rsidRPr="003776C5">
              <w:rPr>
                <w:rFonts w:ascii="Calibri" w:eastAsia="Calibri" w:hAnsi="Calibri"/>
                <w:webHidden/>
                <w:sz w:val="22"/>
                <w:szCs w:val="22"/>
              </w:rPr>
              <w:fldChar w:fldCharType="separate"/>
            </w:r>
            <w:r>
              <w:rPr>
                <w:rFonts w:ascii="Calibri" w:eastAsia="Calibri" w:hAnsi="Calibri"/>
                <w:webHidden/>
                <w:sz w:val="22"/>
                <w:szCs w:val="22"/>
              </w:rPr>
              <w:t>67</w:t>
            </w:r>
            <w:r w:rsidR="003776C5" w:rsidRPr="003776C5">
              <w:rPr>
                <w:rFonts w:ascii="Calibri" w:eastAsia="Calibri" w:hAnsi="Calibri"/>
                <w:webHidden/>
                <w:sz w:val="22"/>
                <w:szCs w:val="22"/>
              </w:rPr>
              <w:fldChar w:fldCharType="end"/>
            </w:r>
          </w:hyperlink>
        </w:p>
        <w:p w14:paraId="03B34AC9" w14:textId="77777777" w:rsidR="003776C5" w:rsidRPr="003776C5" w:rsidRDefault="005933B0" w:rsidP="003776C5">
          <w:pPr>
            <w:tabs>
              <w:tab w:val="right" w:leader="dot" w:pos="13948"/>
            </w:tabs>
            <w:spacing w:after="100" w:line="276" w:lineRule="auto"/>
            <w:ind w:left="220"/>
            <w:rPr>
              <w:rFonts w:ascii="Calibri" w:eastAsia="Times New Roman" w:hAnsi="Calibri"/>
              <w:sz w:val="22"/>
              <w:szCs w:val="22"/>
              <w:lang w:eastAsia="en-AU"/>
            </w:rPr>
          </w:pPr>
          <w:hyperlink w:anchor="_Toc491942541" w:history="1">
            <w:r w:rsidR="003776C5" w:rsidRPr="003776C5">
              <w:rPr>
                <w:rFonts w:ascii="Calibri" w:eastAsia="Times New Roman" w:hAnsi="Calibri"/>
                <w:i/>
                <w:color w:val="0000FF"/>
                <w:sz w:val="22"/>
                <w:szCs w:val="22"/>
                <w:u w:val="single"/>
                <w:lang w:eastAsia="en-AU"/>
              </w:rPr>
              <w:t>Linear LED lamps (table 1)</w:t>
            </w:r>
            <w:r w:rsidR="003776C5" w:rsidRPr="003776C5">
              <w:rPr>
                <w:rFonts w:ascii="Calibri" w:eastAsia="Calibri" w:hAnsi="Calibri"/>
                <w:webHidden/>
                <w:sz w:val="22"/>
                <w:szCs w:val="22"/>
              </w:rPr>
              <w:tab/>
            </w:r>
            <w:r w:rsidR="003776C5" w:rsidRPr="003776C5">
              <w:rPr>
                <w:rFonts w:ascii="Calibri" w:eastAsia="Calibri" w:hAnsi="Calibri"/>
                <w:webHidden/>
                <w:sz w:val="22"/>
                <w:szCs w:val="22"/>
              </w:rPr>
              <w:fldChar w:fldCharType="begin"/>
            </w:r>
            <w:r w:rsidR="003776C5" w:rsidRPr="003776C5">
              <w:rPr>
                <w:rFonts w:ascii="Calibri" w:eastAsia="Calibri" w:hAnsi="Calibri"/>
                <w:webHidden/>
                <w:sz w:val="22"/>
                <w:szCs w:val="22"/>
              </w:rPr>
              <w:instrText xml:space="preserve"> PAGEREF _Toc491942541 \h </w:instrText>
            </w:r>
            <w:r w:rsidR="003776C5" w:rsidRPr="003776C5">
              <w:rPr>
                <w:rFonts w:ascii="Calibri" w:eastAsia="Calibri" w:hAnsi="Calibri"/>
                <w:webHidden/>
                <w:sz w:val="22"/>
                <w:szCs w:val="22"/>
              </w:rPr>
            </w:r>
            <w:r w:rsidR="003776C5" w:rsidRPr="003776C5">
              <w:rPr>
                <w:rFonts w:ascii="Calibri" w:eastAsia="Calibri" w:hAnsi="Calibri"/>
                <w:webHidden/>
                <w:sz w:val="22"/>
                <w:szCs w:val="22"/>
              </w:rPr>
              <w:fldChar w:fldCharType="separate"/>
            </w:r>
            <w:r>
              <w:rPr>
                <w:rFonts w:ascii="Calibri" w:eastAsia="Calibri" w:hAnsi="Calibri"/>
                <w:webHidden/>
                <w:sz w:val="22"/>
                <w:szCs w:val="22"/>
              </w:rPr>
              <w:t>68</w:t>
            </w:r>
            <w:r w:rsidR="003776C5" w:rsidRPr="003776C5">
              <w:rPr>
                <w:rFonts w:ascii="Calibri" w:eastAsia="Calibri" w:hAnsi="Calibri"/>
                <w:webHidden/>
                <w:sz w:val="22"/>
                <w:szCs w:val="22"/>
              </w:rPr>
              <w:fldChar w:fldCharType="end"/>
            </w:r>
          </w:hyperlink>
        </w:p>
        <w:p w14:paraId="1048ABCF" w14:textId="77777777" w:rsidR="003776C5" w:rsidRPr="003776C5" w:rsidRDefault="005933B0" w:rsidP="003776C5">
          <w:pPr>
            <w:tabs>
              <w:tab w:val="right" w:leader="dot" w:pos="13948"/>
            </w:tabs>
            <w:spacing w:after="100" w:line="276" w:lineRule="auto"/>
            <w:ind w:left="220"/>
            <w:rPr>
              <w:rFonts w:ascii="Calibri" w:eastAsia="Times New Roman" w:hAnsi="Calibri"/>
              <w:sz w:val="22"/>
              <w:szCs w:val="22"/>
              <w:lang w:eastAsia="en-AU"/>
            </w:rPr>
          </w:pPr>
          <w:hyperlink w:anchor="_Toc491942542" w:history="1">
            <w:r w:rsidR="003776C5" w:rsidRPr="003776C5">
              <w:rPr>
                <w:rFonts w:ascii="Calibri" w:eastAsia="Times New Roman" w:hAnsi="Calibri"/>
                <w:i/>
                <w:color w:val="0000FF"/>
                <w:sz w:val="22"/>
                <w:szCs w:val="22"/>
                <w:u w:val="single"/>
                <w:lang w:eastAsia="en-AU"/>
              </w:rPr>
              <w:t>Integrated LED Luminaires (table 5)</w:t>
            </w:r>
            <w:r w:rsidR="003776C5" w:rsidRPr="003776C5">
              <w:rPr>
                <w:rFonts w:ascii="Calibri" w:eastAsia="Calibri" w:hAnsi="Calibri"/>
                <w:webHidden/>
                <w:sz w:val="22"/>
                <w:szCs w:val="22"/>
              </w:rPr>
              <w:tab/>
            </w:r>
            <w:r w:rsidR="003776C5" w:rsidRPr="003776C5">
              <w:rPr>
                <w:rFonts w:ascii="Calibri" w:eastAsia="Calibri" w:hAnsi="Calibri"/>
                <w:webHidden/>
                <w:sz w:val="22"/>
                <w:szCs w:val="22"/>
              </w:rPr>
              <w:fldChar w:fldCharType="begin"/>
            </w:r>
            <w:r w:rsidR="003776C5" w:rsidRPr="003776C5">
              <w:rPr>
                <w:rFonts w:ascii="Calibri" w:eastAsia="Calibri" w:hAnsi="Calibri"/>
                <w:webHidden/>
                <w:sz w:val="22"/>
                <w:szCs w:val="22"/>
              </w:rPr>
              <w:instrText xml:space="preserve"> PAGEREF _Toc491942542 \h </w:instrText>
            </w:r>
            <w:r w:rsidR="003776C5" w:rsidRPr="003776C5">
              <w:rPr>
                <w:rFonts w:ascii="Calibri" w:eastAsia="Calibri" w:hAnsi="Calibri"/>
                <w:webHidden/>
                <w:sz w:val="22"/>
                <w:szCs w:val="22"/>
              </w:rPr>
            </w:r>
            <w:r w:rsidR="003776C5" w:rsidRPr="003776C5">
              <w:rPr>
                <w:rFonts w:ascii="Calibri" w:eastAsia="Calibri" w:hAnsi="Calibri"/>
                <w:webHidden/>
                <w:sz w:val="22"/>
                <w:szCs w:val="22"/>
              </w:rPr>
              <w:fldChar w:fldCharType="separate"/>
            </w:r>
            <w:r>
              <w:rPr>
                <w:rFonts w:ascii="Calibri" w:eastAsia="Calibri" w:hAnsi="Calibri"/>
                <w:webHidden/>
                <w:sz w:val="22"/>
                <w:szCs w:val="22"/>
              </w:rPr>
              <w:t>68</w:t>
            </w:r>
            <w:r w:rsidR="003776C5" w:rsidRPr="003776C5">
              <w:rPr>
                <w:rFonts w:ascii="Calibri" w:eastAsia="Calibri" w:hAnsi="Calibri"/>
                <w:webHidden/>
                <w:sz w:val="22"/>
                <w:szCs w:val="22"/>
              </w:rPr>
              <w:fldChar w:fldCharType="end"/>
            </w:r>
          </w:hyperlink>
        </w:p>
        <w:p w14:paraId="4EF3CCCF" w14:textId="77777777" w:rsidR="003776C5" w:rsidRPr="003776C5" w:rsidRDefault="005933B0" w:rsidP="003776C5">
          <w:pPr>
            <w:tabs>
              <w:tab w:val="right" w:leader="dot" w:pos="13948"/>
            </w:tabs>
            <w:spacing w:after="100" w:line="276" w:lineRule="auto"/>
            <w:ind w:left="440"/>
            <w:rPr>
              <w:rFonts w:ascii="Calibri" w:eastAsia="Times New Roman" w:hAnsi="Calibri"/>
              <w:sz w:val="22"/>
              <w:szCs w:val="22"/>
              <w:lang w:eastAsia="en-AU"/>
            </w:rPr>
          </w:pPr>
          <w:hyperlink w:anchor="_Toc491942543" w:history="1">
            <w:r w:rsidR="003776C5" w:rsidRPr="003776C5">
              <w:rPr>
                <w:rFonts w:ascii="Calibri" w:eastAsia="Calibri" w:hAnsi="Calibri"/>
                <w:bCs/>
                <w:color w:val="0000FF"/>
                <w:sz w:val="22"/>
                <w:szCs w:val="22"/>
                <w:u w:val="single"/>
              </w:rPr>
              <w:t>Scope Exclusions for LED Lamps and Integrated LED luminaires</w:t>
            </w:r>
            <w:r w:rsidR="003776C5" w:rsidRPr="003776C5">
              <w:rPr>
                <w:rFonts w:ascii="Calibri" w:eastAsia="Calibri" w:hAnsi="Calibri"/>
                <w:webHidden/>
                <w:sz w:val="22"/>
                <w:szCs w:val="22"/>
              </w:rPr>
              <w:tab/>
            </w:r>
            <w:r w:rsidR="003776C5" w:rsidRPr="003776C5">
              <w:rPr>
                <w:rFonts w:ascii="Calibri" w:eastAsia="Calibri" w:hAnsi="Calibri"/>
                <w:webHidden/>
                <w:sz w:val="22"/>
                <w:szCs w:val="22"/>
              </w:rPr>
              <w:fldChar w:fldCharType="begin"/>
            </w:r>
            <w:r w:rsidR="003776C5" w:rsidRPr="003776C5">
              <w:rPr>
                <w:rFonts w:ascii="Calibri" w:eastAsia="Calibri" w:hAnsi="Calibri"/>
                <w:webHidden/>
                <w:sz w:val="22"/>
                <w:szCs w:val="22"/>
              </w:rPr>
              <w:instrText xml:space="preserve"> PAGEREF _Toc491942543 \h </w:instrText>
            </w:r>
            <w:r w:rsidR="003776C5" w:rsidRPr="003776C5">
              <w:rPr>
                <w:rFonts w:ascii="Calibri" w:eastAsia="Calibri" w:hAnsi="Calibri"/>
                <w:webHidden/>
                <w:sz w:val="22"/>
                <w:szCs w:val="22"/>
              </w:rPr>
            </w:r>
            <w:r w:rsidR="003776C5" w:rsidRPr="003776C5">
              <w:rPr>
                <w:rFonts w:ascii="Calibri" w:eastAsia="Calibri" w:hAnsi="Calibri"/>
                <w:webHidden/>
                <w:sz w:val="22"/>
                <w:szCs w:val="22"/>
              </w:rPr>
              <w:fldChar w:fldCharType="separate"/>
            </w:r>
            <w:r>
              <w:rPr>
                <w:rFonts w:ascii="Calibri" w:eastAsia="Calibri" w:hAnsi="Calibri"/>
                <w:webHidden/>
                <w:sz w:val="22"/>
                <w:szCs w:val="22"/>
              </w:rPr>
              <w:t>69</w:t>
            </w:r>
            <w:r w:rsidR="003776C5" w:rsidRPr="003776C5">
              <w:rPr>
                <w:rFonts w:ascii="Calibri" w:eastAsia="Calibri" w:hAnsi="Calibri"/>
                <w:webHidden/>
                <w:sz w:val="22"/>
                <w:szCs w:val="22"/>
              </w:rPr>
              <w:fldChar w:fldCharType="end"/>
            </w:r>
          </w:hyperlink>
        </w:p>
        <w:p w14:paraId="7A050C45" w14:textId="77777777" w:rsidR="003776C5" w:rsidRPr="003776C5" w:rsidRDefault="005933B0" w:rsidP="003776C5">
          <w:pPr>
            <w:tabs>
              <w:tab w:val="right" w:leader="dot" w:pos="13948"/>
            </w:tabs>
            <w:spacing w:after="100" w:line="276" w:lineRule="auto"/>
            <w:ind w:left="220"/>
            <w:rPr>
              <w:rFonts w:ascii="Calibri" w:eastAsia="Times New Roman" w:hAnsi="Calibri"/>
              <w:sz w:val="22"/>
              <w:szCs w:val="22"/>
              <w:lang w:eastAsia="en-AU"/>
            </w:rPr>
          </w:pPr>
          <w:hyperlink w:anchor="_Toc491942544" w:history="1">
            <w:r w:rsidR="003776C5" w:rsidRPr="003776C5">
              <w:rPr>
                <w:rFonts w:ascii="Calibri" w:eastAsia="Calibri" w:hAnsi="Calibri"/>
                <w:color w:val="0000FF"/>
                <w:sz w:val="22"/>
                <w:szCs w:val="22"/>
                <w:u w:val="single"/>
              </w:rPr>
              <w:t>Definition</w:t>
            </w:r>
            <w:r w:rsidR="003776C5" w:rsidRPr="003776C5">
              <w:rPr>
                <w:rFonts w:ascii="Calibri" w:eastAsia="Calibri" w:hAnsi="Calibri"/>
                <w:webHidden/>
                <w:sz w:val="22"/>
                <w:szCs w:val="22"/>
              </w:rPr>
              <w:tab/>
            </w:r>
            <w:r w:rsidR="003776C5" w:rsidRPr="003776C5">
              <w:rPr>
                <w:rFonts w:ascii="Calibri" w:eastAsia="Calibri" w:hAnsi="Calibri"/>
                <w:webHidden/>
                <w:sz w:val="22"/>
                <w:szCs w:val="22"/>
              </w:rPr>
              <w:fldChar w:fldCharType="begin"/>
            </w:r>
            <w:r w:rsidR="003776C5" w:rsidRPr="003776C5">
              <w:rPr>
                <w:rFonts w:ascii="Calibri" w:eastAsia="Calibri" w:hAnsi="Calibri"/>
                <w:webHidden/>
                <w:sz w:val="22"/>
                <w:szCs w:val="22"/>
              </w:rPr>
              <w:instrText xml:space="preserve"> PAGEREF _Toc491942544 \h </w:instrText>
            </w:r>
            <w:r w:rsidR="003776C5" w:rsidRPr="003776C5">
              <w:rPr>
                <w:rFonts w:ascii="Calibri" w:eastAsia="Calibri" w:hAnsi="Calibri"/>
                <w:webHidden/>
                <w:sz w:val="22"/>
                <w:szCs w:val="22"/>
              </w:rPr>
            </w:r>
            <w:r w:rsidR="003776C5" w:rsidRPr="003776C5">
              <w:rPr>
                <w:rFonts w:ascii="Calibri" w:eastAsia="Calibri" w:hAnsi="Calibri"/>
                <w:webHidden/>
                <w:sz w:val="22"/>
                <w:szCs w:val="22"/>
              </w:rPr>
              <w:fldChar w:fldCharType="separate"/>
            </w:r>
            <w:r>
              <w:rPr>
                <w:rFonts w:ascii="Calibri" w:eastAsia="Calibri" w:hAnsi="Calibri"/>
                <w:webHidden/>
                <w:sz w:val="22"/>
                <w:szCs w:val="22"/>
              </w:rPr>
              <w:t>69</w:t>
            </w:r>
            <w:r w:rsidR="003776C5" w:rsidRPr="003776C5">
              <w:rPr>
                <w:rFonts w:ascii="Calibri" w:eastAsia="Calibri" w:hAnsi="Calibri"/>
                <w:webHidden/>
                <w:sz w:val="22"/>
                <w:szCs w:val="22"/>
              </w:rPr>
              <w:fldChar w:fldCharType="end"/>
            </w:r>
          </w:hyperlink>
        </w:p>
        <w:p w14:paraId="2EB4A290" w14:textId="77777777" w:rsidR="003776C5" w:rsidRPr="003776C5" w:rsidRDefault="005933B0" w:rsidP="003776C5">
          <w:pPr>
            <w:tabs>
              <w:tab w:val="right" w:leader="dot" w:pos="13948"/>
            </w:tabs>
            <w:spacing w:after="100" w:line="276" w:lineRule="auto"/>
            <w:ind w:left="220"/>
            <w:rPr>
              <w:rFonts w:ascii="Calibri" w:eastAsia="Times New Roman" w:hAnsi="Calibri"/>
              <w:sz w:val="22"/>
              <w:szCs w:val="22"/>
              <w:lang w:eastAsia="en-AU"/>
            </w:rPr>
          </w:pPr>
          <w:hyperlink w:anchor="_Toc491942545" w:history="1">
            <w:r w:rsidR="003776C5" w:rsidRPr="003776C5">
              <w:rPr>
                <w:rFonts w:ascii="Calibri" w:eastAsia="Calibri" w:hAnsi="Calibri"/>
                <w:color w:val="0000FF"/>
                <w:sz w:val="22"/>
                <w:szCs w:val="22"/>
                <w:u w:val="single"/>
              </w:rPr>
              <w:t>Product Families for Registration</w:t>
            </w:r>
            <w:r w:rsidR="003776C5" w:rsidRPr="003776C5">
              <w:rPr>
                <w:rFonts w:ascii="Calibri" w:eastAsia="Calibri" w:hAnsi="Calibri"/>
                <w:webHidden/>
                <w:sz w:val="22"/>
                <w:szCs w:val="22"/>
              </w:rPr>
              <w:tab/>
            </w:r>
            <w:r w:rsidR="003776C5" w:rsidRPr="003776C5">
              <w:rPr>
                <w:rFonts w:ascii="Calibri" w:eastAsia="Calibri" w:hAnsi="Calibri"/>
                <w:webHidden/>
                <w:sz w:val="22"/>
                <w:szCs w:val="22"/>
              </w:rPr>
              <w:fldChar w:fldCharType="begin"/>
            </w:r>
            <w:r w:rsidR="003776C5" w:rsidRPr="003776C5">
              <w:rPr>
                <w:rFonts w:ascii="Calibri" w:eastAsia="Calibri" w:hAnsi="Calibri"/>
                <w:webHidden/>
                <w:sz w:val="22"/>
                <w:szCs w:val="22"/>
              </w:rPr>
              <w:instrText xml:space="preserve"> PAGEREF _Toc491942545 \h </w:instrText>
            </w:r>
            <w:r w:rsidR="003776C5" w:rsidRPr="003776C5">
              <w:rPr>
                <w:rFonts w:ascii="Calibri" w:eastAsia="Calibri" w:hAnsi="Calibri"/>
                <w:webHidden/>
                <w:sz w:val="22"/>
                <w:szCs w:val="22"/>
              </w:rPr>
            </w:r>
            <w:r w:rsidR="003776C5" w:rsidRPr="003776C5">
              <w:rPr>
                <w:rFonts w:ascii="Calibri" w:eastAsia="Calibri" w:hAnsi="Calibri"/>
                <w:webHidden/>
                <w:sz w:val="22"/>
                <w:szCs w:val="22"/>
              </w:rPr>
              <w:fldChar w:fldCharType="separate"/>
            </w:r>
            <w:r>
              <w:rPr>
                <w:rFonts w:ascii="Calibri" w:eastAsia="Calibri" w:hAnsi="Calibri"/>
                <w:webHidden/>
                <w:sz w:val="22"/>
                <w:szCs w:val="22"/>
              </w:rPr>
              <w:t>70</w:t>
            </w:r>
            <w:r w:rsidR="003776C5" w:rsidRPr="003776C5">
              <w:rPr>
                <w:rFonts w:ascii="Calibri" w:eastAsia="Calibri" w:hAnsi="Calibri"/>
                <w:webHidden/>
                <w:sz w:val="22"/>
                <w:szCs w:val="22"/>
              </w:rPr>
              <w:fldChar w:fldCharType="end"/>
            </w:r>
          </w:hyperlink>
        </w:p>
        <w:p w14:paraId="62CD2C93" w14:textId="77777777" w:rsidR="003776C5" w:rsidRPr="003776C5" w:rsidRDefault="005933B0" w:rsidP="003776C5">
          <w:pPr>
            <w:tabs>
              <w:tab w:val="right" w:leader="dot" w:pos="13948"/>
            </w:tabs>
            <w:spacing w:after="100" w:line="276" w:lineRule="auto"/>
            <w:rPr>
              <w:rFonts w:ascii="Calibri" w:eastAsia="Times New Roman" w:hAnsi="Calibri"/>
              <w:sz w:val="22"/>
              <w:szCs w:val="22"/>
              <w:lang w:eastAsia="en-AU"/>
            </w:rPr>
          </w:pPr>
          <w:hyperlink w:anchor="_Toc491942546" w:history="1">
            <w:r w:rsidR="003776C5" w:rsidRPr="003776C5">
              <w:rPr>
                <w:rFonts w:ascii="Calibri" w:eastAsia="Calibri" w:hAnsi="Calibri"/>
                <w:color w:val="0000FF"/>
                <w:sz w:val="22"/>
                <w:szCs w:val="22"/>
                <w:u w:val="single"/>
              </w:rPr>
              <w:t>Performance requirements</w:t>
            </w:r>
            <w:r w:rsidR="003776C5" w:rsidRPr="003776C5">
              <w:rPr>
                <w:rFonts w:ascii="Calibri" w:eastAsia="Calibri" w:hAnsi="Calibri"/>
                <w:webHidden/>
                <w:sz w:val="22"/>
                <w:szCs w:val="22"/>
              </w:rPr>
              <w:tab/>
            </w:r>
            <w:r w:rsidR="003776C5" w:rsidRPr="003776C5">
              <w:rPr>
                <w:rFonts w:ascii="Calibri" w:eastAsia="Calibri" w:hAnsi="Calibri"/>
                <w:webHidden/>
                <w:sz w:val="22"/>
                <w:szCs w:val="22"/>
              </w:rPr>
              <w:fldChar w:fldCharType="begin"/>
            </w:r>
            <w:r w:rsidR="003776C5" w:rsidRPr="003776C5">
              <w:rPr>
                <w:rFonts w:ascii="Calibri" w:eastAsia="Calibri" w:hAnsi="Calibri"/>
                <w:webHidden/>
                <w:sz w:val="22"/>
                <w:szCs w:val="22"/>
              </w:rPr>
              <w:instrText xml:space="preserve"> PAGEREF _Toc491942546 \h </w:instrText>
            </w:r>
            <w:r w:rsidR="003776C5" w:rsidRPr="003776C5">
              <w:rPr>
                <w:rFonts w:ascii="Calibri" w:eastAsia="Calibri" w:hAnsi="Calibri"/>
                <w:webHidden/>
                <w:sz w:val="22"/>
                <w:szCs w:val="22"/>
              </w:rPr>
            </w:r>
            <w:r w:rsidR="003776C5" w:rsidRPr="003776C5">
              <w:rPr>
                <w:rFonts w:ascii="Calibri" w:eastAsia="Calibri" w:hAnsi="Calibri"/>
                <w:webHidden/>
                <w:sz w:val="22"/>
                <w:szCs w:val="22"/>
              </w:rPr>
              <w:fldChar w:fldCharType="separate"/>
            </w:r>
            <w:r>
              <w:rPr>
                <w:rFonts w:ascii="Calibri" w:eastAsia="Calibri" w:hAnsi="Calibri"/>
                <w:webHidden/>
                <w:sz w:val="22"/>
                <w:szCs w:val="22"/>
              </w:rPr>
              <w:t>72</w:t>
            </w:r>
            <w:r w:rsidR="003776C5" w:rsidRPr="003776C5">
              <w:rPr>
                <w:rFonts w:ascii="Calibri" w:eastAsia="Calibri" w:hAnsi="Calibri"/>
                <w:webHidden/>
                <w:sz w:val="22"/>
                <w:szCs w:val="22"/>
              </w:rPr>
              <w:fldChar w:fldCharType="end"/>
            </w:r>
          </w:hyperlink>
        </w:p>
        <w:p w14:paraId="7434016E" w14:textId="77777777" w:rsidR="003776C5" w:rsidRPr="003776C5" w:rsidRDefault="005933B0" w:rsidP="003776C5">
          <w:pPr>
            <w:tabs>
              <w:tab w:val="right" w:leader="dot" w:pos="13948"/>
            </w:tabs>
            <w:spacing w:after="100" w:line="276" w:lineRule="auto"/>
            <w:rPr>
              <w:rFonts w:ascii="Calibri" w:eastAsia="Times New Roman" w:hAnsi="Calibri"/>
              <w:sz w:val="22"/>
              <w:szCs w:val="22"/>
              <w:lang w:eastAsia="en-AU"/>
            </w:rPr>
          </w:pPr>
          <w:hyperlink w:anchor="_Toc491942547" w:history="1">
            <w:r w:rsidR="003776C5" w:rsidRPr="003776C5">
              <w:rPr>
                <w:rFonts w:ascii="Calibri" w:eastAsia="Calibri" w:hAnsi="Calibri"/>
                <w:color w:val="0000FF"/>
                <w:sz w:val="22"/>
                <w:szCs w:val="22"/>
                <w:u w:val="single"/>
              </w:rPr>
              <w:t xml:space="preserve">Table 1: </w:t>
            </w:r>
            <w:r w:rsidR="003776C5" w:rsidRPr="003776C5">
              <w:rPr>
                <w:rFonts w:ascii="Calibri" w:eastAsia="Times New Roman" w:hAnsi="Calibri"/>
                <w:color w:val="0000FF"/>
                <w:sz w:val="22"/>
                <w:szCs w:val="22"/>
                <w:u w:val="single"/>
                <w:lang w:eastAsia="en-AU"/>
              </w:rPr>
              <w:t>Lamps (note preferred test standards are highlighted)</w:t>
            </w:r>
            <w:r w:rsidR="003776C5" w:rsidRPr="003776C5">
              <w:rPr>
                <w:rFonts w:ascii="Calibri" w:eastAsia="Calibri" w:hAnsi="Calibri"/>
                <w:webHidden/>
                <w:sz w:val="22"/>
                <w:szCs w:val="22"/>
              </w:rPr>
              <w:tab/>
            </w:r>
            <w:r w:rsidR="003776C5" w:rsidRPr="003776C5">
              <w:rPr>
                <w:rFonts w:ascii="Calibri" w:eastAsia="Calibri" w:hAnsi="Calibri"/>
                <w:webHidden/>
                <w:sz w:val="22"/>
                <w:szCs w:val="22"/>
              </w:rPr>
              <w:fldChar w:fldCharType="begin"/>
            </w:r>
            <w:r w:rsidR="003776C5" w:rsidRPr="003776C5">
              <w:rPr>
                <w:rFonts w:ascii="Calibri" w:eastAsia="Calibri" w:hAnsi="Calibri"/>
                <w:webHidden/>
                <w:sz w:val="22"/>
                <w:szCs w:val="22"/>
              </w:rPr>
              <w:instrText xml:space="preserve"> PAGEREF _Toc491942547 \h </w:instrText>
            </w:r>
            <w:r w:rsidR="003776C5" w:rsidRPr="003776C5">
              <w:rPr>
                <w:rFonts w:ascii="Calibri" w:eastAsia="Calibri" w:hAnsi="Calibri"/>
                <w:webHidden/>
                <w:sz w:val="22"/>
                <w:szCs w:val="22"/>
              </w:rPr>
            </w:r>
            <w:r w:rsidR="003776C5" w:rsidRPr="003776C5">
              <w:rPr>
                <w:rFonts w:ascii="Calibri" w:eastAsia="Calibri" w:hAnsi="Calibri"/>
                <w:webHidden/>
                <w:sz w:val="22"/>
                <w:szCs w:val="22"/>
              </w:rPr>
              <w:fldChar w:fldCharType="separate"/>
            </w:r>
            <w:r>
              <w:rPr>
                <w:rFonts w:ascii="Calibri" w:eastAsia="Calibri" w:hAnsi="Calibri"/>
                <w:webHidden/>
                <w:sz w:val="22"/>
                <w:szCs w:val="22"/>
              </w:rPr>
              <w:t>72</w:t>
            </w:r>
            <w:r w:rsidR="003776C5" w:rsidRPr="003776C5">
              <w:rPr>
                <w:rFonts w:ascii="Calibri" w:eastAsia="Calibri" w:hAnsi="Calibri"/>
                <w:webHidden/>
                <w:sz w:val="22"/>
                <w:szCs w:val="22"/>
              </w:rPr>
              <w:fldChar w:fldCharType="end"/>
            </w:r>
          </w:hyperlink>
        </w:p>
        <w:p w14:paraId="0A27C6BC" w14:textId="77777777" w:rsidR="003776C5" w:rsidRPr="003776C5" w:rsidRDefault="005933B0" w:rsidP="003776C5">
          <w:pPr>
            <w:tabs>
              <w:tab w:val="right" w:leader="dot" w:pos="13948"/>
            </w:tabs>
            <w:spacing w:after="100" w:line="276" w:lineRule="auto"/>
            <w:rPr>
              <w:rFonts w:ascii="Calibri" w:eastAsia="Times New Roman" w:hAnsi="Calibri"/>
              <w:sz w:val="22"/>
              <w:szCs w:val="22"/>
              <w:lang w:eastAsia="en-AU"/>
            </w:rPr>
          </w:pPr>
          <w:hyperlink w:anchor="_Toc491942548" w:history="1">
            <w:r w:rsidR="003776C5" w:rsidRPr="003776C5">
              <w:rPr>
                <w:rFonts w:ascii="Calibri" w:eastAsia="Calibri" w:hAnsi="Calibri"/>
                <w:color w:val="0000FF"/>
                <w:sz w:val="22"/>
                <w:szCs w:val="22"/>
                <w:u w:val="single"/>
              </w:rPr>
              <w:t>Table 2: Proposed test methods and nominated parameters</w:t>
            </w:r>
            <w:r w:rsidR="003776C5" w:rsidRPr="003776C5">
              <w:rPr>
                <w:rFonts w:ascii="Calibri" w:eastAsia="Calibri" w:hAnsi="Calibri"/>
                <w:webHidden/>
                <w:sz w:val="22"/>
                <w:szCs w:val="22"/>
              </w:rPr>
              <w:tab/>
            </w:r>
            <w:r w:rsidR="003776C5" w:rsidRPr="003776C5">
              <w:rPr>
                <w:rFonts w:ascii="Calibri" w:eastAsia="Calibri" w:hAnsi="Calibri"/>
                <w:webHidden/>
                <w:sz w:val="22"/>
                <w:szCs w:val="22"/>
              </w:rPr>
              <w:fldChar w:fldCharType="begin"/>
            </w:r>
            <w:r w:rsidR="003776C5" w:rsidRPr="003776C5">
              <w:rPr>
                <w:rFonts w:ascii="Calibri" w:eastAsia="Calibri" w:hAnsi="Calibri"/>
                <w:webHidden/>
                <w:sz w:val="22"/>
                <w:szCs w:val="22"/>
              </w:rPr>
              <w:instrText xml:space="preserve"> PAGEREF _Toc491942548 \h </w:instrText>
            </w:r>
            <w:r w:rsidR="003776C5" w:rsidRPr="003776C5">
              <w:rPr>
                <w:rFonts w:ascii="Calibri" w:eastAsia="Calibri" w:hAnsi="Calibri"/>
                <w:webHidden/>
                <w:sz w:val="22"/>
                <w:szCs w:val="22"/>
              </w:rPr>
            </w:r>
            <w:r w:rsidR="003776C5" w:rsidRPr="003776C5">
              <w:rPr>
                <w:rFonts w:ascii="Calibri" w:eastAsia="Calibri" w:hAnsi="Calibri"/>
                <w:webHidden/>
                <w:sz w:val="22"/>
                <w:szCs w:val="22"/>
              </w:rPr>
              <w:fldChar w:fldCharType="separate"/>
            </w:r>
            <w:r>
              <w:rPr>
                <w:rFonts w:ascii="Calibri" w:eastAsia="Calibri" w:hAnsi="Calibri"/>
                <w:webHidden/>
                <w:sz w:val="22"/>
                <w:szCs w:val="22"/>
              </w:rPr>
              <w:t>87</w:t>
            </w:r>
            <w:r w:rsidR="003776C5" w:rsidRPr="003776C5">
              <w:rPr>
                <w:rFonts w:ascii="Calibri" w:eastAsia="Calibri" w:hAnsi="Calibri"/>
                <w:webHidden/>
                <w:sz w:val="22"/>
                <w:szCs w:val="22"/>
              </w:rPr>
              <w:fldChar w:fldCharType="end"/>
            </w:r>
          </w:hyperlink>
        </w:p>
        <w:p w14:paraId="32FFD1D2" w14:textId="77777777" w:rsidR="003776C5" w:rsidRPr="003776C5" w:rsidRDefault="005933B0" w:rsidP="003776C5">
          <w:pPr>
            <w:tabs>
              <w:tab w:val="right" w:leader="dot" w:pos="13948"/>
            </w:tabs>
            <w:spacing w:after="100" w:line="276" w:lineRule="auto"/>
            <w:rPr>
              <w:rFonts w:ascii="Calibri" w:eastAsia="Times New Roman" w:hAnsi="Calibri"/>
              <w:sz w:val="22"/>
              <w:szCs w:val="22"/>
              <w:lang w:eastAsia="en-AU"/>
            </w:rPr>
          </w:pPr>
          <w:hyperlink w:anchor="_Toc491942549" w:history="1">
            <w:r w:rsidR="003776C5" w:rsidRPr="003776C5">
              <w:rPr>
                <w:rFonts w:ascii="Calibri" w:eastAsia="Calibri" w:hAnsi="Calibri"/>
                <w:color w:val="0000FF"/>
                <w:sz w:val="22"/>
                <w:szCs w:val="22"/>
                <w:u w:val="single"/>
              </w:rPr>
              <w:t>Table 3: Proposed product package marking requirements</w:t>
            </w:r>
            <w:r w:rsidR="003776C5" w:rsidRPr="003776C5">
              <w:rPr>
                <w:rFonts w:ascii="Calibri" w:eastAsia="Calibri" w:hAnsi="Calibri"/>
                <w:webHidden/>
                <w:sz w:val="22"/>
                <w:szCs w:val="22"/>
              </w:rPr>
              <w:tab/>
            </w:r>
            <w:r w:rsidR="003776C5" w:rsidRPr="003776C5">
              <w:rPr>
                <w:rFonts w:ascii="Calibri" w:eastAsia="Calibri" w:hAnsi="Calibri"/>
                <w:webHidden/>
                <w:sz w:val="22"/>
                <w:szCs w:val="22"/>
              </w:rPr>
              <w:fldChar w:fldCharType="begin"/>
            </w:r>
            <w:r w:rsidR="003776C5" w:rsidRPr="003776C5">
              <w:rPr>
                <w:rFonts w:ascii="Calibri" w:eastAsia="Calibri" w:hAnsi="Calibri"/>
                <w:webHidden/>
                <w:sz w:val="22"/>
                <w:szCs w:val="22"/>
              </w:rPr>
              <w:instrText xml:space="preserve"> PAGEREF _Toc491942549 \h </w:instrText>
            </w:r>
            <w:r w:rsidR="003776C5" w:rsidRPr="003776C5">
              <w:rPr>
                <w:rFonts w:ascii="Calibri" w:eastAsia="Calibri" w:hAnsi="Calibri"/>
                <w:webHidden/>
                <w:sz w:val="22"/>
                <w:szCs w:val="22"/>
              </w:rPr>
            </w:r>
            <w:r w:rsidR="003776C5" w:rsidRPr="003776C5">
              <w:rPr>
                <w:rFonts w:ascii="Calibri" w:eastAsia="Calibri" w:hAnsi="Calibri"/>
                <w:webHidden/>
                <w:sz w:val="22"/>
                <w:szCs w:val="22"/>
              </w:rPr>
              <w:fldChar w:fldCharType="separate"/>
            </w:r>
            <w:r>
              <w:rPr>
                <w:rFonts w:ascii="Calibri" w:eastAsia="Calibri" w:hAnsi="Calibri"/>
                <w:webHidden/>
                <w:sz w:val="22"/>
                <w:szCs w:val="22"/>
              </w:rPr>
              <w:t>88</w:t>
            </w:r>
            <w:r w:rsidR="003776C5" w:rsidRPr="003776C5">
              <w:rPr>
                <w:rFonts w:ascii="Calibri" w:eastAsia="Calibri" w:hAnsi="Calibri"/>
                <w:webHidden/>
                <w:sz w:val="22"/>
                <w:szCs w:val="22"/>
              </w:rPr>
              <w:fldChar w:fldCharType="end"/>
            </w:r>
          </w:hyperlink>
        </w:p>
        <w:p w14:paraId="1B212F9F" w14:textId="77777777" w:rsidR="003776C5" w:rsidRPr="003776C5" w:rsidRDefault="005933B0" w:rsidP="003776C5">
          <w:pPr>
            <w:tabs>
              <w:tab w:val="right" w:leader="dot" w:pos="13948"/>
            </w:tabs>
            <w:spacing w:after="100" w:line="276" w:lineRule="auto"/>
            <w:rPr>
              <w:rFonts w:ascii="Calibri" w:eastAsia="Times New Roman" w:hAnsi="Calibri"/>
              <w:sz w:val="22"/>
              <w:szCs w:val="22"/>
              <w:lang w:eastAsia="en-AU"/>
            </w:rPr>
          </w:pPr>
          <w:hyperlink w:anchor="_Toc491942550" w:history="1">
            <w:r w:rsidR="003776C5" w:rsidRPr="003776C5">
              <w:rPr>
                <w:rFonts w:ascii="Calibri" w:eastAsia="Calibri" w:hAnsi="Calibri"/>
                <w:color w:val="0000FF"/>
                <w:sz w:val="22"/>
                <w:szCs w:val="22"/>
                <w:u w:val="single"/>
              </w:rPr>
              <w:t>Table 4: Proposed test conditions</w:t>
            </w:r>
            <w:r w:rsidR="003776C5" w:rsidRPr="003776C5">
              <w:rPr>
                <w:rFonts w:ascii="Calibri" w:eastAsia="Calibri" w:hAnsi="Calibri"/>
                <w:webHidden/>
                <w:sz w:val="22"/>
                <w:szCs w:val="22"/>
              </w:rPr>
              <w:tab/>
            </w:r>
            <w:r w:rsidR="003776C5" w:rsidRPr="003776C5">
              <w:rPr>
                <w:rFonts w:ascii="Calibri" w:eastAsia="Calibri" w:hAnsi="Calibri"/>
                <w:webHidden/>
                <w:sz w:val="22"/>
                <w:szCs w:val="22"/>
              </w:rPr>
              <w:fldChar w:fldCharType="begin"/>
            </w:r>
            <w:r w:rsidR="003776C5" w:rsidRPr="003776C5">
              <w:rPr>
                <w:rFonts w:ascii="Calibri" w:eastAsia="Calibri" w:hAnsi="Calibri"/>
                <w:webHidden/>
                <w:sz w:val="22"/>
                <w:szCs w:val="22"/>
              </w:rPr>
              <w:instrText xml:space="preserve"> PAGEREF _Toc491942550 \h </w:instrText>
            </w:r>
            <w:r w:rsidR="003776C5" w:rsidRPr="003776C5">
              <w:rPr>
                <w:rFonts w:ascii="Calibri" w:eastAsia="Calibri" w:hAnsi="Calibri"/>
                <w:webHidden/>
                <w:sz w:val="22"/>
                <w:szCs w:val="22"/>
              </w:rPr>
            </w:r>
            <w:r w:rsidR="003776C5" w:rsidRPr="003776C5">
              <w:rPr>
                <w:rFonts w:ascii="Calibri" w:eastAsia="Calibri" w:hAnsi="Calibri"/>
                <w:webHidden/>
                <w:sz w:val="22"/>
                <w:szCs w:val="22"/>
              </w:rPr>
              <w:fldChar w:fldCharType="separate"/>
            </w:r>
            <w:r>
              <w:rPr>
                <w:rFonts w:ascii="Calibri" w:eastAsia="Calibri" w:hAnsi="Calibri"/>
                <w:webHidden/>
                <w:sz w:val="22"/>
                <w:szCs w:val="22"/>
              </w:rPr>
              <w:t>91</w:t>
            </w:r>
            <w:r w:rsidR="003776C5" w:rsidRPr="003776C5">
              <w:rPr>
                <w:rFonts w:ascii="Calibri" w:eastAsia="Calibri" w:hAnsi="Calibri"/>
                <w:webHidden/>
                <w:sz w:val="22"/>
                <w:szCs w:val="22"/>
              </w:rPr>
              <w:fldChar w:fldCharType="end"/>
            </w:r>
          </w:hyperlink>
        </w:p>
        <w:p w14:paraId="632CA16E" w14:textId="77777777" w:rsidR="003776C5" w:rsidRPr="003776C5" w:rsidRDefault="005933B0" w:rsidP="003776C5">
          <w:pPr>
            <w:tabs>
              <w:tab w:val="right" w:leader="dot" w:pos="13948"/>
            </w:tabs>
            <w:spacing w:after="100" w:line="276" w:lineRule="auto"/>
            <w:rPr>
              <w:rFonts w:ascii="Calibri" w:eastAsia="Times New Roman" w:hAnsi="Calibri"/>
              <w:sz w:val="22"/>
              <w:szCs w:val="22"/>
              <w:lang w:eastAsia="en-AU"/>
            </w:rPr>
          </w:pPr>
          <w:hyperlink w:anchor="_Toc491942551" w:history="1">
            <w:r w:rsidR="003776C5" w:rsidRPr="003776C5">
              <w:rPr>
                <w:rFonts w:ascii="Calibri" w:eastAsia="Calibri" w:hAnsi="Calibri"/>
                <w:color w:val="0000FF"/>
                <w:sz w:val="22"/>
                <w:szCs w:val="22"/>
                <w:u w:val="single"/>
              </w:rPr>
              <w:t>Table 5: Integrated LED luminaires</w:t>
            </w:r>
            <w:r w:rsidR="003776C5" w:rsidRPr="003776C5">
              <w:rPr>
                <w:rFonts w:ascii="Calibri" w:eastAsia="Calibri" w:hAnsi="Calibri"/>
                <w:webHidden/>
                <w:sz w:val="22"/>
                <w:szCs w:val="22"/>
              </w:rPr>
              <w:tab/>
            </w:r>
            <w:r w:rsidR="003776C5" w:rsidRPr="003776C5">
              <w:rPr>
                <w:rFonts w:ascii="Calibri" w:eastAsia="Calibri" w:hAnsi="Calibri"/>
                <w:webHidden/>
                <w:sz w:val="22"/>
                <w:szCs w:val="22"/>
              </w:rPr>
              <w:fldChar w:fldCharType="begin"/>
            </w:r>
            <w:r w:rsidR="003776C5" w:rsidRPr="003776C5">
              <w:rPr>
                <w:rFonts w:ascii="Calibri" w:eastAsia="Calibri" w:hAnsi="Calibri"/>
                <w:webHidden/>
                <w:sz w:val="22"/>
                <w:szCs w:val="22"/>
              </w:rPr>
              <w:instrText xml:space="preserve"> PAGEREF _Toc491942551 \h </w:instrText>
            </w:r>
            <w:r w:rsidR="003776C5" w:rsidRPr="003776C5">
              <w:rPr>
                <w:rFonts w:ascii="Calibri" w:eastAsia="Calibri" w:hAnsi="Calibri"/>
                <w:webHidden/>
                <w:sz w:val="22"/>
                <w:szCs w:val="22"/>
              </w:rPr>
            </w:r>
            <w:r w:rsidR="003776C5" w:rsidRPr="003776C5">
              <w:rPr>
                <w:rFonts w:ascii="Calibri" w:eastAsia="Calibri" w:hAnsi="Calibri"/>
                <w:webHidden/>
                <w:sz w:val="22"/>
                <w:szCs w:val="22"/>
              </w:rPr>
              <w:fldChar w:fldCharType="separate"/>
            </w:r>
            <w:r>
              <w:rPr>
                <w:rFonts w:ascii="Calibri" w:eastAsia="Calibri" w:hAnsi="Calibri"/>
                <w:webHidden/>
                <w:sz w:val="22"/>
                <w:szCs w:val="22"/>
              </w:rPr>
              <w:t>94</w:t>
            </w:r>
            <w:r w:rsidR="003776C5" w:rsidRPr="003776C5">
              <w:rPr>
                <w:rFonts w:ascii="Calibri" w:eastAsia="Calibri" w:hAnsi="Calibri"/>
                <w:webHidden/>
                <w:sz w:val="22"/>
                <w:szCs w:val="22"/>
              </w:rPr>
              <w:fldChar w:fldCharType="end"/>
            </w:r>
          </w:hyperlink>
        </w:p>
        <w:p w14:paraId="4239DB6B" w14:textId="77777777" w:rsidR="003776C5" w:rsidRPr="003776C5" w:rsidRDefault="003776C5" w:rsidP="003776C5">
          <w:pPr>
            <w:spacing w:after="200" w:line="276" w:lineRule="auto"/>
            <w:rPr>
              <w:rFonts w:ascii="Calibri" w:eastAsia="Calibri" w:hAnsi="Calibri"/>
              <w:noProof w:val="0"/>
              <w:sz w:val="22"/>
              <w:szCs w:val="22"/>
            </w:rPr>
          </w:pPr>
          <w:r w:rsidRPr="003776C5">
            <w:rPr>
              <w:rFonts w:ascii="Calibri" w:eastAsia="Calibri" w:hAnsi="Calibri"/>
              <w:b/>
              <w:bCs/>
              <w:sz w:val="22"/>
              <w:szCs w:val="22"/>
            </w:rPr>
            <w:fldChar w:fldCharType="end"/>
          </w:r>
        </w:p>
      </w:sdtContent>
    </w:sdt>
    <w:p w14:paraId="40A36546" w14:textId="77777777" w:rsidR="003776C5" w:rsidRPr="003776C5" w:rsidRDefault="003776C5" w:rsidP="003776C5">
      <w:pPr>
        <w:spacing w:after="200" w:line="276" w:lineRule="auto"/>
        <w:rPr>
          <w:rFonts w:ascii="Calibri" w:eastAsia="Calibri" w:hAnsi="Calibri"/>
          <w:b/>
          <w:noProof w:val="0"/>
          <w:sz w:val="44"/>
          <w:szCs w:val="44"/>
        </w:rPr>
      </w:pPr>
    </w:p>
    <w:p w14:paraId="5770FA42" w14:textId="77777777" w:rsidR="003776C5" w:rsidRPr="003776C5" w:rsidRDefault="003776C5" w:rsidP="003776C5">
      <w:pPr>
        <w:spacing w:after="200" w:line="276" w:lineRule="auto"/>
        <w:rPr>
          <w:rFonts w:ascii="Calibri" w:eastAsia="Calibri" w:hAnsi="Calibri"/>
          <w:b/>
          <w:noProof w:val="0"/>
          <w:sz w:val="44"/>
          <w:szCs w:val="44"/>
        </w:rPr>
      </w:pPr>
      <w:r w:rsidRPr="003776C5">
        <w:rPr>
          <w:rFonts w:ascii="Calibri" w:eastAsia="Calibri" w:hAnsi="Calibri"/>
          <w:b/>
          <w:noProof w:val="0"/>
          <w:sz w:val="44"/>
          <w:szCs w:val="44"/>
        </w:rPr>
        <w:t>Draft Minimum Energy Performance Standards (MEPS) for LED Lighting</w:t>
      </w:r>
    </w:p>
    <w:p w14:paraId="243D88ED" w14:textId="77777777" w:rsidR="003776C5" w:rsidRPr="003776C5" w:rsidRDefault="003776C5" w:rsidP="003776C5">
      <w:pPr>
        <w:spacing w:after="200" w:line="276" w:lineRule="auto"/>
        <w:rPr>
          <w:rFonts w:ascii="Calibri" w:eastAsia="Calibri" w:hAnsi="Calibri"/>
          <w:noProof w:val="0"/>
          <w:sz w:val="22"/>
          <w:szCs w:val="22"/>
        </w:rPr>
      </w:pPr>
      <w:r w:rsidRPr="003776C5">
        <w:rPr>
          <w:rFonts w:ascii="Calibri" w:eastAsia="Calibri" w:hAnsi="Calibri"/>
          <w:noProof w:val="0"/>
          <w:sz w:val="22"/>
          <w:szCs w:val="22"/>
        </w:rPr>
        <w:t xml:space="preserve">The draft MEPS has been developed in consultation with a technical working group of stakeholders from lighting and control supply, government programs and test laboratories, and was issued for stakeholder comment in July 2016 and November 2016 (as part of </w:t>
      </w:r>
      <w:hyperlink r:id="rId52" w:history="1">
        <w:r w:rsidRPr="003776C5">
          <w:rPr>
            <w:rFonts w:ascii="Calibri" w:eastAsia="Calibri" w:hAnsi="Calibri"/>
            <w:noProof w:val="0"/>
            <w:color w:val="0000FF"/>
            <w:sz w:val="22"/>
            <w:szCs w:val="22"/>
            <w:u w:val="single"/>
          </w:rPr>
          <w:t xml:space="preserve">Consultation Regulation Impact Statement (CRIS)). </w:t>
        </w:r>
      </w:hyperlink>
      <w:r w:rsidRPr="003776C5">
        <w:rPr>
          <w:rFonts w:ascii="Calibri" w:eastAsia="Calibri" w:hAnsi="Calibri"/>
          <w:noProof w:val="0"/>
          <w:sz w:val="22"/>
          <w:szCs w:val="22"/>
        </w:rPr>
        <w:t xml:space="preserve"> Further revisions have been made after consideration of comments on the CRIS. The </w:t>
      </w:r>
      <w:hyperlink r:id="rId53" w:history="1">
        <w:r w:rsidRPr="003776C5">
          <w:rPr>
            <w:rFonts w:ascii="Calibri" w:eastAsia="Calibri" w:hAnsi="Calibri"/>
            <w:noProof w:val="0"/>
            <w:color w:val="0000FF"/>
            <w:sz w:val="22"/>
            <w:szCs w:val="22"/>
            <w:u w:val="single"/>
          </w:rPr>
          <w:t>Supplementary consultation document - Lighting: Updated policy positions</w:t>
        </w:r>
      </w:hyperlink>
      <w:r w:rsidRPr="003776C5">
        <w:rPr>
          <w:rFonts w:ascii="Calibri" w:eastAsia="Calibri" w:hAnsi="Calibri"/>
          <w:noProof w:val="0"/>
          <w:sz w:val="22"/>
          <w:szCs w:val="22"/>
        </w:rPr>
        <w:t xml:space="preserve"> should be read in conjunction with this document.</w:t>
      </w:r>
      <w:r w:rsidRPr="003776C5" w:rsidDel="00205C99">
        <w:rPr>
          <w:rFonts w:ascii="Calibri" w:eastAsia="Calibri" w:hAnsi="Calibri"/>
          <w:noProof w:val="0"/>
          <w:sz w:val="22"/>
          <w:szCs w:val="22"/>
        </w:rPr>
        <w:t xml:space="preserve"> </w:t>
      </w:r>
      <w:hyperlink r:id="rId54" w:history="1"/>
    </w:p>
    <w:p w14:paraId="67BAA27E" w14:textId="77777777" w:rsidR="003776C5" w:rsidRPr="003776C5" w:rsidRDefault="003776C5" w:rsidP="003776C5">
      <w:pPr>
        <w:keepNext/>
        <w:keepLines/>
        <w:spacing w:before="200" w:after="0" w:line="276" w:lineRule="auto"/>
        <w:outlineLvl w:val="1"/>
        <w:rPr>
          <w:rFonts w:ascii="Cambria" w:eastAsia="Times New Roman" w:hAnsi="Cambria"/>
          <w:b/>
          <w:bCs/>
          <w:noProof w:val="0"/>
          <w:color w:val="4F81BD"/>
          <w:sz w:val="26"/>
          <w:szCs w:val="26"/>
        </w:rPr>
      </w:pPr>
      <w:bookmarkStart w:id="86" w:name="_Toc491942537"/>
      <w:r w:rsidRPr="003776C5">
        <w:rPr>
          <w:rFonts w:ascii="Cambria" w:eastAsia="Times New Roman" w:hAnsi="Cambria"/>
          <w:b/>
          <w:bCs/>
          <w:noProof w:val="0"/>
          <w:color w:val="4F81BD"/>
          <w:sz w:val="26"/>
          <w:szCs w:val="26"/>
        </w:rPr>
        <w:t>Scope</w:t>
      </w:r>
      <w:bookmarkEnd w:id="86"/>
    </w:p>
    <w:p w14:paraId="7DF8B707" w14:textId="77777777" w:rsidR="003776C5" w:rsidRPr="003776C5" w:rsidRDefault="003776C5" w:rsidP="003776C5">
      <w:pPr>
        <w:spacing w:after="200" w:line="276" w:lineRule="auto"/>
        <w:ind w:left="360" w:hanging="360"/>
        <w:contextualSpacing/>
        <w:rPr>
          <w:rFonts w:ascii="Calibri" w:eastAsia="Calibri" w:hAnsi="Calibri"/>
          <w:noProof w:val="0"/>
          <w:sz w:val="22"/>
          <w:szCs w:val="22"/>
        </w:rPr>
      </w:pPr>
      <w:r w:rsidRPr="003776C5">
        <w:rPr>
          <w:rFonts w:ascii="Calibri" w:eastAsia="Calibri" w:hAnsi="Calibri"/>
          <w:noProof w:val="0"/>
          <w:sz w:val="22"/>
          <w:szCs w:val="22"/>
        </w:rPr>
        <w:t xml:space="preserve">Proposed to apply to the sale and commercial use of: </w:t>
      </w:r>
    </w:p>
    <w:p w14:paraId="14466962" w14:textId="3CAFD813" w:rsidR="003776C5" w:rsidRPr="004C22A9" w:rsidRDefault="003776C5" w:rsidP="004C22A9">
      <w:pPr>
        <w:pStyle w:val="E3Bullets"/>
        <w:rPr>
          <w:rFonts w:eastAsia="Calibri"/>
          <w:sz w:val="22"/>
          <w:szCs w:val="22"/>
        </w:rPr>
      </w:pPr>
      <w:r w:rsidRPr="004C22A9">
        <w:rPr>
          <w:rFonts w:eastAsia="Calibri"/>
          <w:sz w:val="22"/>
          <w:szCs w:val="22"/>
          <w:u w:val="single"/>
        </w:rPr>
        <w:t>LED Lamps</w:t>
      </w:r>
      <w:r w:rsidRPr="004C22A9">
        <w:rPr>
          <w:rFonts w:eastAsia="Calibri"/>
          <w:sz w:val="22"/>
          <w:szCs w:val="22"/>
        </w:rPr>
        <w:t xml:space="preserve">: target to publish March 2018 to come into effect March 2019. </w:t>
      </w:r>
    </w:p>
    <w:p w14:paraId="42CFD572" w14:textId="41011935" w:rsidR="003776C5" w:rsidRPr="003776C5" w:rsidRDefault="003776C5" w:rsidP="004C22A9">
      <w:pPr>
        <w:spacing w:after="200" w:line="276" w:lineRule="auto"/>
        <w:contextualSpacing/>
        <w:rPr>
          <w:rFonts w:ascii="Calibri" w:eastAsia="Calibri" w:hAnsi="Calibri"/>
          <w:noProof w:val="0"/>
          <w:sz w:val="22"/>
          <w:szCs w:val="22"/>
        </w:rPr>
      </w:pPr>
      <w:r w:rsidRPr="003776C5">
        <w:rPr>
          <w:rFonts w:ascii="Calibri" w:eastAsia="Calibri" w:hAnsi="Calibri"/>
          <w:noProof w:val="0"/>
          <w:sz w:val="22"/>
          <w:szCs w:val="22"/>
        </w:rPr>
        <w:t>The proposed MEPS detailed in this document will form the basis of the Decision RIS for approval by governments (expected to be considered by Energy Ministers in November 2017). The E3 program requests stakeholders to consider the LED MEPS on lamps detailed below and provide specific feedback on any amendments required including rationale for change and alterative approach, with supporting evidence.  The exposure draft of the LED MEPS determination will be released following approval of the DRIS.</w:t>
      </w:r>
    </w:p>
    <w:p w14:paraId="3A3C53B3" w14:textId="015634DF" w:rsidR="003776C5" w:rsidRPr="004C22A9" w:rsidRDefault="003776C5" w:rsidP="004C22A9">
      <w:pPr>
        <w:pStyle w:val="E3Bullets"/>
        <w:rPr>
          <w:rFonts w:eastAsia="Calibri"/>
          <w:sz w:val="22"/>
          <w:szCs w:val="22"/>
        </w:rPr>
      </w:pPr>
      <w:r w:rsidRPr="004C22A9">
        <w:rPr>
          <w:rFonts w:eastAsia="Calibri"/>
          <w:sz w:val="22"/>
          <w:szCs w:val="22"/>
          <w:u w:val="single"/>
        </w:rPr>
        <w:t>LED luminaires</w:t>
      </w:r>
      <w:r w:rsidRPr="004C22A9">
        <w:rPr>
          <w:rFonts w:eastAsia="Calibri"/>
          <w:sz w:val="22"/>
          <w:szCs w:val="22"/>
        </w:rPr>
        <w:t>: As referred in the Supplementary consultation document, the GEMS Act will be reviewed to facilitate MEPS on LED luminaires. A separate CRIS (and subsequent Decision RIS) will be released prior to implementation.</w:t>
      </w:r>
    </w:p>
    <w:p w14:paraId="3763D956" w14:textId="77777777" w:rsidR="003776C5" w:rsidRPr="003776C5" w:rsidRDefault="003776C5" w:rsidP="003776C5">
      <w:pPr>
        <w:spacing w:after="200" w:line="276" w:lineRule="auto"/>
        <w:rPr>
          <w:rFonts w:ascii="Calibri" w:eastAsia="Calibri" w:hAnsi="Calibri"/>
          <w:noProof w:val="0"/>
          <w:sz w:val="22"/>
          <w:szCs w:val="22"/>
        </w:rPr>
      </w:pPr>
      <w:r w:rsidRPr="003776C5">
        <w:rPr>
          <w:rFonts w:ascii="Calibri" w:eastAsia="Calibri" w:hAnsi="Calibri"/>
          <w:noProof w:val="0"/>
          <w:sz w:val="22"/>
          <w:szCs w:val="22"/>
        </w:rPr>
        <w:t>Because of the staged approach, this version of the draft MEPS focuses on LED Lamps.  The table providing details on the parameters and requirements for integrated luminaires has been moved to the end of the document to allow the reader to focus on the more immediate proposal for lamps.</w:t>
      </w:r>
    </w:p>
    <w:p w14:paraId="0C9593E2" w14:textId="77777777" w:rsidR="003776C5" w:rsidRPr="003776C5" w:rsidRDefault="003776C5" w:rsidP="003776C5">
      <w:pPr>
        <w:spacing w:after="200" w:line="276" w:lineRule="auto"/>
        <w:rPr>
          <w:rFonts w:ascii="Calibri" w:eastAsia="Calibri" w:hAnsi="Calibri"/>
          <w:noProof w:val="0"/>
          <w:sz w:val="22"/>
          <w:szCs w:val="22"/>
        </w:rPr>
      </w:pPr>
      <w:r w:rsidRPr="003776C5">
        <w:rPr>
          <w:rFonts w:ascii="Calibri" w:eastAsia="Calibri" w:hAnsi="Calibri"/>
          <w:noProof w:val="0"/>
          <w:sz w:val="22"/>
          <w:szCs w:val="22"/>
        </w:rPr>
        <w:t>The MEPS is intended to specify minimum performance levels for lighting efficacy and a number of other performance parameters important in ensuring LED lighting products provide an effective and efficient alternative to other less efficient lighting technologies (tables 1&amp;5). Table 3 lists proposed package marking requirements. Where possible, the test requirements reference relevant international standards by the International Commission on Illumination (CIE), International Electrotechnical Commission (IEC), and regional standards such as the Illuminating Engineering Society of North America.  The MEPS levels were originally derived from the International Energy Agency 4E Solid State Lighting Annex Product Quality and Performance Tiers (</w:t>
      </w:r>
      <w:hyperlink r:id="rId55" w:history="1">
        <w:r w:rsidRPr="003776C5">
          <w:rPr>
            <w:rFonts w:ascii="Calibri" w:eastAsia="Calibri" w:hAnsi="Calibri"/>
            <w:noProof w:val="0"/>
            <w:color w:val="0000FF"/>
            <w:sz w:val="22"/>
            <w:szCs w:val="22"/>
            <w:u w:val="single"/>
          </w:rPr>
          <w:t>http://ssl.iea-4e.org/</w:t>
        </w:r>
      </w:hyperlink>
      <w:r w:rsidRPr="003776C5">
        <w:rPr>
          <w:rFonts w:ascii="Calibri" w:eastAsia="Calibri" w:hAnsi="Calibri"/>
          <w:noProof w:val="0"/>
          <w:sz w:val="22"/>
          <w:szCs w:val="22"/>
        </w:rPr>
        <w:t>) but have been updated with more recent market data.  Note that while product test data will be required for product registration, it is proposed that third party accredited testing will not be required. Where the use of module, LED package or driver test data is allowed, this must be from an accredited (but not necessarily third party) laboratory.</w:t>
      </w:r>
    </w:p>
    <w:p w14:paraId="6162ADBC" w14:textId="6230EAF5" w:rsidR="003776C5" w:rsidRPr="003776C5" w:rsidRDefault="003776C5" w:rsidP="004C22A9">
      <w:pPr>
        <w:spacing w:after="200" w:line="276" w:lineRule="auto"/>
        <w:rPr>
          <w:rFonts w:ascii="Calibri" w:eastAsia="Times New Roman" w:hAnsi="Calibri"/>
          <w:bCs/>
          <w:i/>
          <w:noProof w:val="0"/>
          <w:color w:val="000000"/>
          <w:sz w:val="26"/>
          <w:szCs w:val="26"/>
          <w:lang w:eastAsia="en-AU"/>
        </w:rPr>
      </w:pPr>
      <w:r w:rsidRPr="003776C5">
        <w:rPr>
          <w:rFonts w:ascii="Calibri" w:eastAsia="Times New Roman" w:hAnsi="Calibri"/>
          <w:b/>
          <w:i/>
          <w:noProof w:val="0"/>
          <w:color w:val="000000"/>
          <w:sz w:val="22"/>
          <w:szCs w:val="22"/>
          <w:lang w:eastAsia="en-AU"/>
        </w:rPr>
        <w:br w:type="page"/>
      </w:r>
      <w:bookmarkStart w:id="87" w:name="_Toc491942538"/>
      <w:r w:rsidRPr="003776C5">
        <w:rPr>
          <w:rFonts w:ascii="Calibri" w:eastAsia="Times New Roman" w:hAnsi="Calibri"/>
          <w:bCs/>
          <w:i/>
          <w:noProof w:val="0"/>
          <w:color w:val="000000"/>
          <w:sz w:val="26"/>
          <w:szCs w:val="26"/>
          <w:lang w:eastAsia="en-AU"/>
        </w:rPr>
        <w:t>All LED Product Categories</w:t>
      </w:r>
      <w:bookmarkEnd w:id="87"/>
    </w:p>
    <w:p w14:paraId="21B002E1" w14:textId="77777777" w:rsidR="003776C5" w:rsidRPr="003776C5" w:rsidRDefault="003776C5" w:rsidP="003776C5">
      <w:pPr>
        <w:spacing w:after="200" w:line="276" w:lineRule="auto"/>
        <w:rPr>
          <w:rFonts w:ascii="Calibri" w:eastAsia="Calibri" w:hAnsi="Calibri"/>
          <w:noProof w:val="0"/>
          <w:sz w:val="22"/>
          <w:szCs w:val="22"/>
        </w:rPr>
      </w:pPr>
      <w:r w:rsidRPr="003776C5">
        <w:rPr>
          <w:rFonts w:ascii="Calibri" w:eastAsia="Calibri" w:hAnsi="Calibri"/>
          <w:sz w:val="22"/>
          <w:szCs w:val="22"/>
          <w:lang w:eastAsia="en-AU"/>
        </w:rPr>
        <w:drawing>
          <wp:anchor distT="0" distB="0" distL="114300" distR="114300" simplePos="0" relativeHeight="251662336" behindDoc="0" locked="0" layoutInCell="1" allowOverlap="1" wp14:anchorId="53C3B159" wp14:editId="15777934">
            <wp:simplePos x="0" y="0"/>
            <wp:positionH relativeFrom="column">
              <wp:posOffset>6043930</wp:posOffset>
            </wp:positionH>
            <wp:positionV relativeFrom="margin">
              <wp:posOffset>370205</wp:posOffset>
            </wp:positionV>
            <wp:extent cx="2765425" cy="2748280"/>
            <wp:effectExtent l="133350" t="114300" r="149225" b="166370"/>
            <wp:wrapSquare wrapText="bothSides"/>
            <wp:docPr id="21" name="Picture 21" descr="Chromaticity coordinates (x and y) range for white light" title="EU White Light Source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551" r="33072" b="2132"/>
                    <a:stretch/>
                  </pic:blipFill>
                  <pic:spPr bwMode="auto">
                    <a:xfrm>
                      <a:off x="0" y="0"/>
                      <a:ext cx="2765425" cy="2748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76C5">
        <w:rPr>
          <w:rFonts w:ascii="Calibri" w:eastAsia="Calibri" w:hAnsi="Calibri"/>
          <w:noProof w:val="0"/>
          <w:sz w:val="22"/>
          <w:szCs w:val="22"/>
        </w:rPr>
        <w:t xml:space="preserve">As well as the specific scope below, this MEPS applies to lamps and luminaires capable of being tuned to within the specified white region in any mode of operation. This includes fixed white light sources as well as tuneable sources which are capable of being tuned to within the white region specified by the chromaticity coordinates (x and y) range:  </w:t>
      </w:r>
    </w:p>
    <w:p w14:paraId="786B35B2" w14:textId="77777777" w:rsidR="003776C5" w:rsidRPr="003776C5" w:rsidRDefault="003776C5" w:rsidP="003776C5">
      <w:pPr>
        <w:numPr>
          <w:ilvl w:val="0"/>
          <w:numId w:val="20"/>
        </w:numPr>
        <w:spacing w:after="200" w:line="276" w:lineRule="auto"/>
        <w:contextualSpacing/>
        <w:rPr>
          <w:rFonts w:ascii="Calibri" w:eastAsia="Calibri" w:hAnsi="Calibri"/>
          <w:noProof w:val="0"/>
          <w:sz w:val="22"/>
          <w:szCs w:val="22"/>
        </w:rPr>
      </w:pPr>
      <w:r w:rsidRPr="003776C5">
        <w:rPr>
          <w:rFonts w:ascii="Calibri" w:eastAsia="Calibri" w:hAnsi="Calibri"/>
          <w:noProof w:val="0"/>
          <w:sz w:val="22"/>
          <w:szCs w:val="22"/>
        </w:rPr>
        <w:t xml:space="preserve">0,2 &lt; x &lt; 0,6; and </w:t>
      </w:r>
    </w:p>
    <w:p w14:paraId="43F7E433" w14:textId="77777777" w:rsidR="003776C5" w:rsidRPr="003776C5" w:rsidRDefault="003776C5" w:rsidP="003776C5">
      <w:pPr>
        <w:numPr>
          <w:ilvl w:val="0"/>
          <w:numId w:val="20"/>
        </w:numPr>
        <w:spacing w:after="200" w:line="276" w:lineRule="auto"/>
        <w:contextualSpacing/>
        <w:rPr>
          <w:rFonts w:ascii="Calibri" w:eastAsia="Calibri" w:hAnsi="Calibri"/>
          <w:noProof w:val="0"/>
          <w:sz w:val="22"/>
          <w:szCs w:val="22"/>
        </w:rPr>
      </w:pPr>
      <w:r w:rsidRPr="003776C5">
        <w:rPr>
          <w:rFonts w:ascii="Calibri" w:eastAsia="Calibri" w:hAnsi="Calibri"/>
          <w:noProof w:val="0"/>
          <w:sz w:val="22"/>
          <w:szCs w:val="22"/>
        </w:rPr>
        <w:t>–2,3172 x² + 2,3653 x – 0,28 &lt; y &lt; – 2,3172 x² + 2,3653 x– 0,1.</w:t>
      </w:r>
      <w:r w:rsidRPr="003776C5">
        <w:rPr>
          <w:rFonts w:ascii="Calibri" w:eastAsia="Calibri" w:hAnsi="Calibri"/>
          <w:noProof w:val="0"/>
          <w:sz w:val="22"/>
          <w:szCs w:val="22"/>
          <w:vertAlign w:val="superscript"/>
        </w:rPr>
        <w:footnoteReference w:id="13"/>
      </w:r>
    </w:p>
    <w:p w14:paraId="17FA6028" w14:textId="77777777" w:rsidR="003776C5" w:rsidRPr="003776C5" w:rsidRDefault="003776C5" w:rsidP="003776C5">
      <w:pPr>
        <w:spacing w:after="200" w:line="276" w:lineRule="auto"/>
        <w:rPr>
          <w:rFonts w:ascii="Calibri" w:eastAsia="Calibri" w:hAnsi="Calibri"/>
          <w:noProof w:val="0"/>
          <w:sz w:val="22"/>
          <w:szCs w:val="22"/>
        </w:rPr>
      </w:pPr>
    </w:p>
    <w:p w14:paraId="7B479A05" w14:textId="77777777" w:rsidR="003776C5" w:rsidRPr="003776C5" w:rsidRDefault="003776C5" w:rsidP="003776C5">
      <w:pPr>
        <w:spacing w:after="200" w:line="276"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In the case of tuneable lamps and luminaires, compliance for photometric parameters will be based on testing at </w:t>
      </w:r>
      <w:r w:rsidRPr="003776C5">
        <w:rPr>
          <w:rFonts w:ascii="Calibri" w:eastAsia="Calibri" w:hAnsi="Calibri"/>
          <w:noProof w:val="0"/>
          <w:sz w:val="22"/>
          <w:szCs w:val="22"/>
        </w:rPr>
        <w:t>maximum light output (in case the lamps are also dimmable).</w:t>
      </w:r>
      <w:r w:rsidRPr="003776C5">
        <w:rPr>
          <w:rFonts w:ascii="Calibri" w:eastAsia="Times New Roman" w:hAnsi="Calibri"/>
          <w:noProof w:val="0"/>
          <w:color w:val="000000"/>
          <w:sz w:val="22"/>
          <w:szCs w:val="22"/>
          <w:lang w:eastAsia="en-AU"/>
        </w:rPr>
        <w:t xml:space="preserve">  Testing of tuneable products (for luminous flux, power, CRI and CCT) will be done with the product’s CCT adjusted through operation with software provided with products as sold and updated with latest available software versions.</w:t>
      </w:r>
      <w:r w:rsidRPr="003776C5">
        <w:rPr>
          <w:rFonts w:ascii="Calibri" w:eastAsia="Calibri" w:hAnsi="Calibri"/>
          <w:bCs/>
          <w:noProof w:val="0"/>
          <w:sz w:val="24"/>
          <w:szCs w:val="22"/>
          <w:lang w:val="en-GB"/>
        </w:rPr>
        <w:t xml:space="preserve"> The testing shall include (A) the nominal CCT of 2700 K or the minimum CCT (whichever is higher) and (B) the nominal CCT of 4000K or the maximum CCT (whichever is lower) and for dimmable lamps, be conducted at maximum light output.</w:t>
      </w:r>
    </w:p>
    <w:p w14:paraId="04ECBA91" w14:textId="77777777" w:rsidR="003776C5" w:rsidRPr="003776C5" w:rsidRDefault="003776C5" w:rsidP="003776C5">
      <w:pPr>
        <w:keepNext/>
        <w:keepLines/>
        <w:spacing w:before="200" w:after="0" w:line="276" w:lineRule="auto"/>
        <w:outlineLvl w:val="1"/>
        <w:rPr>
          <w:rFonts w:ascii="Calibri" w:eastAsia="Times New Roman" w:hAnsi="Calibri"/>
          <w:bCs/>
          <w:i/>
          <w:noProof w:val="0"/>
          <w:color w:val="000000"/>
          <w:sz w:val="26"/>
          <w:szCs w:val="26"/>
          <w:lang w:eastAsia="en-AU"/>
        </w:rPr>
      </w:pPr>
      <w:bookmarkStart w:id="88" w:name="_Toc491942539"/>
      <w:r w:rsidRPr="003776C5">
        <w:rPr>
          <w:rFonts w:ascii="Calibri" w:eastAsia="Times New Roman" w:hAnsi="Calibri"/>
          <w:bCs/>
          <w:i/>
          <w:noProof w:val="0"/>
          <w:color w:val="000000"/>
          <w:sz w:val="26"/>
          <w:szCs w:val="26"/>
          <w:lang w:eastAsia="en-AU"/>
        </w:rPr>
        <w:t>Non-directional LED lamps (table 1)</w:t>
      </w:r>
      <w:bookmarkEnd w:id="88"/>
    </w:p>
    <w:p w14:paraId="08BDECD3" w14:textId="77777777" w:rsidR="003776C5" w:rsidRPr="003776C5" w:rsidRDefault="003776C5" w:rsidP="003776C5">
      <w:pPr>
        <w:spacing w:after="200" w:line="276" w:lineRule="auto"/>
        <w:rPr>
          <w:rFonts w:ascii="Calibri" w:eastAsia="Calibri" w:hAnsi="Calibri"/>
          <w:noProof w:val="0"/>
          <w:sz w:val="22"/>
          <w:szCs w:val="22"/>
        </w:rPr>
      </w:pPr>
      <w:r w:rsidRPr="003776C5">
        <w:rPr>
          <w:rFonts w:ascii="Calibri" w:eastAsia="Calibri" w:hAnsi="Calibri"/>
          <w:noProof w:val="0"/>
          <w:sz w:val="22"/>
          <w:szCs w:val="22"/>
        </w:rPr>
        <w:t>Lamps with LED light sources of all shapes with lamp caps B15, B22, E14, E27, E39, E40, GU5.3, GU10, GX10, GU24, GX53, G9 and ELV lamp bi-pin caps G4, that emit ≥ 100 lm.</w:t>
      </w:r>
    </w:p>
    <w:p w14:paraId="79330B34" w14:textId="77777777" w:rsidR="003776C5" w:rsidRPr="003776C5" w:rsidRDefault="003776C5" w:rsidP="003776C5">
      <w:pPr>
        <w:keepNext/>
        <w:keepLines/>
        <w:spacing w:before="200" w:after="0" w:line="276" w:lineRule="auto"/>
        <w:outlineLvl w:val="1"/>
        <w:rPr>
          <w:rFonts w:ascii="Calibri" w:eastAsia="Times New Roman" w:hAnsi="Calibri"/>
          <w:bCs/>
          <w:i/>
          <w:noProof w:val="0"/>
          <w:color w:val="000000"/>
          <w:sz w:val="26"/>
          <w:szCs w:val="26"/>
          <w:lang w:eastAsia="en-AU"/>
        </w:rPr>
      </w:pPr>
      <w:bookmarkStart w:id="89" w:name="_Toc491942540"/>
      <w:r w:rsidRPr="003776C5">
        <w:rPr>
          <w:rFonts w:ascii="Calibri" w:eastAsia="Times New Roman" w:hAnsi="Calibri"/>
          <w:bCs/>
          <w:i/>
          <w:noProof w:val="0"/>
          <w:color w:val="000000"/>
          <w:sz w:val="26"/>
          <w:szCs w:val="26"/>
          <w:lang w:eastAsia="en-AU"/>
        </w:rPr>
        <w:t>Directional LED lamps (table 1)</w:t>
      </w:r>
      <w:bookmarkEnd w:id="89"/>
    </w:p>
    <w:p w14:paraId="3641BEB4" w14:textId="77777777" w:rsidR="003776C5" w:rsidRPr="003776C5" w:rsidRDefault="003776C5" w:rsidP="003776C5">
      <w:pPr>
        <w:spacing w:after="200" w:line="276" w:lineRule="auto"/>
        <w:rPr>
          <w:rFonts w:ascii="Calibri" w:eastAsia="Calibri" w:hAnsi="Calibri"/>
          <w:noProof w:val="0"/>
          <w:sz w:val="22"/>
          <w:szCs w:val="22"/>
        </w:rPr>
      </w:pPr>
      <w:r w:rsidRPr="003776C5">
        <w:rPr>
          <w:rFonts w:ascii="Calibri" w:eastAsia="Calibri" w:hAnsi="Calibri"/>
          <w:noProof w:val="0"/>
          <w:sz w:val="22"/>
          <w:szCs w:val="22"/>
        </w:rPr>
        <w:t xml:space="preserve">Lamps with LED light sources of all shapes with lamp caps B15, B22, E14, E27, E39, E40, GU10, G9 and R7, and ELV lamp bi-pin caps GU5.3, GX5.3, G6.35, GX53, that emit  ≥ 100  lm. </w:t>
      </w:r>
    </w:p>
    <w:p w14:paraId="133DE020" w14:textId="77777777" w:rsidR="003776C5" w:rsidRPr="003776C5" w:rsidRDefault="003776C5" w:rsidP="003776C5">
      <w:pPr>
        <w:keepNext/>
        <w:keepLines/>
        <w:spacing w:before="200" w:after="0" w:line="276" w:lineRule="auto"/>
        <w:outlineLvl w:val="1"/>
        <w:rPr>
          <w:rFonts w:ascii="Calibri" w:eastAsia="Times New Roman" w:hAnsi="Calibri"/>
          <w:bCs/>
          <w:i/>
          <w:noProof w:val="0"/>
          <w:color w:val="000000"/>
          <w:sz w:val="26"/>
          <w:szCs w:val="26"/>
          <w:lang w:eastAsia="en-AU"/>
        </w:rPr>
      </w:pPr>
      <w:bookmarkStart w:id="90" w:name="_Toc491942541"/>
      <w:r w:rsidRPr="003776C5">
        <w:rPr>
          <w:rFonts w:ascii="Calibri" w:eastAsia="Times New Roman" w:hAnsi="Calibri"/>
          <w:bCs/>
          <w:i/>
          <w:noProof w:val="0"/>
          <w:color w:val="000000"/>
          <w:sz w:val="26"/>
          <w:szCs w:val="26"/>
          <w:lang w:eastAsia="en-AU"/>
        </w:rPr>
        <w:t>Linear LED lamps (table 1)</w:t>
      </w:r>
      <w:bookmarkEnd w:id="90"/>
    </w:p>
    <w:p w14:paraId="47CBF235" w14:textId="77777777" w:rsidR="003776C5" w:rsidRPr="003776C5" w:rsidRDefault="003776C5" w:rsidP="003776C5">
      <w:pPr>
        <w:spacing w:after="200" w:line="276" w:lineRule="auto"/>
        <w:rPr>
          <w:rFonts w:ascii="Calibri" w:eastAsia="Calibri" w:hAnsi="Calibri"/>
          <w:noProof w:val="0"/>
          <w:sz w:val="22"/>
          <w:szCs w:val="22"/>
        </w:rPr>
      </w:pPr>
      <w:r w:rsidRPr="003776C5">
        <w:rPr>
          <w:rFonts w:ascii="Calibri" w:eastAsia="Calibri" w:hAnsi="Calibri"/>
          <w:noProof w:val="0"/>
          <w:sz w:val="22"/>
          <w:szCs w:val="22"/>
        </w:rPr>
        <w:t>Linear LED lamps double-capped LED lamps including G5 and G13 caps, intended for replacing fluorescent lamps (as defined in IEC 60081) with the same caps (as defined in IEC 60081) or caps specific for double-capped linear LED lamps (related to IEC 60838-2-3) with a nominal length of 550 mm to 1500 mm.</w:t>
      </w:r>
    </w:p>
    <w:p w14:paraId="7617B923" w14:textId="77777777" w:rsidR="003776C5" w:rsidRPr="003776C5" w:rsidRDefault="003776C5" w:rsidP="003776C5">
      <w:pPr>
        <w:spacing w:after="200" w:line="276" w:lineRule="auto"/>
        <w:rPr>
          <w:rFonts w:ascii="Calibri" w:eastAsia="Calibri" w:hAnsi="Calibri"/>
          <w:noProof w:val="0"/>
          <w:sz w:val="22"/>
          <w:szCs w:val="22"/>
        </w:rPr>
      </w:pPr>
      <w:r w:rsidRPr="003776C5">
        <w:rPr>
          <w:rFonts w:ascii="Calibri" w:eastAsia="Calibri" w:hAnsi="Calibri"/>
          <w:noProof w:val="0"/>
          <w:sz w:val="22"/>
          <w:szCs w:val="22"/>
        </w:rPr>
        <w:t xml:space="preserve">For LED lamp models otherwise within scope which have low volume sales of up to (200) annual units, a simplified registration may be submitted, including supply of manufacturer’s datasheet, without demonstration of full compliance with MEPS. Import/production volumes to be provided annually for duration of registration. Where this upper sales limit is exceeded, the supplier may either withdraw the product from sale; or alternately both complete product testing and complete a full product registration (demonstrating compliance with MEPS). </w:t>
      </w:r>
    </w:p>
    <w:p w14:paraId="07266469" w14:textId="77777777" w:rsidR="003776C5" w:rsidRPr="003776C5" w:rsidRDefault="003776C5" w:rsidP="003776C5">
      <w:pPr>
        <w:keepNext/>
        <w:keepLines/>
        <w:spacing w:before="200" w:after="0" w:line="276" w:lineRule="auto"/>
        <w:outlineLvl w:val="1"/>
        <w:rPr>
          <w:rFonts w:ascii="Calibri" w:eastAsia="Times New Roman" w:hAnsi="Calibri"/>
          <w:bCs/>
          <w:i/>
          <w:noProof w:val="0"/>
          <w:color w:val="000000"/>
          <w:sz w:val="26"/>
          <w:szCs w:val="26"/>
          <w:lang w:eastAsia="en-AU"/>
        </w:rPr>
      </w:pPr>
      <w:bookmarkStart w:id="91" w:name="_Toc491942542"/>
      <w:r w:rsidRPr="003776C5">
        <w:rPr>
          <w:rFonts w:ascii="Calibri" w:eastAsia="Times New Roman" w:hAnsi="Calibri"/>
          <w:bCs/>
          <w:i/>
          <w:noProof w:val="0"/>
          <w:color w:val="000000"/>
          <w:sz w:val="26"/>
          <w:szCs w:val="26"/>
          <w:lang w:eastAsia="en-AU"/>
        </w:rPr>
        <w:t>Integrated LED Luminaires (table 5)</w:t>
      </w:r>
      <w:bookmarkEnd w:id="91"/>
    </w:p>
    <w:p w14:paraId="66E6CAD0" w14:textId="77777777" w:rsid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The scope for luminaires is yet to be finalised but is likely to include:</w:t>
      </w:r>
    </w:p>
    <w:p w14:paraId="6BD50A4B" w14:textId="77777777" w:rsidR="00550A49" w:rsidRPr="003776C5" w:rsidRDefault="00550A49" w:rsidP="003776C5">
      <w:pPr>
        <w:spacing w:after="0" w:line="240" w:lineRule="auto"/>
        <w:rPr>
          <w:rFonts w:ascii="Calibri" w:eastAsia="Times New Roman" w:hAnsi="Calibri"/>
          <w:noProof w:val="0"/>
          <w:color w:val="000000"/>
          <w:sz w:val="22"/>
          <w:szCs w:val="22"/>
          <w:lang w:eastAsia="en-AU"/>
        </w:rPr>
      </w:pPr>
    </w:p>
    <w:p w14:paraId="3EFF7005" w14:textId="77777777" w:rsidR="003776C5" w:rsidRPr="00550A49" w:rsidRDefault="003776C5" w:rsidP="00550A49">
      <w:pPr>
        <w:pStyle w:val="E3Bullets"/>
        <w:rPr>
          <w:rFonts w:eastAsia="Calibri"/>
          <w:sz w:val="22"/>
          <w:szCs w:val="22"/>
        </w:rPr>
      </w:pPr>
      <w:r w:rsidRPr="00550A49">
        <w:rPr>
          <w:rFonts w:eastAsia="Calibri"/>
          <w:sz w:val="22"/>
          <w:szCs w:val="22"/>
        </w:rPr>
        <w:t>Integrated LED luminaires with a luminous flux of ≥ 250 lm and &lt; 1,500 lm. Note integrated includes a luminaire with remote control gear.</w:t>
      </w:r>
    </w:p>
    <w:p w14:paraId="68793D37" w14:textId="77777777" w:rsidR="003776C5" w:rsidRPr="00550A49" w:rsidRDefault="003776C5" w:rsidP="00550A49">
      <w:pPr>
        <w:pStyle w:val="E3Bullets"/>
        <w:rPr>
          <w:rFonts w:eastAsia="Calibri"/>
          <w:sz w:val="22"/>
          <w:szCs w:val="22"/>
        </w:rPr>
      </w:pPr>
      <w:r w:rsidRPr="00550A49">
        <w:rPr>
          <w:rFonts w:eastAsia="Calibri"/>
          <w:sz w:val="22"/>
          <w:szCs w:val="22"/>
        </w:rPr>
        <w:t>Planar Luminaires, integrated battens &amp; Troffers</w:t>
      </w:r>
    </w:p>
    <w:p w14:paraId="0E2E592D" w14:textId="77777777" w:rsidR="003776C5" w:rsidRPr="00550A49" w:rsidRDefault="003776C5" w:rsidP="00550A49">
      <w:pPr>
        <w:pStyle w:val="E3Bullets"/>
        <w:rPr>
          <w:color w:val="000000"/>
          <w:sz w:val="22"/>
          <w:szCs w:val="22"/>
        </w:rPr>
      </w:pPr>
      <w:r w:rsidRPr="00550A49">
        <w:rPr>
          <w:rFonts w:eastAsia="Calibri"/>
          <w:sz w:val="22"/>
          <w:szCs w:val="22"/>
        </w:rPr>
        <w:t>Large Luminaires (including High / Low Bay integrated Luminaires)</w:t>
      </w:r>
    </w:p>
    <w:p w14:paraId="7FD77C67" w14:textId="490F524C" w:rsidR="00550A49" w:rsidRDefault="003776C5" w:rsidP="00550A49">
      <w:pPr>
        <w:spacing w:after="0" w:line="240" w:lineRule="auto"/>
        <w:ind w:left="360"/>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Where an integrated LED luminaire within scope is supplied with either an:</w:t>
      </w:r>
    </w:p>
    <w:p w14:paraId="66F8D388" w14:textId="77777777" w:rsidR="00550A49" w:rsidRPr="00550A49" w:rsidRDefault="00550A49" w:rsidP="00550A49">
      <w:pPr>
        <w:spacing w:after="0" w:line="240" w:lineRule="auto"/>
        <w:ind w:left="360"/>
        <w:rPr>
          <w:rFonts w:ascii="Calibri" w:eastAsia="Times New Roman" w:hAnsi="Calibri"/>
          <w:noProof w:val="0"/>
          <w:color w:val="000000"/>
          <w:sz w:val="22"/>
          <w:szCs w:val="22"/>
          <w:lang w:eastAsia="en-AU"/>
        </w:rPr>
      </w:pPr>
    </w:p>
    <w:p w14:paraId="1412EA3A" w14:textId="77777777" w:rsidR="003776C5" w:rsidRPr="00550A49" w:rsidRDefault="003776C5" w:rsidP="00550A49">
      <w:pPr>
        <w:pStyle w:val="E3Bullets"/>
        <w:rPr>
          <w:rFonts w:eastAsia="Calibri"/>
          <w:sz w:val="22"/>
          <w:szCs w:val="22"/>
        </w:rPr>
      </w:pPr>
      <w:r w:rsidRPr="00550A49">
        <w:rPr>
          <w:rFonts w:eastAsia="Calibri"/>
          <w:sz w:val="22"/>
          <w:szCs w:val="22"/>
        </w:rPr>
        <w:t>integrated driver; or</w:t>
      </w:r>
    </w:p>
    <w:p w14:paraId="34B0619A" w14:textId="77777777" w:rsidR="003776C5" w:rsidRPr="00550A49" w:rsidRDefault="003776C5" w:rsidP="00550A49">
      <w:pPr>
        <w:pStyle w:val="E3Bullets"/>
        <w:rPr>
          <w:rFonts w:eastAsia="Calibri"/>
          <w:sz w:val="22"/>
          <w:szCs w:val="22"/>
        </w:rPr>
      </w:pPr>
      <w:r w:rsidRPr="00550A49">
        <w:rPr>
          <w:rFonts w:eastAsia="Calibri"/>
          <w:sz w:val="22"/>
          <w:szCs w:val="22"/>
        </w:rPr>
        <w:t>separate driver provided in the same package; or</w:t>
      </w:r>
    </w:p>
    <w:p w14:paraId="6D9D2310" w14:textId="77777777" w:rsidR="003776C5" w:rsidRPr="00550A49" w:rsidRDefault="003776C5" w:rsidP="00550A49">
      <w:pPr>
        <w:pStyle w:val="E3Bullets"/>
        <w:rPr>
          <w:rFonts w:eastAsia="Calibri"/>
          <w:sz w:val="22"/>
          <w:szCs w:val="22"/>
        </w:rPr>
      </w:pPr>
      <w:r w:rsidRPr="00550A49">
        <w:rPr>
          <w:rFonts w:eastAsia="Calibri"/>
          <w:sz w:val="22"/>
          <w:szCs w:val="22"/>
        </w:rPr>
        <w:t>driver supplied in a separate package that is specifically marked to be used with the luminaire;</w:t>
      </w:r>
    </w:p>
    <w:p w14:paraId="40572003" w14:textId="77777777" w:rsidR="003776C5" w:rsidRPr="003776C5" w:rsidRDefault="003776C5" w:rsidP="003776C5">
      <w:pPr>
        <w:spacing w:after="0" w:line="240" w:lineRule="auto"/>
        <w:ind w:left="360"/>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The integrated LED luminaire will be tested with the specific driver for the purpose of demonstrating compliance.</w:t>
      </w:r>
    </w:p>
    <w:p w14:paraId="6973EF06" w14:textId="77777777" w:rsidR="003776C5" w:rsidRPr="003776C5" w:rsidRDefault="003776C5" w:rsidP="003776C5">
      <w:pPr>
        <w:spacing w:after="0" w:line="240" w:lineRule="auto"/>
        <w:ind w:left="360"/>
        <w:rPr>
          <w:rFonts w:ascii="Calibri" w:eastAsia="Times New Roman" w:hAnsi="Calibri"/>
          <w:noProof w:val="0"/>
          <w:color w:val="000000"/>
          <w:sz w:val="22"/>
          <w:szCs w:val="22"/>
          <w:lang w:eastAsia="en-AU"/>
        </w:rPr>
      </w:pPr>
    </w:p>
    <w:p w14:paraId="330ADEAE" w14:textId="72D80502" w:rsidR="003776C5" w:rsidRDefault="003776C5" w:rsidP="00550A49">
      <w:pPr>
        <w:spacing w:after="0" w:line="240" w:lineRule="auto"/>
        <w:ind w:left="360"/>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Where an integrated LED luminaire within scope is not supplied with a driver in one of the configurations specified in the paragraph above, the luminaire will be tested with a nominated driver that is representative of intended drivers for use </w:t>
      </w:r>
      <w:bookmarkStart w:id="92" w:name="_Hlk484692496"/>
      <w:r w:rsidRPr="003776C5">
        <w:rPr>
          <w:rFonts w:ascii="Calibri" w:eastAsia="Times New Roman" w:hAnsi="Calibri"/>
          <w:noProof w:val="0"/>
          <w:color w:val="000000"/>
          <w:sz w:val="22"/>
          <w:szCs w:val="22"/>
          <w:lang w:eastAsia="en-AU"/>
        </w:rPr>
        <w:t xml:space="preserve">in Australia </w:t>
      </w:r>
      <w:bookmarkEnd w:id="92"/>
      <w:r w:rsidRPr="003776C5">
        <w:rPr>
          <w:rFonts w:ascii="Calibri" w:eastAsia="Times New Roman" w:hAnsi="Calibri"/>
          <w:noProof w:val="0"/>
          <w:color w:val="000000"/>
          <w:sz w:val="22"/>
          <w:szCs w:val="22"/>
          <w:lang w:eastAsia="en-AU"/>
        </w:rPr>
        <w:t>with the LED luminaire.  (One of the intended drivers for use in Australia and/or New Zealand will also be nominated for compliance testing purposes).</w:t>
      </w:r>
    </w:p>
    <w:p w14:paraId="6445208D" w14:textId="77777777" w:rsidR="00550A49" w:rsidRPr="003776C5" w:rsidRDefault="00550A49" w:rsidP="00550A49">
      <w:pPr>
        <w:spacing w:after="0" w:line="240" w:lineRule="auto"/>
        <w:ind w:left="360"/>
        <w:rPr>
          <w:rFonts w:ascii="Calibri" w:eastAsia="Times New Roman" w:hAnsi="Calibri"/>
          <w:noProof w:val="0"/>
          <w:color w:val="000000"/>
          <w:sz w:val="22"/>
          <w:szCs w:val="22"/>
          <w:lang w:eastAsia="en-AU"/>
        </w:rPr>
      </w:pPr>
    </w:p>
    <w:p w14:paraId="430D91ED" w14:textId="77777777" w:rsidR="003776C5" w:rsidRPr="003776C5" w:rsidRDefault="003776C5" w:rsidP="003776C5">
      <w:pPr>
        <w:spacing w:after="200" w:line="276"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Decorative style integrated LED luminaires otherwise within scope (see definition below) which have low volume sales of up to {250} annual units, or other limited production run luminaires which have low volume sales of up to 75 annual units are not within scope. Where this upper sales limit is exceeded, the supplier may either withdraw the product from sale; or complete product testing and be able to demonstrate compliance with MEPS). Note - where decorative luminaires are designed with lamp holders rather than an integrated light source, any supplied lamp will be subject to MEPS (in a standard registration process) rather than the entire luminaire.</w:t>
      </w:r>
    </w:p>
    <w:p w14:paraId="5E918FF6" w14:textId="2569FCA8" w:rsidR="003776C5" w:rsidRPr="003776C5" w:rsidRDefault="003776C5" w:rsidP="003776C5">
      <w:pPr>
        <w:spacing w:after="200" w:line="276" w:lineRule="auto"/>
        <w:rPr>
          <w:rFonts w:ascii="Calibri" w:eastAsia="Calibri" w:hAnsi="Calibri"/>
          <w:noProof w:val="0"/>
          <w:sz w:val="22"/>
          <w:szCs w:val="22"/>
          <w:lang w:eastAsia="en-AU"/>
        </w:rPr>
      </w:pPr>
    </w:p>
    <w:p w14:paraId="114CB886" w14:textId="77777777" w:rsidR="003776C5" w:rsidRPr="003776C5" w:rsidRDefault="003776C5" w:rsidP="003776C5">
      <w:pPr>
        <w:keepNext/>
        <w:keepLines/>
        <w:spacing w:before="40" w:after="0" w:line="276" w:lineRule="auto"/>
        <w:outlineLvl w:val="2"/>
        <w:rPr>
          <w:rFonts w:ascii="Cambria" w:eastAsia="Times New Roman" w:hAnsi="Cambria"/>
          <w:noProof w:val="0"/>
          <w:sz w:val="24"/>
        </w:rPr>
      </w:pPr>
      <w:bookmarkStart w:id="93" w:name="_Toc491942543"/>
      <w:r w:rsidRPr="003776C5">
        <w:rPr>
          <w:rFonts w:ascii="Cambria" w:eastAsia="Times New Roman" w:hAnsi="Cambria"/>
          <w:bCs/>
          <w:noProof w:val="0"/>
          <w:color w:val="4F81BD"/>
          <w:sz w:val="26"/>
          <w:szCs w:val="26"/>
        </w:rPr>
        <w:t>Scope Exclusions for LED Lamps and Integrated LED luminaires</w:t>
      </w:r>
      <w:bookmarkEnd w:id="93"/>
    </w:p>
    <w:p w14:paraId="474FA33A" w14:textId="77777777" w:rsidR="003776C5" w:rsidRPr="003776C5" w:rsidRDefault="003776C5" w:rsidP="003776C5">
      <w:pPr>
        <w:spacing w:after="200" w:line="276" w:lineRule="auto"/>
        <w:ind w:left="720"/>
        <w:rPr>
          <w:rFonts w:ascii="Calibri" w:eastAsia="Times New Roman" w:hAnsi="Calibri"/>
          <w:noProof w:val="0"/>
          <w:color w:val="000000"/>
          <w:sz w:val="22"/>
          <w:szCs w:val="22"/>
          <w:lang w:eastAsia="en-AU"/>
        </w:rPr>
      </w:pPr>
    </w:p>
    <w:p w14:paraId="5535CAE6" w14:textId="77777777" w:rsidR="003776C5" w:rsidRPr="003776C5" w:rsidRDefault="003776C5" w:rsidP="003776C5">
      <w:pPr>
        <w:numPr>
          <w:ilvl w:val="0"/>
          <w:numId w:val="19"/>
        </w:numPr>
        <w:spacing w:after="200" w:line="276" w:lineRule="auto"/>
        <w:ind w:left="1440"/>
        <w:contextualSpacing/>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Theatrical luminaires as defined in AS/NZS 60598.2.17:2006</w:t>
      </w:r>
    </w:p>
    <w:p w14:paraId="0BB5C9CD" w14:textId="77777777" w:rsidR="003776C5" w:rsidRPr="003776C5" w:rsidRDefault="003776C5" w:rsidP="003776C5">
      <w:pPr>
        <w:numPr>
          <w:ilvl w:val="1"/>
          <w:numId w:val="19"/>
        </w:numPr>
        <w:spacing w:after="200" w:line="276" w:lineRule="auto"/>
        <w:contextualSpacing/>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Lamps and luminaires compliant with cyanosis observation index and colour temperature requirements of AS/NZS 1680.2.5:1997 Interior lighting Part 2.5: Hospital and Medical tasks, with package marked ‘For Medical Use Only’.</w:t>
      </w:r>
    </w:p>
    <w:p w14:paraId="580B74B2" w14:textId="77777777" w:rsidR="003776C5" w:rsidRPr="003776C5" w:rsidRDefault="003776C5" w:rsidP="003776C5">
      <w:pPr>
        <w:numPr>
          <w:ilvl w:val="0"/>
          <w:numId w:val="19"/>
        </w:numPr>
        <w:spacing w:after="200" w:line="276" w:lineRule="auto"/>
        <w:ind w:left="1440"/>
        <w:contextualSpacing/>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Light source products that are battery operated in their fundamental operating state including:</w:t>
      </w:r>
    </w:p>
    <w:p w14:paraId="4A88A57C" w14:textId="77777777" w:rsidR="003776C5" w:rsidRPr="003776C5" w:rsidRDefault="003776C5" w:rsidP="003776C5">
      <w:pPr>
        <w:numPr>
          <w:ilvl w:val="0"/>
          <w:numId w:val="19"/>
        </w:numPr>
        <w:spacing w:after="200" w:line="276" w:lineRule="auto"/>
        <w:ind w:left="1440"/>
        <w:contextualSpacing/>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Portable luminaires for garden use:  AS/NZS 60598.2.7:2005 (R2016)</w:t>
      </w:r>
    </w:p>
    <w:p w14:paraId="77415132" w14:textId="77777777" w:rsidR="003776C5" w:rsidRPr="003776C5" w:rsidRDefault="003776C5" w:rsidP="003776C5">
      <w:pPr>
        <w:numPr>
          <w:ilvl w:val="0"/>
          <w:numId w:val="19"/>
        </w:numPr>
        <w:spacing w:after="200" w:line="276" w:lineRule="auto"/>
        <w:ind w:left="1440"/>
        <w:contextualSpacing/>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Hand lamps as defined in AS/NZS 60598.2.8:2005</w:t>
      </w:r>
    </w:p>
    <w:p w14:paraId="1FD4F27D" w14:textId="77777777" w:rsidR="003776C5" w:rsidRPr="003776C5" w:rsidRDefault="003776C5" w:rsidP="003776C5">
      <w:pPr>
        <w:numPr>
          <w:ilvl w:val="1"/>
          <w:numId w:val="19"/>
        </w:numPr>
        <w:spacing w:after="200" w:line="276" w:lineRule="auto"/>
        <w:contextualSpacing/>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Portable (non-fixed) luminaires (e.g. desk lamps, standard lamps, Portable general purpose luminaires as defined in AS/NZS 60598.2.4:2005,</w:t>
      </w:r>
      <w:r w:rsidRPr="003776C5">
        <w:rPr>
          <w:rFonts w:ascii="Calibri" w:eastAsia="Calibri" w:hAnsi="Calibri"/>
          <w:noProof w:val="0"/>
          <w:sz w:val="22"/>
          <w:szCs w:val="22"/>
        </w:rPr>
        <w:t xml:space="preserve"> </w:t>
      </w:r>
      <w:r w:rsidRPr="003776C5">
        <w:rPr>
          <w:rFonts w:ascii="Calibri" w:eastAsia="Times New Roman" w:hAnsi="Calibri"/>
          <w:noProof w:val="0"/>
          <w:color w:val="000000"/>
          <w:sz w:val="22"/>
          <w:szCs w:val="22"/>
          <w:lang w:eastAsia="en-AU"/>
        </w:rPr>
        <w:t xml:space="preserve">and portable luminaires for children defined in AS/NZS 60598-2-10) </w:t>
      </w:r>
    </w:p>
    <w:p w14:paraId="47675AAF" w14:textId="77777777" w:rsidR="003776C5" w:rsidRPr="003776C5" w:rsidRDefault="003776C5" w:rsidP="003776C5">
      <w:pPr>
        <w:numPr>
          <w:ilvl w:val="1"/>
          <w:numId w:val="19"/>
        </w:numPr>
        <w:spacing w:after="200" w:line="276" w:lineRule="auto"/>
        <w:contextualSpacing/>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Rope lights and string lights (as defined in AS/NZS 60598.2.20:2002)</w:t>
      </w:r>
      <w:r w:rsidRPr="003776C5">
        <w:rPr>
          <w:rFonts w:ascii="Calibri" w:eastAsia="Calibri" w:hAnsi="Calibri"/>
          <w:noProof w:val="0"/>
          <w:sz w:val="22"/>
          <w:szCs w:val="22"/>
        </w:rPr>
        <w:t xml:space="preserve"> </w:t>
      </w:r>
      <w:r w:rsidRPr="003776C5">
        <w:rPr>
          <w:rFonts w:ascii="Calibri" w:eastAsia="Times New Roman" w:hAnsi="Calibri"/>
          <w:noProof w:val="0"/>
          <w:color w:val="000000"/>
          <w:sz w:val="22"/>
          <w:szCs w:val="22"/>
          <w:lang w:eastAsia="en-AU"/>
        </w:rPr>
        <w:t>or chain lights defined in IEC 60598-2-21 Rope lights as defined in DR AS/NZS 60598.2.21: (2017?)6 and lighting chains as defined in DR AS/NZS 60598.2.20: (2017?)6</w:t>
      </w:r>
    </w:p>
    <w:p w14:paraId="630ECB08" w14:textId="77777777" w:rsidR="003776C5" w:rsidRPr="003776C5" w:rsidRDefault="003776C5" w:rsidP="003776C5">
      <w:pPr>
        <w:numPr>
          <w:ilvl w:val="0"/>
          <w:numId w:val="19"/>
        </w:numPr>
        <w:spacing w:after="200" w:line="276" w:lineRule="auto"/>
        <w:ind w:left="1440"/>
        <w:contextualSpacing/>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Non-maintained emergency escape lighting luminaires and illuminated emergency exit signs (as defined in AS/NZS 60598.2.22)</w:t>
      </w:r>
    </w:p>
    <w:p w14:paraId="498FDB7B" w14:textId="77777777" w:rsidR="003776C5" w:rsidRPr="003776C5" w:rsidRDefault="003776C5" w:rsidP="003776C5">
      <w:pPr>
        <w:numPr>
          <w:ilvl w:val="0"/>
          <w:numId w:val="19"/>
        </w:numPr>
        <w:spacing w:after="200" w:line="276" w:lineRule="auto"/>
        <w:ind w:left="1440"/>
        <w:contextualSpacing/>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Outdoor luminaires as defined in IEC 60598-2-5 with an ingress protection rating of IP65 and above</w:t>
      </w:r>
    </w:p>
    <w:p w14:paraId="2EE3D4E7" w14:textId="77777777" w:rsidR="003776C5" w:rsidRPr="003776C5" w:rsidRDefault="003776C5" w:rsidP="003776C5">
      <w:pPr>
        <w:numPr>
          <w:ilvl w:val="0"/>
          <w:numId w:val="19"/>
        </w:numPr>
        <w:spacing w:after="200" w:line="276" w:lineRule="auto"/>
        <w:ind w:left="1440"/>
        <w:contextualSpacing/>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Road and public space lighting luminaires (as defined in AS/NZS 1158.0).</w:t>
      </w:r>
    </w:p>
    <w:p w14:paraId="756B65E0" w14:textId="77777777" w:rsidR="003776C5" w:rsidRPr="003776C5" w:rsidRDefault="003776C5" w:rsidP="003776C5">
      <w:pPr>
        <w:numPr>
          <w:ilvl w:val="1"/>
          <w:numId w:val="19"/>
        </w:numPr>
        <w:spacing w:after="200" w:line="276" w:lineRule="auto"/>
        <w:contextualSpacing/>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Wall luminaires with up/down lighting of beam angles less than 30 degrees and less than 500lm in either direction (i.e. up or down)</w:t>
      </w:r>
    </w:p>
    <w:p w14:paraId="343038EA" w14:textId="77777777" w:rsidR="003776C5" w:rsidRPr="003776C5" w:rsidRDefault="003776C5" w:rsidP="003776C5">
      <w:pPr>
        <w:numPr>
          <w:ilvl w:val="1"/>
          <w:numId w:val="19"/>
        </w:numPr>
        <w:spacing w:after="200" w:line="276" w:lineRule="auto"/>
        <w:contextualSpacing/>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Integrated luminaires incorporated into furniture as defined in</w:t>
      </w:r>
      <w:r w:rsidRPr="003776C5">
        <w:rPr>
          <w:rFonts w:ascii="Calibri" w:eastAsia="Calibri" w:hAnsi="Calibri"/>
          <w:noProof w:val="0"/>
          <w:sz w:val="22"/>
          <w:szCs w:val="22"/>
        </w:rPr>
        <w:t xml:space="preserve"> </w:t>
      </w:r>
      <w:r w:rsidRPr="003776C5">
        <w:rPr>
          <w:rFonts w:ascii="Calibri" w:eastAsia="Times New Roman" w:hAnsi="Calibri"/>
          <w:noProof w:val="0"/>
          <w:color w:val="000000"/>
          <w:sz w:val="22"/>
          <w:szCs w:val="22"/>
          <w:lang w:eastAsia="en-AU"/>
        </w:rPr>
        <w:t xml:space="preserve">IEC 60364-7-713 ED. 2.0 Low-voltage electrical installations Part 7-713: Requirements for special installations or locations - Furniture (but not exclude lamps imported with furniture) </w:t>
      </w:r>
    </w:p>
    <w:p w14:paraId="39042A45" w14:textId="77777777" w:rsidR="003776C5" w:rsidRPr="003776C5" w:rsidRDefault="003776C5" w:rsidP="003776C5">
      <w:pPr>
        <w:keepNext/>
        <w:keepLines/>
        <w:spacing w:before="200" w:after="0" w:line="276" w:lineRule="auto"/>
        <w:outlineLvl w:val="1"/>
        <w:rPr>
          <w:rFonts w:ascii="Cambria" w:eastAsia="Times New Roman" w:hAnsi="Cambria"/>
          <w:bCs/>
          <w:noProof w:val="0"/>
          <w:color w:val="4F81BD"/>
          <w:sz w:val="26"/>
          <w:szCs w:val="26"/>
        </w:rPr>
      </w:pPr>
      <w:bookmarkStart w:id="94" w:name="_Toc491942544"/>
      <w:r w:rsidRPr="003776C5">
        <w:rPr>
          <w:rFonts w:ascii="Cambria" w:eastAsia="Times New Roman" w:hAnsi="Cambria"/>
          <w:bCs/>
          <w:noProof w:val="0"/>
          <w:color w:val="4F81BD"/>
          <w:sz w:val="26"/>
          <w:szCs w:val="26"/>
        </w:rPr>
        <w:t>Definition</w:t>
      </w:r>
      <w:bookmarkEnd w:id="94"/>
    </w:p>
    <w:p w14:paraId="6FD67AEC" w14:textId="77777777" w:rsidR="003776C5" w:rsidRPr="003776C5" w:rsidRDefault="003776C5" w:rsidP="003776C5">
      <w:pPr>
        <w:spacing w:after="200" w:line="276" w:lineRule="auto"/>
        <w:rPr>
          <w:rFonts w:ascii="Calibri" w:eastAsia="Times New Roman" w:hAnsi="Calibri"/>
          <w:b/>
          <w:i/>
          <w:noProof w:val="0"/>
          <w:color w:val="000000"/>
          <w:sz w:val="22"/>
          <w:szCs w:val="22"/>
          <w:lang w:eastAsia="en-AU"/>
        </w:rPr>
      </w:pPr>
      <w:r w:rsidRPr="003776C5">
        <w:rPr>
          <w:rFonts w:ascii="Calibri" w:eastAsia="Times New Roman" w:hAnsi="Calibri"/>
          <w:b/>
          <w:i/>
          <w:noProof w:val="0"/>
          <w:color w:val="000000"/>
          <w:sz w:val="22"/>
          <w:szCs w:val="22"/>
          <w:lang w:eastAsia="en-AU"/>
        </w:rPr>
        <w:t>Light Emitting Diode (LED)</w:t>
      </w:r>
      <w:r w:rsidRPr="003776C5">
        <w:rPr>
          <w:rFonts w:ascii="Calibri" w:eastAsia="Times New Roman" w:hAnsi="Calibri"/>
          <w:noProof w:val="0"/>
          <w:color w:val="000000"/>
          <w:sz w:val="22"/>
          <w:szCs w:val="22"/>
          <w:lang w:eastAsia="en-AU"/>
        </w:rPr>
        <w:t>: a PN junction semiconductor device that, by spontaneous emission, emits incoherent optical radiation by injecting electrons and/or holes across the PN junction.</w:t>
      </w:r>
    </w:p>
    <w:p w14:paraId="1236921E" w14:textId="77777777" w:rsidR="003776C5" w:rsidRPr="003776C5" w:rsidRDefault="003776C5" w:rsidP="003776C5">
      <w:pPr>
        <w:spacing w:after="200" w:line="276" w:lineRule="auto"/>
        <w:rPr>
          <w:rFonts w:ascii="Calibri" w:eastAsia="Times New Roman" w:hAnsi="Calibri"/>
          <w:b/>
          <w:i/>
          <w:noProof w:val="0"/>
          <w:color w:val="000000"/>
          <w:sz w:val="22"/>
          <w:szCs w:val="22"/>
          <w:lang w:eastAsia="en-AU"/>
        </w:rPr>
      </w:pPr>
      <w:r w:rsidRPr="003776C5">
        <w:rPr>
          <w:rFonts w:ascii="Calibri" w:eastAsia="Times New Roman" w:hAnsi="Calibri"/>
          <w:b/>
          <w:i/>
          <w:noProof w:val="0"/>
          <w:color w:val="000000"/>
          <w:sz w:val="22"/>
          <w:szCs w:val="22"/>
          <w:lang w:eastAsia="en-AU"/>
        </w:rPr>
        <w:t>Integrated LED Luminaire</w:t>
      </w:r>
    </w:p>
    <w:p w14:paraId="52904F68" w14:textId="77777777" w:rsidR="003776C5" w:rsidRPr="003776C5" w:rsidRDefault="003776C5" w:rsidP="003776C5">
      <w:pPr>
        <w:spacing w:after="200" w:line="276"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Luminaire that:</w:t>
      </w:r>
    </w:p>
    <w:p w14:paraId="05431FB4" w14:textId="77777777" w:rsidR="003776C5" w:rsidRPr="003776C5" w:rsidRDefault="003776C5" w:rsidP="003776C5">
      <w:pPr>
        <w:numPr>
          <w:ilvl w:val="0"/>
          <w:numId w:val="29"/>
        </w:numPr>
        <w:spacing w:after="200" w:line="276" w:lineRule="auto"/>
        <w:contextualSpacing/>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satisfies Type A or Type B LED luminaires specified in the scope of IEC 62722.2.1; or</w:t>
      </w:r>
    </w:p>
    <w:p w14:paraId="7B23E479" w14:textId="77777777" w:rsidR="003776C5" w:rsidRPr="003776C5" w:rsidRDefault="003776C5" w:rsidP="003776C5">
      <w:pPr>
        <w:numPr>
          <w:ilvl w:val="0"/>
          <w:numId w:val="29"/>
        </w:numPr>
        <w:spacing w:after="200" w:line="276" w:lineRule="auto"/>
        <w:contextualSpacing/>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uses individual LED packages in place of a LED module</w:t>
      </w:r>
    </w:p>
    <w:p w14:paraId="2B00FCFB" w14:textId="77777777" w:rsidR="003776C5" w:rsidRPr="003776C5" w:rsidRDefault="003776C5" w:rsidP="003776C5">
      <w:pPr>
        <w:numPr>
          <w:ilvl w:val="0"/>
          <w:numId w:val="29"/>
        </w:numPr>
        <w:spacing w:after="200" w:line="276" w:lineRule="auto"/>
        <w:contextualSpacing/>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and does not include IEC standardised lamp holders</w:t>
      </w:r>
    </w:p>
    <w:p w14:paraId="5FF5E8F2" w14:textId="77777777" w:rsidR="003776C5" w:rsidRPr="003776C5" w:rsidRDefault="003776C5" w:rsidP="003776C5">
      <w:pPr>
        <w:spacing w:after="200" w:line="276" w:lineRule="auto"/>
        <w:rPr>
          <w:rFonts w:ascii="Calibri" w:eastAsia="Times New Roman" w:hAnsi="Calibri"/>
          <w:b/>
          <w:i/>
          <w:noProof w:val="0"/>
          <w:color w:val="000000"/>
          <w:sz w:val="22"/>
          <w:szCs w:val="22"/>
          <w:lang w:eastAsia="en-AU"/>
        </w:rPr>
      </w:pPr>
    </w:p>
    <w:p w14:paraId="77F67BDB" w14:textId="77777777" w:rsidR="003776C5" w:rsidRPr="003776C5" w:rsidRDefault="003776C5" w:rsidP="003776C5">
      <w:pPr>
        <w:spacing w:after="200" w:line="276" w:lineRule="auto"/>
        <w:rPr>
          <w:rFonts w:ascii="Calibri" w:eastAsia="Calibri" w:hAnsi="Calibri"/>
          <w:b/>
          <w:i/>
          <w:noProof w:val="0"/>
          <w:sz w:val="22"/>
          <w:szCs w:val="22"/>
        </w:rPr>
      </w:pPr>
      <w:r w:rsidRPr="003776C5">
        <w:rPr>
          <w:rFonts w:ascii="Calibri" w:eastAsia="Times New Roman" w:hAnsi="Calibri"/>
          <w:b/>
          <w:i/>
          <w:noProof w:val="0"/>
          <w:color w:val="000000"/>
          <w:sz w:val="22"/>
          <w:szCs w:val="22"/>
          <w:lang w:eastAsia="en-AU"/>
        </w:rPr>
        <w:t>Decorative style integrated LED luminaire</w:t>
      </w:r>
    </w:p>
    <w:p w14:paraId="45FA68A2" w14:textId="630A0620" w:rsidR="003776C5" w:rsidRPr="003776C5" w:rsidRDefault="003776C5" w:rsidP="003776C5">
      <w:pPr>
        <w:spacing w:after="200" w:line="276" w:lineRule="auto"/>
        <w:rPr>
          <w:rFonts w:ascii="Calibri" w:eastAsia="Calibri" w:hAnsi="Calibri"/>
          <w:noProof w:val="0"/>
          <w:sz w:val="22"/>
          <w:szCs w:val="22"/>
        </w:rPr>
      </w:pPr>
      <w:r w:rsidRPr="003776C5">
        <w:rPr>
          <w:rFonts w:ascii="Calibri" w:eastAsia="Calibri" w:hAnsi="Calibri"/>
          <w:noProof w:val="0"/>
          <w:sz w:val="22"/>
          <w:szCs w:val="22"/>
        </w:rPr>
        <w:t>Integrated LED luminaires which are primarily designed for their lighted as well as their unlighted appearance and aesthetic contribution to the space.  Such luminaires are typically intended for use where a decorative accent or an aesthetic appearance, not a specified amount of luminaire light output, is desired.  The light output of decorative luminaires is typically not intended to independently illuminate a space or a task. (Based on NEMA Lighting Systems Division &amp; American Lighting Association Joint Document: LSD 51-2009)</w:t>
      </w:r>
      <w:r w:rsidRPr="003776C5">
        <w:rPr>
          <w:rFonts w:ascii="Calibri" w:eastAsia="Calibri" w:hAnsi="Calibri"/>
          <w:noProof w:val="0"/>
          <w:sz w:val="22"/>
          <w:szCs w:val="22"/>
          <w:vertAlign w:val="superscript"/>
        </w:rPr>
        <w:footnoteReference w:id="14"/>
      </w:r>
    </w:p>
    <w:p w14:paraId="328CF43B" w14:textId="77777777" w:rsidR="003776C5" w:rsidRPr="003776C5" w:rsidRDefault="003776C5" w:rsidP="003776C5">
      <w:pPr>
        <w:spacing w:after="200" w:line="276" w:lineRule="auto"/>
        <w:rPr>
          <w:rFonts w:ascii="Calibri" w:eastAsia="Calibri" w:hAnsi="Calibri"/>
          <w:noProof w:val="0"/>
          <w:sz w:val="22"/>
          <w:szCs w:val="22"/>
        </w:rPr>
      </w:pPr>
      <w:r w:rsidRPr="003776C5">
        <w:rPr>
          <w:rFonts w:ascii="Calibri" w:eastAsia="Calibri" w:hAnsi="Calibri"/>
          <w:noProof w:val="0"/>
          <w:sz w:val="22"/>
          <w:szCs w:val="22"/>
        </w:rPr>
        <w:t>Note: a photometric quantification of this definition is under investigation for small (residential) decorative luminaires and large (non-residential) decorative luminaires.</w:t>
      </w:r>
    </w:p>
    <w:p w14:paraId="64824C0E" w14:textId="77777777" w:rsidR="003776C5" w:rsidRPr="003776C5" w:rsidRDefault="003776C5" w:rsidP="003776C5">
      <w:pPr>
        <w:keepNext/>
        <w:keepLines/>
        <w:spacing w:before="200" w:after="0" w:line="276" w:lineRule="auto"/>
        <w:outlineLvl w:val="1"/>
        <w:rPr>
          <w:rFonts w:ascii="Cambria" w:eastAsia="Times New Roman" w:hAnsi="Cambria"/>
          <w:bCs/>
          <w:noProof w:val="0"/>
          <w:color w:val="4F81BD"/>
          <w:sz w:val="26"/>
          <w:szCs w:val="26"/>
        </w:rPr>
      </w:pPr>
      <w:bookmarkStart w:id="95" w:name="_Toc491942545"/>
      <w:r w:rsidRPr="003776C5">
        <w:rPr>
          <w:rFonts w:ascii="Cambria" w:eastAsia="Times New Roman" w:hAnsi="Cambria"/>
          <w:bCs/>
          <w:noProof w:val="0"/>
          <w:color w:val="4F81BD"/>
          <w:sz w:val="26"/>
          <w:szCs w:val="26"/>
        </w:rPr>
        <w:t>Product Families for Registration</w:t>
      </w:r>
      <w:bookmarkEnd w:id="95"/>
    </w:p>
    <w:p w14:paraId="75ACA001" w14:textId="77777777" w:rsidR="003776C5" w:rsidRPr="003776C5" w:rsidRDefault="003776C5" w:rsidP="003776C5">
      <w:pPr>
        <w:spacing w:after="200" w:line="276" w:lineRule="auto"/>
        <w:rPr>
          <w:rFonts w:ascii="Calibri" w:eastAsia="Calibri" w:hAnsi="Calibri"/>
          <w:b/>
          <w:noProof w:val="0"/>
          <w:sz w:val="22"/>
          <w:szCs w:val="22"/>
        </w:rPr>
      </w:pPr>
      <w:r w:rsidRPr="003776C5">
        <w:rPr>
          <w:rFonts w:ascii="Calibri" w:eastAsia="Calibri" w:hAnsi="Calibri"/>
          <w:b/>
          <w:noProof w:val="0"/>
          <w:sz w:val="22"/>
          <w:szCs w:val="22"/>
        </w:rPr>
        <w:t>LED Lamps</w:t>
      </w:r>
    </w:p>
    <w:p w14:paraId="7A834E48" w14:textId="77777777" w:rsidR="003776C5" w:rsidRPr="003776C5" w:rsidRDefault="003776C5" w:rsidP="003776C5">
      <w:pPr>
        <w:spacing w:after="200" w:line="276" w:lineRule="auto"/>
        <w:rPr>
          <w:rFonts w:ascii="Calibri" w:eastAsia="Calibri" w:hAnsi="Calibri"/>
          <w:noProof w:val="0"/>
          <w:sz w:val="22"/>
          <w:szCs w:val="22"/>
        </w:rPr>
      </w:pPr>
      <w:r w:rsidRPr="003776C5">
        <w:rPr>
          <w:rFonts w:ascii="Calibri" w:eastAsia="Calibri" w:hAnsi="Calibri"/>
          <w:noProof w:val="0"/>
          <w:sz w:val="22"/>
          <w:szCs w:val="22"/>
        </w:rPr>
        <w:t>(1) Two or more models (up to 75) from a single product class may be registered in the same family of models, when the models:</w:t>
      </w:r>
    </w:p>
    <w:p w14:paraId="1A5F0D2E" w14:textId="663DD2FE" w:rsidR="003776C5" w:rsidRPr="003776C5" w:rsidRDefault="003776C5" w:rsidP="003776C5">
      <w:pPr>
        <w:spacing w:after="200" w:line="276" w:lineRule="auto"/>
        <w:rPr>
          <w:rFonts w:ascii="Calibri" w:eastAsia="Calibri" w:hAnsi="Calibri"/>
          <w:noProof w:val="0"/>
          <w:sz w:val="22"/>
          <w:szCs w:val="22"/>
        </w:rPr>
      </w:pPr>
      <w:r w:rsidRPr="003776C5">
        <w:rPr>
          <w:rFonts w:ascii="Calibri" w:eastAsia="Calibri" w:hAnsi="Calibri"/>
          <w:noProof w:val="0"/>
          <w:sz w:val="22"/>
          <w:szCs w:val="22"/>
        </w:rPr>
        <w:t>(a)</w:t>
      </w:r>
      <w:r w:rsidR="00A05028">
        <w:rPr>
          <w:rFonts w:ascii="Calibri" w:eastAsia="Calibri" w:hAnsi="Calibri"/>
          <w:noProof w:val="0"/>
          <w:sz w:val="22"/>
          <w:szCs w:val="22"/>
        </w:rPr>
        <w:tab/>
      </w:r>
      <w:r w:rsidRPr="003776C5">
        <w:rPr>
          <w:rFonts w:ascii="Calibri" w:eastAsia="Calibri" w:hAnsi="Calibri"/>
          <w:noProof w:val="0"/>
          <w:sz w:val="22"/>
          <w:szCs w:val="22"/>
        </w:rPr>
        <w:t xml:space="preserve">Are of a single brand; </w:t>
      </w:r>
    </w:p>
    <w:p w14:paraId="4B895C47" w14:textId="357A3920" w:rsidR="003776C5" w:rsidRPr="003776C5" w:rsidRDefault="003776C5" w:rsidP="003776C5">
      <w:pPr>
        <w:spacing w:after="200" w:line="276" w:lineRule="auto"/>
        <w:rPr>
          <w:rFonts w:ascii="Calibri" w:eastAsia="Calibri" w:hAnsi="Calibri"/>
          <w:noProof w:val="0"/>
          <w:sz w:val="22"/>
          <w:szCs w:val="22"/>
        </w:rPr>
      </w:pPr>
      <w:r w:rsidRPr="003776C5">
        <w:rPr>
          <w:rFonts w:ascii="Calibri" w:eastAsia="Calibri" w:hAnsi="Calibri"/>
          <w:noProof w:val="0"/>
          <w:sz w:val="22"/>
          <w:szCs w:val="22"/>
        </w:rPr>
        <w:t>(b)</w:t>
      </w:r>
      <w:r w:rsidR="00A05028">
        <w:rPr>
          <w:rFonts w:ascii="Calibri" w:eastAsia="Calibri" w:hAnsi="Calibri"/>
          <w:noProof w:val="0"/>
          <w:sz w:val="22"/>
          <w:szCs w:val="22"/>
        </w:rPr>
        <w:tab/>
      </w:r>
      <w:r w:rsidRPr="003776C5">
        <w:rPr>
          <w:rFonts w:ascii="Calibri" w:eastAsia="Calibri" w:hAnsi="Calibri"/>
          <w:noProof w:val="0"/>
          <w:sz w:val="22"/>
          <w:szCs w:val="22"/>
        </w:rPr>
        <w:t>Rely on the one test report (or the test report of the least efficient family member where (e) applies) that sets out the results of testing conducted in accordance with the Determination;</w:t>
      </w:r>
    </w:p>
    <w:p w14:paraId="6FA5DCF7" w14:textId="118E1378" w:rsidR="003776C5" w:rsidRPr="003776C5" w:rsidRDefault="003776C5" w:rsidP="003776C5">
      <w:pPr>
        <w:spacing w:after="200" w:line="276" w:lineRule="auto"/>
        <w:rPr>
          <w:rFonts w:ascii="Calibri" w:eastAsia="Calibri" w:hAnsi="Calibri"/>
          <w:noProof w:val="0"/>
          <w:sz w:val="22"/>
          <w:szCs w:val="22"/>
        </w:rPr>
      </w:pPr>
      <w:r w:rsidRPr="003776C5">
        <w:rPr>
          <w:rFonts w:ascii="Calibri" w:eastAsia="Calibri" w:hAnsi="Calibri"/>
          <w:noProof w:val="0"/>
          <w:sz w:val="22"/>
          <w:szCs w:val="22"/>
        </w:rPr>
        <w:t>(c)</w:t>
      </w:r>
      <w:r w:rsidR="00A05028">
        <w:rPr>
          <w:rFonts w:ascii="Calibri" w:eastAsia="Calibri" w:hAnsi="Calibri"/>
          <w:noProof w:val="0"/>
          <w:sz w:val="22"/>
          <w:szCs w:val="22"/>
        </w:rPr>
        <w:tab/>
      </w:r>
      <w:r w:rsidRPr="003776C5">
        <w:rPr>
          <w:rFonts w:ascii="Calibri" w:eastAsia="Calibri" w:hAnsi="Calibri"/>
          <w:noProof w:val="0"/>
          <w:sz w:val="22"/>
          <w:szCs w:val="22"/>
        </w:rPr>
        <w:t xml:space="preserve">Have the same physical characteristics that are relevant to complying with the Determination, including, but not limited to, the following: overall size, geometric form factor; and any other dimensions, components or component arrangements that may affect performance.  However models within the same family may have different minor physical characteristics (that do not affect energy performance), for example: </w:t>
      </w:r>
    </w:p>
    <w:p w14:paraId="491AF361" w14:textId="77777777" w:rsidR="003776C5" w:rsidRPr="003776C5" w:rsidRDefault="003776C5" w:rsidP="003776C5">
      <w:pPr>
        <w:numPr>
          <w:ilvl w:val="0"/>
          <w:numId w:val="28"/>
        </w:numPr>
        <w:spacing w:after="160" w:line="259" w:lineRule="auto"/>
        <w:contextualSpacing/>
        <w:rPr>
          <w:rFonts w:ascii="Calibri" w:eastAsia="Calibri" w:hAnsi="Calibri"/>
          <w:noProof w:val="0"/>
          <w:sz w:val="22"/>
          <w:szCs w:val="22"/>
        </w:rPr>
      </w:pPr>
      <w:r w:rsidRPr="003776C5">
        <w:rPr>
          <w:rFonts w:ascii="Calibri" w:eastAsia="Calibri" w:hAnsi="Calibri"/>
          <w:noProof w:val="0"/>
          <w:sz w:val="22"/>
          <w:szCs w:val="22"/>
        </w:rPr>
        <w:t>different lamp caps/ cap sizes (lamp size variations attributable to lamp cap variation permitted)</w:t>
      </w:r>
    </w:p>
    <w:p w14:paraId="29F7AFA0" w14:textId="77777777" w:rsidR="003776C5" w:rsidRPr="003776C5" w:rsidRDefault="003776C5" w:rsidP="003776C5">
      <w:pPr>
        <w:numPr>
          <w:ilvl w:val="0"/>
          <w:numId w:val="28"/>
        </w:numPr>
        <w:spacing w:after="160" w:line="259" w:lineRule="auto"/>
        <w:contextualSpacing/>
        <w:rPr>
          <w:rFonts w:ascii="Calibri" w:eastAsia="Calibri" w:hAnsi="Calibri"/>
          <w:noProof w:val="0"/>
          <w:sz w:val="22"/>
          <w:szCs w:val="22"/>
        </w:rPr>
      </w:pPr>
      <w:r w:rsidRPr="003776C5">
        <w:rPr>
          <w:rFonts w:ascii="Calibri" w:eastAsia="Calibri" w:hAnsi="Calibri"/>
          <w:noProof w:val="0"/>
          <w:sz w:val="22"/>
          <w:szCs w:val="22"/>
        </w:rPr>
        <w:t>shape of the outer glass or plastic lamp cover.</w:t>
      </w:r>
    </w:p>
    <w:p w14:paraId="1E19495F" w14:textId="77777777" w:rsidR="003776C5" w:rsidRPr="003776C5" w:rsidRDefault="003776C5" w:rsidP="003776C5">
      <w:pPr>
        <w:numPr>
          <w:ilvl w:val="0"/>
          <w:numId w:val="28"/>
        </w:numPr>
        <w:spacing w:after="160" w:line="259" w:lineRule="auto"/>
        <w:contextualSpacing/>
        <w:rPr>
          <w:rFonts w:ascii="Calibri" w:eastAsia="Calibri" w:hAnsi="Calibri"/>
          <w:noProof w:val="0"/>
          <w:sz w:val="22"/>
          <w:szCs w:val="22"/>
        </w:rPr>
      </w:pPr>
      <w:r w:rsidRPr="003776C5">
        <w:rPr>
          <w:rFonts w:ascii="Calibri" w:eastAsia="Calibri" w:hAnsi="Calibri"/>
          <w:noProof w:val="0"/>
          <w:sz w:val="22"/>
          <w:szCs w:val="22"/>
        </w:rPr>
        <w:t>colour or other surface variations to casing areas other than changes to the reflectivity or diffusers of the light emitting components of the product</w:t>
      </w:r>
    </w:p>
    <w:p w14:paraId="4B20767C" w14:textId="77777777" w:rsidR="003776C5" w:rsidRPr="003776C5" w:rsidRDefault="003776C5" w:rsidP="003776C5">
      <w:pPr>
        <w:numPr>
          <w:ilvl w:val="0"/>
          <w:numId w:val="28"/>
        </w:numPr>
        <w:spacing w:after="160" w:line="259" w:lineRule="auto"/>
        <w:contextualSpacing/>
        <w:rPr>
          <w:rFonts w:ascii="Calibri" w:eastAsia="Calibri" w:hAnsi="Calibri"/>
          <w:noProof w:val="0"/>
          <w:sz w:val="22"/>
          <w:szCs w:val="22"/>
        </w:rPr>
      </w:pPr>
      <w:r w:rsidRPr="003776C5">
        <w:rPr>
          <w:rFonts w:ascii="Calibri" w:eastAsia="Calibri" w:hAnsi="Calibri"/>
          <w:noProof w:val="0"/>
          <w:sz w:val="22"/>
          <w:szCs w:val="22"/>
        </w:rPr>
        <w:t>an application may include either clear lamps/diffusers and frosted/pearl;</w:t>
      </w:r>
    </w:p>
    <w:p w14:paraId="376E5CFF" w14:textId="00EDE2D4" w:rsidR="003776C5" w:rsidRPr="003776C5" w:rsidRDefault="003776C5" w:rsidP="003776C5">
      <w:pPr>
        <w:spacing w:after="200" w:line="276" w:lineRule="auto"/>
        <w:rPr>
          <w:rFonts w:ascii="Calibri" w:eastAsia="Calibri" w:hAnsi="Calibri"/>
          <w:noProof w:val="0"/>
          <w:sz w:val="22"/>
          <w:szCs w:val="22"/>
        </w:rPr>
      </w:pPr>
      <w:r w:rsidRPr="003776C5">
        <w:rPr>
          <w:rFonts w:ascii="Calibri" w:eastAsia="Calibri" w:hAnsi="Calibri"/>
          <w:noProof w:val="0"/>
          <w:sz w:val="22"/>
          <w:szCs w:val="22"/>
        </w:rPr>
        <w:t>(d)</w:t>
      </w:r>
      <w:r w:rsidR="00A05028">
        <w:rPr>
          <w:rFonts w:ascii="Calibri" w:eastAsia="Calibri" w:hAnsi="Calibri"/>
          <w:noProof w:val="0"/>
          <w:sz w:val="22"/>
          <w:szCs w:val="22"/>
        </w:rPr>
        <w:tab/>
      </w:r>
      <w:r w:rsidRPr="003776C5">
        <w:rPr>
          <w:rFonts w:ascii="Calibri" w:eastAsia="Calibri" w:hAnsi="Calibri"/>
          <w:noProof w:val="0"/>
          <w:sz w:val="22"/>
          <w:szCs w:val="22"/>
        </w:rPr>
        <w:t>Have the same performance characteristics that are relevant to complying with minimum performance specifications set out in the Determination, including, but not limited to, the following:</w:t>
      </w:r>
    </w:p>
    <w:p w14:paraId="1FF27655" w14:textId="71FFD549" w:rsidR="003776C5" w:rsidRPr="003776C5" w:rsidRDefault="003776C5" w:rsidP="003776C5">
      <w:pPr>
        <w:spacing w:after="200" w:line="276" w:lineRule="auto"/>
        <w:ind w:left="720"/>
        <w:rPr>
          <w:rFonts w:ascii="Calibri" w:eastAsia="Calibri" w:hAnsi="Calibri"/>
          <w:noProof w:val="0"/>
          <w:sz w:val="22"/>
          <w:szCs w:val="22"/>
        </w:rPr>
      </w:pPr>
      <w:r w:rsidRPr="003776C5">
        <w:rPr>
          <w:rFonts w:ascii="Calibri" w:eastAsia="Calibri" w:hAnsi="Calibri"/>
          <w:noProof w:val="0"/>
          <w:sz w:val="22"/>
          <w:szCs w:val="22"/>
        </w:rPr>
        <w:t>(i)</w:t>
      </w:r>
      <w:r w:rsidR="00A05028">
        <w:rPr>
          <w:rFonts w:ascii="Calibri" w:eastAsia="Calibri" w:hAnsi="Calibri"/>
          <w:noProof w:val="0"/>
          <w:sz w:val="22"/>
          <w:szCs w:val="22"/>
        </w:rPr>
        <w:tab/>
      </w:r>
      <w:r w:rsidRPr="003776C5">
        <w:rPr>
          <w:rFonts w:ascii="Calibri" w:eastAsia="Calibri" w:hAnsi="Calibri"/>
          <w:noProof w:val="0"/>
          <w:sz w:val="22"/>
          <w:szCs w:val="22"/>
        </w:rPr>
        <w:t>efficacy; and</w:t>
      </w:r>
    </w:p>
    <w:p w14:paraId="33B27099" w14:textId="784DDEA9" w:rsidR="003776C5" w:rsidRPr="003776C5" w:rsidRDefault="003776C5" w:rsidP="003776C5">
      <w:pPr>
        <w:spacing w:after="200" w:line="276" w:lineRule="auto"/>
        <w:ind w:left="720"/>
        <w:rPr>
          <w:rFonts w:ascii="Calibri" w:eastAsia="Calibri" w:hAnsi="Calibri"/>
          <w:noProof w:val="0"/>
          <w:sz w:val="22"/>
          <w:szCs w:val="22"/>
        </w:rPr>
      </w:pPr>
      <w:r w:rsidRPr="003776C5">
        <w:rPr>
          <w:rFonts w:ascii="Calibri" w:eastAsia="Calibri" w:hAnsi="Calibri"/>
          <w:noProof w:val="0"/>
          <w:sz w:val="22"/>
          <w:szCs w:val="22"/>
        </w:rPr>
        <w:t>(ii)</w:t>
      </w:r>
      <w:r w:rsidR="00A05028">
        <w:rPr>
          <w:rFonts w:ascii="Calibri" w:eastAsia="Calibri" w:hAnsi="Calibri"/>
          <w:noProof w:val="0"/>
          <w:sz w:val="22"/>
          <w:szCs w:val="22"/>
        </w:rPr>
        <w:tab/>
      </w:r>
      <w:r w:rsidRPr="003776C5">
        <w:rPr>
          <w:rFonts w:ascii="Calibri" w:eastAsia="Calibri" w:hAnsi="Calibri"/>
          <w:noProof w:val="0"/>
          <w:sz w:val="22"/>
          <w:szCs w:val="22"/>
        </w:rPr>
        <w:t>wattage.</w:t>
      </w:r>
    </w:p>
    <w:p w14:paraId="5F966FA0" w14:textId="2B4A5339" w:rsidR="003776C5" w:rsidRPr="003776C5" w:rsidRDefault="00A05028" w:rsidP="003776C5">
      <w:pPr>
        <w:spacing w:after="200" w:line="276" w:lineRule="auto"/>
        <w:ind w:left="720"/>
        <w:rPr>
          <w:rFonts w:ascii="Calibri" w:eastAsia="Calibri" w:hAnsi="Calibri"/>
          <w:noProof w:val="0"/>
          <w:sz w:val="22"/>
          <w:szCs w:val="22"/>
        </w:rPr>
      </w:pPr>
      <w:r>
        <w:rPr>
          <w:rFonts w:ascii="Calibri" w:eastAsia="Calibri" w:hAnsi="Calibri"/>
          <w:noProof w:val="0"/>
          <w:sz w:val="22"/>
          <w:szCs w:val="22"/>
        </w:rPr>
        <w:t>(iii)</w:t>
      </w:r>
      <w:r>
        <w:rPr>
          <w:rFonts w:ascii="Calibri" w:eastAsia="Calibri" w:hAnsi="Calibri"/>
          <w:noProof w:val="0"/>
          <w:sz w:val="22"/>
          <w:szCs w:val="22"/>
        </w:rPr>
        <w:tab/>
      </w:r>
      <w:r w:rsidR="003776C5" w:rsidRPr="003776C5">
        <w:rPr>
          <w:rFonts w:ascii="Calibri" w:eastAsia="Calibri" w:hAnsi="Calibri"/>
          <w:noProof w:val="0"/>
          <w:sz w:val="22"/>
          <w:szCs w:val="22"/>
        </w:rPr>
        <w:t>voltage</w:t>
      </w:r>
    </w:p>
    <w:p w14:paraId="2945495C" w14:textId="77777777" w:rsidR="003776C5" w:rsidRPr="003776C5" w:rsidRDefault="003776C5" w:rsidP="003776C5">
      <w:pPr>
        <w:spacing w:after="200" w:line="276" w:lineRule="auto"/>
        <w:rPr>
          <w:rFonts w:ascii="Calibri" w:eastAsia="Calibri" w:hAnsi="Calibri"/>
          <w:noProof w:val="0"/>
          <w:sz w:val="22"/>
          <w:szCs w:val="22"/>
        </w:rPr>
      </w:pPr>
      <w:r w:rsidRPr="003776C5">
        <w:rPr>
          <w:rFonts w:ascii="Calibri" w:eastAsia="Calibri" w:hAnsi="Calibri"/>
          <w:noProof w:val="0"/>
          <w:sz w:val="22"/>
          <w:szCs w:val="22"/>
        </w:rPr>
        <w:t xml:space="preserve"> (e) Despite paragraph (d), models in the same family may have different luminous flux or efficacy where the difference arises as a result of different colour temperatures, colour rendering index, beam angles or ability to dim.  In such cases:</w:t>
      </w:r>
    </w:p>
    <w:p w14:paraId="621C080A" w14:textId="5FA3038A" w:rsidR="003776C5" w:rsidRPr="003776C5" w:rsidRDefault="003776C5" w:rsidP="003776C5">
      <w:pPr>
        <w:spacing w:after="160" w:line="259" w:lineRule="auto"/>
        <w:ind w:left="720"/>
        <w:contextualSpacing/>
        <w:rPr>
          <w:rFonts w:ascii="Calibri" w:eastAsia="Calibri" w:hAnsi="Calibri"/>
          <w:noProof w:val="0"/>
          <w:sz w:val="22"/>
          <w:szCs w:val="22"/>
        </w:rPr>
      </w:pPr>
      <w:r w:rsidRPr="003776C5">
        <w:rPr>
          <w:rFonts w:ascii="Calibri" w:eastAsia="Calibri" w:hAnsi="Calibri"/>
          <w:noProof w:val="0"/>
          <w:sz w:val="22"/>
          <w:szCs w:val="22"/>
        </w:rPr>
        <w:t>(i)</w:t>
      </w:r>
      <w:r w:rsidR="00A05028">
        <w:rPr>
          <w:rFonts w:ascii="Calibri" w:eastAsia="Calibri" w:hAnsi="Calibri"/>
          <w:noProof w:val="0"/>
          <w:sz w:val="22"/>
          <w:szCs w:val="22"/>
        </w:rPr>
        <w:tab/>
      </w:r>
      <w:r w:rsidRPr="003776C5">
        <w:rPr>
          <w:rFonts w:ascii="Calibri" w:eastAsia="Calibri" w:hAnsi="Calibri"/>
          <w:noProof w:val="0"/>
          <w:sz w:val="22"/>
          <w:szCs w:val="22"/>
        </w:rPr>
        <w:t>test results for registration purposes will only be required for the model with the lowest energy efficiency in the proposed family; and</w:t>
      </w:r>
    </w:p>
    <w:p w14:paraId="686D5B9F" w14:textId="21309F01" w:rsidR="003776C5" w:rsidRPr="003776C5" w:rsidRDefault="00A05028" w:rsidP="003776C5">
      <w:pPr>
        <w:spacing w:after="200" w:line="276" w:lineRule="auto"/>
        <w:ind w:left="1134" w:hanging="414"/>
        <w:contextualSpacing/>
        <w:rPr>
          <w:rFonts w:ascii="Calibri" w:eastAsia="Calibri" w:hAnsi="Calibri"/>
          <w:noProof w:val="0"/>
          <w:sz w:val="22"/>
          <w:szCs w:val="22"/>
        </w:rPr>
      </w:pPr>
      <w:r>
        <w:rPr>
          <w:rFonts w:ascii="Calibri" w:eastAsia="Calibri" w:hAnsi="Calibri"/>
          <w:noProof w:val="0"/>
          <w:sz w:val="22"/>
          <w:szCs w:val="22"/>
        </w:rPr>
        <w:t>(ii)</w:t>
      </w:r>
      <w:r>
        <w:rPr>
          <w:rFonts w:ascii="Calibri" w:eastAsia="Calibri" w:hAnsi="Calibri"/>
          <w:noProof w:val="0"/>
          <w:sz w:val="22"/>
          <w:szCs w:val="22"/>
        </w:rPr>
        <w:tab/>
      </w:r>
      <w:r>
        <w:rPr>
          <w:rFonts w:ascii="Calibri" w:eastAsia="Calibri" w:hAnsi="Calibri"/>
          <w:noProof w:val="0"/>
          <w:sz w:val="22"/>
          <w:szCs w:val="22"/>
        </w:rPr>
        <w:tab/>
      </w:r>
      <w:r w:rsidR="003776C5" w:rsidRPr="003776C5">
        <w:rPr>
          <w:rFonts w:ascii="Calibri" w:eastAsia="Calibri" w:hAnsi="Calibri"/>
          <w:noProof w:val="0"/>
          <w:sz w:val="22"/>
          <w:szCs w:val="22"/>
        </w:rPr>
        <w:t>all models in the family must have the same performance characteristics relevant to complying with the specified minimum performance requirements other than efficacy, colour temperature, colour rendering index, diffuser, and beam angle.</w:t>
      </w:r>
    </w:p>
    <w:p w14:paraId="4660C37E" w14:textId="71607EF1" w:rsidR="003776C5" w:rsidRPr="003776C5" w:rsidRDefault="00A05028" w:rsidP="003776C5">
      <w:pPr>
        <w:spacing w:after="200" w:line="276" w:lineRule="auto"/>
        <w:ind w:left="1134" w:hanging="414"/>
        <w:contextualSpacing/>
        <w:rPr>
          <w:rFonts w:ascii="Calibri" w:eastAsia="Calibri" w:hAnsi="Calibri"/>
          <w:noProof w:val="0"/>
          <w:sz w:val="22"/>
          <w:szCs w:val="22"/>
        </w:rPr>
      </w:pPr>
      <w:r>
        <w:rPr>
          <w:rFonts w:ascii="Calibri" w:eastAsia="Calibri" w:hAnsi="Calibri"/>
          <w:noProof w:val="0"/>
          <w:sz w:val="22"/>
          <w:szCs w:val="22"/>
        </w:rPr>
        <w:t>(iii)</w:t>
      </w:r>
      <w:r>
        <w:rPr>
          <w:rFonts w:ascii="Calibri" w:eastAsia="Calibri" w:hAnsi="Calibri"/>
          <w:noProof w:val="0"/>
          <w:sz w:val="22"/>
          <w:szCs w:val="22"/>
        </w:rPr>
        <w:tab/>
      </w:r>
      <w:r>
        <w:rPr>
          <w:rFonts w:ascii="Calibri" w:eastAsia="Calibri" w:hAnsi="Calibri"/>
          <w:noProof w:val="0"/>
          <w:sz w:val="22"/>
          <w:szCs w:val="22"/>
        </w:rPr>
        <w:tab/>
      </w:r>
      <w:r w:rsidR="003776C5" w:rsidRPr="003776C5">
        <w:rPr>
          <w:rFonts w:ascii="Calibri" w:eastAsia="Calibri" w:hAnsi="Calibri"/>
          <w:noProof w:val="0"/>
          <w:sz w:val="22"/>
          <w:szCs w:val="22"/>
        </w:rPr>
        <w:t>Wattage variations are permitted within 50% variation from nominated least efficient model</w:t>
      </w:r>
    </w:p>
    <w:p w14:paraId="0938A5B9" w14:textId="77777777" w:rsidR="003776C5" w:rsidRPr="003776C5" w:rsidRDefault="003776C5" w:rsidP="003776C5">
      <w:pPr>
        <w:spacing w:after="200" w:line="276" w:lineRule="auto"/>
        <w:contextualSpacing/>
        <w:rPr>
          <w:rFonts w:ascii="Calibri" w:eastAsia="Calibri" w:hAnsi="Calibri"/>
          <w:noProof w:val="0"/>
          <w:sz w:val="22"/>
          <w:szCs w:val="22"/>
        </w:rPr>
      </w:pPr>
    </w:p>
    <w:p w14:paraId="5D3A61BA" w14:textId="53554810" w:rsidR="003776C5" w:rsidRPr="003776C5" w:rsidRDefault="003776C5" w:rsidP="003776C5">
      <w:pPr>
        <w:spacing w:after="200" w:line="276" w:lineRule="auto"/>
        <w:rPr>
          <w:rFonts w:ascii="Calibri" w:eastAsia="Calibri" w:hAnsi="Calibri"/>
          <w:noProof w:val="0"/>
          <w:sz w:val="22"/>
          <w:szCs w:val="22"/>
        </w:rPr>
      </w:pPr>
      <w:r w:rsidRPr="003776C5">
        <w:rPr>
          <w:rFonts w:ascii="Calibri" w:eastAsia="Calibri" w:hAnsi="Calibri"/>
          <w:noProof w:val="0"/>
          <w:sz w:val="22"/>
          <w:szCs w:val="22"/>
        </w:rPr>
        <w:t>(2)</w:t>
      </w:r>
      <w:r w:rsidR="0010791E">
        <w:rPr>
          <w:rFonts w:ascii="Calibri" w:eastAsia="Calibri" w:hAnsi="Calibri"/>
          <w:noProof w:val="0"/>
          <w:sz w:val="22"/>
          <w:szCs w:val="22"/>
        </w:rPr>
        <w:tab/>
      </w:r>
      <w:r w:rsidRPr="003776C5">
        <w:rPr>
          <w:rFonts w:ascii="Calibri" w:eastAsia="Calibri" w:hAnsi="Calibri"/>
          <w:noProof w:val="0"/>
          <w:sz w:val="22"/>
          <w:szCs w:val="22"/>
        </w:rPr>
        <w:t>For subsection (1), a model cannot be a member of a family if its inclusion in that family would lead to the family consisting of more than 75 lamp models.</w:t>
      </w:r>
    </w:p>
    <w:p w14:paraId="23C40D44" w14:textId="77777777" w:rsidR="003776C5" w:rsidRPr="003776C5" w:rsidRDefault="003776C5" w:rsidP="003776C5">
      <w:pPr>
        <w:spacing w:after="200" w:line="276" w:lineRule="auto"/>
        <w:rPr>
          <w:rFonts w:ascii="Calibri" w:eastAsia="Calibri" w:hAnsi="Calibri"/>
          <w:noProof w:val="0"/>
          <w:sz w:val="22"/>
          <w:szCs w:val="22"/>
        </w:rPr>
      </w:pPr>
      <w:r w:rsidRPr="003776C5">
        <w:rPr>
          <w:rFonts w:ascii="Calibri" w:eastAsia="Calibri" w:hAnsi="Calibri"/>
          <w:noProof w:val="0"/>
          <w:sz w:val="22"/>
          <w:szCs w:val="22"/>
        </w:rPr>
        <w:t>(a) Within this limit, additional models may be later added to families at a reduced cost.  Where additional models are updates of previous models with updated module or drivers, provided the physical characteristics are the same (as required by paragraph (1)(c)) these models may consume less power (due to more efficient components).</w:t>
      </w:r>
    </w:p>
    <w:p w14:paraId="333DA460" w14:textId="77777777" w:rsidR="003776C5" w:rsidRPr="003776C5" w:rsidRDefault="003776C5" w:rsidP="003776C5">
      <w:pPr>
        <w:spacing w:after="200" w:line="276" w:lineRule="auto"/>
        <w:rPr>
          <w:rFonts w:ascii="Calibri" w:eastAsia="Calibri" w:hAnsi="Calibri"/>
          <w:noProof w:val="0"/>
          <w:sz w:val="22"/>
          <w:szCs w:val="22"/>
        </w:rPr>
      </w:pPr>
      <w:r w:rsidRPr="003776C5" w:rsidDel="0023021C">
        <w:rPr>
          <w:rFonts w:ascii="Calibri" w:eastAsia="Calibri" w:hAnsi="Calibri"/>
          <w:b/>
          <w:noProof w:val="0"/>
          <w:sz w:val="22"/>
          <w:szCs w:val="22"/>
        </w:rPr>
        <w:t xml:space="preserve"> </w:t>
      </w:r>
      <w:r w:rsidRPr="003776C5">
        <w:rPr>
          <w:rFonts w:ascii="Calibri" w:eastAsia="Calibri" w:hAnsi="Calibri"/>
          <w:noProof w:val="0"/>
          <w:sz w:val="22"/>
          <w:szCs w:val="22"/>
        </w:rPr>
        <w:t xml:space="preserve"> </w:t>
      </w:r>
    </w:p>
    <w:p w14:paraId="5ED7B2F7" w14:textId="77777777" w:rsidR="003776C5" w:rsidRPr="003776C5" w:rsidRDefault="003776C5" w:rsidP="003776C5">
      <w:pPr>
        <w:spacing w:after="200" w:line="276" w:lineRule="auto"/>
        <w:rPr>
          <w:rFonts w:ascii="Calibri" w:eastAsia="Calibri" w:hAnsi="Calibri"/>
          <w:noProof w:val="0"/>
          <w:sz w:val="22"/>
          <w:szCs w:val="22"/>
        </w:rPr>
      </w:pPr>
      <w:r w:rsidRPr="003776C5">
        <w:rPr>
          <w:rFonts w:ascii="Calibri" w:eastAsia="Calibri" w:hAnsi="Calibri"/>
          <w:noProof w:val="0"/>
          <w:sz w:val="22"/>
          <w:szCs w:val="22"/>
        </w:rPr>
        <w:br w:type="page"/>
      </w:r>
    </w:p>
    <w:p w14:paraId="13F9A17F" w14:textId="77777777" w:rsidR="003776C5" w:rsidRPr="003776C5" w:rsidRDefault="003776C5" w:rsidP="00550A49">
      <w:pPr>
        <w:keepNext/>
        <w:keepLines/>
        <w:spacing w:after="0" w:line="240" w:lineRule="auto"/>
        <w:outlineLvl w:val="0"/>
        <w:rPr>
          <w:rFonts w:ascii="Cambria" w:eastAsia="Times New Roman" w:hAnsi="Cambria"/>
          <w:b/>
          <w:bCs/>
          <w:noProof w:val="0"/>
          <w:color w:val="365F91"/>
          <w:sz w:val="28"/>
          <w:szCs w:val="28"/>
        </w:rPr>
      </w:pPr>
      <w:bookmarkStart w:id="96" w:name="_Toc491942546"/>
      <w:r w:rsidRPr="003776C5">
        <w:rPr>
          <w:rFonts w:ascii="Cambria" w:eastAsia="Times New Roman" w:hAnsi="Cambria"/>
          <w:b/>
          <w:bCs/>
          <w:noProof w:val="0"/>
          <w:color w:val="365F91"/>
          <w:sz w:val="28"/>
          <w:szCs w:val="28"/>
        </w:rPr>
        <w:t>Performance requirements</w:t>
      </w:r>
      <w:bookmarkEnd w:id="96"/>
    </w:p>
    <w:p w14:paraId="6AB550F6" w14:textId="77777777" w:rsidR="003776C5" w:rsidRPr="003776C5" w:rsidRDefault="003776C5" w:rsidP="003776C5">
      <w:pPr>
        <w:spacing w:after="200" w:line="276" w:lineRule="auto"/>
        <w:rPr>
          <w:rFonts w:ascii="Calibri" w:eastAsia="Calibri" w:hAnsi="Calibri"/>
          <w:noProof w:val="0"/>
          <w:sz w:val="22"/>
          <w:szCs w:val="22"/>
        </w:rPr>
      </w:pPr>
    </w:p>
    <w:p w14:paraId="48EFE6AD" w14:textId="77777777" w:rsidR="003776C5" w:rsidRPr="003776C5" w:rsidRDefault="003776C5" w:rsidP="00550A49">
      <w:pPr>
        <w:keepNext/>
        <w:keepLines/>
        <w:spacing w:after="0" w:line="276" w:lineRule="auto"/>
        <w:outlineLvl w:val="0"/>
        <w:rPr>
          <w:rFonts w:ascii="Cambria" w:eastAsia="Times New Roman" w:hAnsi="Cambria"/>
          <w:b/>
          <w:bCs/>
          <w:noProof w:val="0"/>
          <w:color w:val="365F91"/>
          <w:sz w:val="28"/>
          <w:szCs w:val="28"/>
          <w:lang w:eastAsia="en-AU"/>
        </w:rPr>
      </w:pPr>
      <w:bookmarkStart w:id="97" w:name="_Toc491942547"/>
      <w:r w:rsidRPr="003776C5">
        <w:rPr>
          <w:rFonts w:ascii="Cambria" w:eastAsia="Times New Roman" w:hAnsi="Cambria"/>
          <w:b/>
          <w:bCs/>
          <w:noProof w:val="0"/>
          <w:color w:val="365F91"/>
          <w:sz w:val="28"/>
          <w:szCs w:val="28"/>
        </w:rPr>
        <w:t xml:space="preserve">Table 1: </w:t>
      </w:r>
      <w:r w:rsidRPr="003776C5">
        <w:rPr>
          <w:rFonts w:ascii="Cambria" w:eastAsia="Times New Roman" w:hAnsi="Cambria"/>
          <w:b/>
          <w:bCs/>
          <w:noProof w:val="0"/>
          <w:color w:val="365F91"/>
          <w:sz w:val="28"/>
          <w:szCs w:val="28"/>
          <w:lang w:eastAsia="en-AU"/>
        </w:rPr>
        <w:t>Lamps (note preferred test standards are highlighted)</w:t>
      </w:r>
      <w:r w:rsidRPr="003776C5">
        <w:rPr>
          <w:rFonts w:ascii="Cambria" w:eastAsia="Times New Roman" w:hAnsi="Cambria"/>
          <w:b/>
          <w:bCs/>
          <w:noProof w:val="0"/>
          <w:color w:val="365F91"/>
          <w:sz w:val="28"/>
          <w:szCs w:val="28"/>
          <w:vertAlign w:val="superscript"/>
          <w:lang w:eastAsia="en-AU"/>
        </w:rPr>
        <w:footnoteReference w:id="15"/>
      </w:r>
      <w:bookmarkEnd w:id="97"/>
    </w:p>
    <w:tbl>
      <w:tblPr>
        <w:tblStyle w:val="TableGrid2"/>
        <w:tblW w:w="15026" w:type="dxa"/>
        <w:tblInd w:w="-5" w:type="dxa"/>
        <w:tblLayout w:type="fixed"/>
        <w:tblLook w:val="04A0" w:firstRow="1" w:lastRow="0" w:firstColumn="1" w:lastColumn="0" w:noHBand="0" w:noVBand="1"/>
        <w:tblDescription w:val="Table setting out proposed performance requirements, test standards and other requirements for LED lamp MEPS."/>
      </w:tblPr>
      <w:tblGrid>
        <w:gridCol w:w="426"/>
        <w:gridCol w:w="1529"/>
        <w:gridCol w:w="2879"/>
        <w:gridCol w:w="14"/>
        <w:gridCol w:w="2911"/>
        <w:gridCol w:w="2896"/>
        <w:gridCol w:w="1387"/>
        <w:gridCol w:w="1566"/>
        <w:gridCol w:w="1418"/>
      </w:tblGrid>
      <w:tr w:rsidR="003776C5" w:rsidRPr="003776C5" w14:paraId="48B529A2" w14:textId="77777777" w:rsidTr="003776C5">
        <w:trPr>
          <w:trHeight w:val="270"/>
          <w:tblHeader/>
        </w:trPr>
        <w:tc>
          <w:tcPr>
            <w:tcW w:w="426" w:type="dxa"/>
            <w:shd w:val="clear" w:color="auto" w:fill="548DD4"/>
          </w:tcPr>
          <w:p w14:paraId="3671579C" w14:textId="77777777" w:rsidR="003776C5" w:rsidRPr="003776C5" w:rsidRDefault="003776C5" w:rsidP="003776C5">
            <w:pPr>
              <w:spacing w:after="0" w:line="240" w:lineRule="auto"/>
              <w:rPr>
                <w:rFonts w:ascii="Calibri" w:eastAsia="Times New Roman" w:hAnsi="Calibri"/>
                <w:noProof w:val="0"/>
                <w:color w:val="FFFFFF"/>
                <w:sz w:val="16"/>
                <w:szCs w:val="16"/>
                <w:lang w:eastAsia="en-AU"/>
              </w:rPr>
            </w:pPr>
          </w:p>
        </w:tc>
        <w:tc>
          <w:tcPr>
            <w:tcW w:w="1529" w:type="dxa"/>
            <w:vMerge w:val="restart"/>
            <w:shd w:val="clear" w:color="auto" w:fill="548DD4"/>
            <w:vAlign w:val="center"/>
            <w:hideMark/>
          </w:tcPr>
          <w:p w14:paraId="353AD091" w14:textId="77777777" w:rsidR="003776C5" w:rsidRPr="003776C5" w:rsidRDefault="003776C5" w:rsidP="003776C5">
            <w:pPr>
              <w:spacing w:after="0" w:line="240" w:lineRule="auto"/>
              <w:jc w:val="center"/>
              <w:rPr>
                <w:rFonts w:ascii="Calibri" w:eastAsia="Times New Roman" w:hAnsi="Calibri"/>
                <w:noProof w:val="0"/>
                <w:color w:val="FFFFFF"/>
                <w:sz w:val="22"/>
                <w:szCs w:val="22"/>
                <w:lang w:eastAsia="en-AU"/>
              </w:rPr>
            </w:pPr>
          </w:p>
          <w:p w14:paraId="2C601CCC" w14:textId="77777777" w:rsidR="003776C5" w:rsidRPr="003776C5" w:rsidRDefault="003776C5" w:rsidP="003776C5">
            <w:pPr>
              <w:spacing w:after="0" w:line="240" w:lineRule="auto"/>
              <w:jc w:val="center"/>
              <w:rPr>
                <w:rFonts w:ascii="Calibri" w:eastAsia="Times New Roman" w:hAnsi="Calibri"/>
                <w:noProof w:val="0"/>
                <w:color w:val="FFFFFF"/>
                <w:sz w:val="22"/>
                <w:szCs w:val="22"/>
                <w:lang w:eastAsia="en-AU"/>
              </w:rPr>
            </w:pPr>
            <w:r w:rsidRPr="003776C5">
              <w:rPr>
                <w:rFonts w:ascii="Calibri" w:eastAsia="Times New Roman" w:hAnsi="Calibri"/>
                <w:noProof w:val="0"/>
                <w:color w:val="FFFFFF"/>
                <w:sz w:val="22"/>
                <w:szCs w:val="22"/>
                <w:lang w:eastAsia="en-AU"/>
              </w:rPr>
              <w:t>Attribute</w:t>
            </w:r>
          </w:p>
          <w:p w14:paraId="7E3D9AF1" w14:textId="77777777" w:rsidR="003776C5" w:rsidRPr="003776C5" w:rsidRDefault="003776C5" w:rsidP="003776C5">
            <w:pPr>
              <w:spacing w:after="0" w:line="240" w:lineRule="auto"/>
              <w:rPr>
                <w:rFonts w:ascii="Calibri" w:eastAsia="Times New Roman" w:hAnsi="Calibri"/>
                <w:noProof w:val="0"/>
                <w:color w:val="FFFFFF"/>
                <w:sz w:val="22"/>
                <w:szCs w:val="22"/>
                <w:lang w:eastAsia="en-AU"/>
              </w:rPr>
            </w:pPr>
          </w:p>
        </w:tc>
        <w:tc>
          <w:tcPr>
            <w:tcW w:w="8700" w:type="dxa"/>
            <w:gridSpan w:val="4"/>
            <w:shd w:val="clear" w:color="auto" w:fill="548DD4"/>
            <w:noWrap/>
            <w:vAlign w:val="center"/>
            <w:hideMark/>
          </w:tcPr>
          <w:p w14:paraId="1C6E11C7" w14:textId="77777777" w:rsidR="003776C5" w:rsidRPr="003776C5" w:rsidRDefault="003776C5" w:rsidP="003776C5">
            <w:pPr>
              <w:spacing w:after="0" w:line="240" w:lineRule="auto"/>
              <w:jc w:val="center"/>
              <w:rPr>
                <w:rFonts w:ascii="Calibri" w:eastAsia="Times New Roman" w:hAnsi="Calibri"/>
                <w:noProof w:val="0"/>
                <w:color w:val="FFFFFF"/>
                <w:sz w:val="22"/>
                <w:szCs w:val="22"/>
                <w:lang w:eastAsia="en-AU"/>
              </w:rPr>
            </w:pPr>
            <w:r w:rsidRPr="003776C5">
              <w:rPr>
                <w:rFonts w:ascii="Calibri" w:eastAsia="Times New Roman" w:hAnsi="Calibri"/>
                <w:noProof w:val="0"/>
                <w:color w:val="FFFFFF"/>
                <w:sz w:val="22"/>
                <w:szCs w:val="22"/>
                <w:lang w:eastAsia="en-AU"/>
              </w:rPr>
              <w:t>Requirement</w:t>
            </w:r>
          </w:p>
        </w:tc>
        <w:tc>
          <w:tcPr>
            <w:tcW w:w="1387" w:type="dxa"/>
            <w:vMerge w:val="restart"/>
            <w:shd w:val="clear" w:color="auto" w:fill="548DD4"/>
            <w:vAlign w:val="center"/>
            <w:hideMark/>
          </w:tcPr>
          <w:p w14:paraId="45ACCD71" w14:textId="77777777" w:rsidR="003776C5" w:rsidRPr="003776C5" w:rsidRDefault="003776C5" w:rsidP="003776C5">
            <w:pPr>
              <w:spacing w:after="0" w:line="240" w:lineRule="auto"/>
              <w:jc w:val="center"/>
              <w:rPr>
                <w:rFonts w:ascii="Calibri" w:eastAsia="Times New Roman" w:hAnsi="Calibri"/>
                <w:noProof w:val="0"/>
                <w:color w:val="FFFFFF"/>
                <w:sz w:val="22"/>
                <w:szCs w:val="22"/>
                <w:lang w:eastAsia="en-AU"/>
              </w:rPr>
            </w:pPr>
            <w:r w:rsidRPr="003776C5">
              <w:rPr>
                <w:rFonts w:ascii="Calibri" w:eastAsia="Times New Roman" w:hAnsi="Calibri"/>
                <w:noProof w:val="0"/>
                <w:color w:val="FFFFFF"/>
                <w:sz w:val="22"/>
                <w:szCs w:val="22"/>
                <w:lang w:eastAsia="en-AU"/>
              </w:rPr>
              <w:t>Sample size</w:t>
            </w:r>
          </w:p>
        </w:tc>
        <w:tc>
          <w:tcPr>
            <w:tcW w:w="1566" w:type="dxa"/>
            <w:vMerge w:val="restart"/>
            <w:shd w:val="clear" w:color="auto" w:fill="548DD4"/>
            <w:vAlign w:val="center"/>
            <w:hideMark/>
          </w:tcPr>
          <w:p w14:paraId="11525334" w14:textId="77777777" w:rsidR="003776C5" w:rsidRPr="003776C5" w:rsidRDefault="003776C5" w:rsidP="003776C5">
            <w:pPr>
              <w:spacing w:after="0" w:line="240" w:lineRule="auto"/>
              <w:jc w:val="center"/>
              <w:rPr>
                <w:rFonts w:ascii="Calibri" w:eastAsia="Times New Roman" w:hAnsi="Calibri"/>
                <w:noProof w:val="0"/>
                <w:color w:val="FFFFFF"/>
                <w:sz w:val="22"/>
                <w:szCs w:val="22"/>
                <w:lang w:eastAsia="en-AU"/>
              </w:rPr>
            </w:pPr>
            <w:r w:rsidRPr="003776C5">
              <w:rPr>
                <w:rFonts w:ascii="Calibri" w:eastAsia="Times New Roman" w:hAnsi="Calibri"/>
                <w:noProof w:val="0"/>
                <w:color w:val="FFFFFF"/>
                <w:sz w:val="22"/>
                <w:szCs w:val="22"/>
                <w:lang w:eastAsia="en-AU"/>
              </w:rPr>
              <w:t>Compliance criteria</w:t>
            </w:r>
          </w:p>
        </w:tc>
        <w:tc>
          <w:tcPr>
            <w:tcW w:w="1418" w:type="dxa"/>
            <w:vMerge w:val="restart"/>
            <w:shd w:val="clear" w:color="auto" w:fill="548DD4"/>
            <w:vAlign w:val="center"/>
          </w:tcPr>
          <w:p w14:paraId="1E4E9BA1" w14:textId="77777777" w:rsidR="003776C5" w:rsidRPr="003776C5" w:rsidRDefault="003776C5" w:rsidP="003776C5">
            <w:pPr>
              <w:spacing w:after="0" w:line="240" w:lineRule="auto"/>
              <w:jc w:val="center"/>
              <w:rPr>
                <w:rFonts w:ascii="Calibri" w:eastAsia="Times New Roman" w:hAnsi="Calibri"/>
                <w:noProof w:val="0"/>
                <w:color w:val="FFFFFF"/>
                <w:sz w:val="22"/>
                <w:szCs w:val="22"/>
                <w:lang w:eastAsia="en-AU"/>
              </w:rPr>
            </w:pPr>
            <w:r w:rsidRPr="003776C5">
              <w:rPr>
                <w:rFonts w:ascii="Calibri" w:eastAsia="Times New Roman" w:hAnsi="Calibri"/>
                <w:noProof w:val="0"/>
                <w:color w:val="FFFFFF"/>
                <w:sz w:val="22"/>
                <w:szCs w:val="22"/>
                <w:lang w:eastAsia="en-AU"/>
              </w:rPr>
              <w:t>Test method</w:t>
            </w:r>
          </w:p>
        </w:tc>
      </w:tr>
      <w:tr w:rsidR="003776C5" w:rsidRPr="003776C5" w14:paraId="6B9A2597" w14:textId="77777777" w:rsidTr="003776C5">
        <w:trPr>
          <w:trHeight w:val="270"/>
          <w:tblHeader/>
        </w:trPr>
        <w:tc>
          <w:tcPr>
            <w:tcW w:w="426" w:type="dxa"/>
          </w:tcPr>
          <w:p w14:paraId="690B03E4" w14:textId="77777777" w:rsidR="003776C5" w:rsidRPr="003776C5" w:rsidRDefault="003776C5" w:rsidP="003776C5">
            <w:pPr>
              <w:spacing w:after="0" w:line="240" w:lineRule="auto"/>
              <w:rPr>
                <w:rFonts w:ascii="Calibri" w:eastAsia="Times New Roman" w:hAnsi="Calibri"/>
                <w:noProof w:val="0"/>
                <w:color w:val="000000"/>
                <w:sz w:val="14"/>
                <w:szCs w:val="14"/>
                <w:lang w:eastAsia="en-AU"/>
              </w:rPr>
            </w:pPr>
            <w:r w:rsidRPr="003776C5">
              <w:rPr>
                <w:rFonts w:ascii="Calibri" w:eastAsia="Times New Roman" w:hAnsi="Calibri"/>
                <w:noProof w:val="0"/>
                <w:color w:val="000000"/>
                <w:sz w:val="14"/>
                <w:szCs w:val="14"/>
                <w:lang w:eastAsia="en-AU"/>
              </w:rPr>
              <w:t>Ref</w:t>
            </w:r>
          </w:p>
        </w:tc>
        <w:tc>
          <w:tcPr>
            <w:tcW w:w="1529" w:type="dxa"/>
            <w:vMerge/>
          </w:tcPr>
          <w:p w14:paraId="66A12C13"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tc>
        <w:tc>
          <w:tcPr>
            <w:tcW w:w="2893" w:type="dxa"/>
            <w:gridSpan w:val="2"/>
            <w:shd w:val="clear" w:color="auto" w:fill="548DD4"/>
            <w:noWrap/>
            <w:vAlign w:val="center"/>
          </w:tcPr>
          <w:p w14:paraId="5024C478" w14:textId="77777777" w:rsidR="003776C5" w:rsidRPr="003776C5" w:rsidRDefault="003776C5" w:rsidP="003776C5">
            <w:pPr>
              <w:spacing w:after="0" w:line="240" w:lineRule="auto"/>
              <w:jc w:val="center"/>
              <w:rPr>
                <w:rFonts w:ascii="Calibri" w:eastAsia="Times New Roman" w:hAnsi="Calibri"/>
                <w:noProof w:val="0"/>
                <w:color w:val="FFFFFF"/>
                <w:sz w:val="22"/>
                <w:szCs w:val="22"/>
                <w:lang w:eastAsia="en-AU"/>
              </w:rPr>
            </w:pPr>
            <w:r w:rsidRPr="003776C5">
              <w:rPr>
                <w:rFonts w:ascii="Calibri" w:eastAsia="Calibri" w:hAnsi="Calibri"/>
                <w:noProof w:val="0"/>
                <w:color w:val="FFFFFF"/>
                <w:sz w:val="22"/>
                <w:szCs w:val="22"/>
                <w:lang w:eastAsia="en-AU"/>
              </w:rPr>
              <w:t>Non-directional lamps</w:t>
            </w:r>
          </w:p>
        </w:tc>
        <w:tc>
          <w:tcPr>
            <w:tcW w:w="2911" w:type="dxa"/>
            <w:shd w:val="clear" w:color="auto" w:fill="548DD4"/>
            <w:vAlign w:val="center"/>
          </w:tcPr>
          <w:p w14:paraId="2D921B31" w14:textId="77777777" w:rsidR="003776C5" w:rsidRPr="003776C5" w:rsidRDefault="003776C5" w:rsidP="003776C5">
            <w:pPr>
              <w:spacing w:after="0" w:line="240" w:lineRule="auto"/>
              <w:jc w:val="center"/>
              <w:rPr>
                <w:rFonts w:ascii="Calibri" w:eastAsia="Calibri" w:hAnsi="Calibri"/>
                <w:noProof w:val="0"/>
                <w:color w:val="FFFFFF"/>
                <w:sz w:val="22"/>
                <w:szCs w:val="22"/>
                <w:lang w:eastAsia="en-AU"/>
              </w:rPr>
            </w:pPr>
            <w:r w:rsidRPr="003776C5">
              <w:rPr>
                <w:rFonts w:ascii="Calibri" w:eastAsia="Calibri" w:hAnsi="Calibri"/>
                <w:noProof w:val="0"/>
                <w:color w:val="FFFFFF"/>
                <w:sz w:val="22"/>
                <w:szCs w:val="22"/>
                <w:lang w:eastAsia="en-AU"/>
              </w:rPr>
              <w:t>Directional lamps</w:t>
            </w:r>
          </w:p>
        </w:tc>
        <w:tc>
          <w:tcPr>
            <w:tcW w:w="2896" w:type="dxa"/>
            <w:shd w:val="clear" w:color="auto" w:fill="548DD4"/>
            <w:vAlign w:val="center"/>
          </w:tcPr>
          <w:p w14:paraId="5929FA58" w14:textId="77777777" w:rsidR="003776C5" w:rsidRPr="003776C5" w:rsidRDefault="003776C5" w:rsidP="003776C5">
            <w:pPr>
              <w:spacing w:after="0" w:line="240" w:lineRule="auto"/>
              <w:jc w:val="center"/>
              <w:rPr>
                <w:rFonts w:ascii="Calibri" w:eastAsia="Times New Roman" w:hAnsi="Calibri"/>
                <w:noProof w:val="0"/>
                <w:color w:val="FFFFFF"/>
                <w:sz w:val="22"/>
                <w:szCs w:val="22"/>
                <w:lang w:eastAsia="en-AU"/>
              </w:rPr>
            </w:pPr>
            <w:r w:rsidRPr="003776C5">
              <w:rPr>
                <w:rFonts w:ascii="Calibri" w:eastAsia="Times New Roman" w:hAnsi="Calibri"/>
                <w:noProof w:val="0"/>
                <w:color w:val="FFFFFF"/>
                <w:sz w:val="22"/>
                <w:szCs w:val="22"/>
                <w:lang w:eastAsia="en-AU"/>
              </w:rPr>
              <w:t>Linear LED (tube)</w:t>
            </w:r>
          </w:p>
        </w:tc>
        <w:tc>
          <w:tcPr>
            <w:tcW w:w="1387" w:type="dxa"/>
            <w:vMerge/>
          </w:tcPr>
          <w:p w14:paraId="3A75F01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tc>
        <w:tc>
          <w:tcPr>
            <w:tcW w:w="1566" w:type="dxa"/>
            <w:vMerge/>
          </w:tcPr>
          <w:p w14:paraId="598962D3"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tc>
        <w:tc>
          <w:tcPr>
            <w:tcW w:w="1418" w:type="dxa"/>
            <w:vMerge/>
          </w:tcPr>
          <w:p w14:paraId="06A10DC6"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tc>
      </w:tr>
      <w:tr w:rsidR="003776C5" w:rsidRPr="003776C5" w14:paraId="1575D910" w14:textId="77777777" w:rsidTr="003776C5">
        <w:trPr>
          <w:trHeight w:val="270"/>
        </w:trPr>
        <w:tc>
          <w:tcPr>
            <w:tcW w:w="426" w:type="dxa"/>
            <w:shd w:val="clear" w:color="auto" w:fill="C6D9F1"/>
          </w:tcPr>
          <w:p w14:paraId="13A108B2"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p>
        </w:tc>
        <w:tc>
          <w:tcPr>
            <w:tcW w:w="14600" w:type="dxa"/>
            <w:gridSpan w:val="8"/>
            <w:shd w:val="clear" w:color="auto" w:fill="C6D9F1"/>
          </w:tcPr>
          <w:p w14:paraId="23D74B7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Energy Efficiency &amp; Photometric</w:t>
            </w:r>
          </w:p>
        </w:tc>
      </w:tr>
      <w:tr w:rsidR="003776C5" w:rsidRPr="003776C5" w14:paraId="09A5FD22" w14:textId="77777777" w:rsidTr="003776C5">
        <w:trPr>
          <w:trHeight w:val="1205"/>
        </w:trPr>
        <w:tc>
          <w:tcPr>
            <w:tcW w:w="426" w:type="dxa"/>
            <w:shd w:val="clear" w:color="auto" w:fill="7030A0"/>
          </w:tcPr>
          <w:p w14:paraId="6514F854"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1</w:t>
            </w:r>
          </w:p>
        </w:tc>
        <w:tc>
          <w:tcPr>
            <w:tcW w:w="1529" w:type="dxa"/>
            <w:shd w:val="clear" w:color="auto" w:fill="9BBB59"/>
            <w:hideMark/>
          </w:tcPr>
          <w:p w14:paraId="70878D39"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1B41B454"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Efficacy </w:t>
            </w:r>
          </w:p>
        </w:tc>
        <w:tc>
          <w:tcPr>
            <w:tcW w:w="5804" w:type="dxa"/>
            <w:gridSpan w:val="3"/>
            <w:noWrap/>
          </w:tcPr>
          <w:p w14:paraId="42AFAE4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68BE3A6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ab/>
            </w:r>
            <w:r w:rsidRPr="003776C5">
              <w:rPr>
                <w:rFonts w:ascii="Calibri" w:eastAsia="Times New Roman" w:hAnsi="Calibri"/>
                <w:noProof w:val="0"/>
                <w:color w:val="000000"/>
                <w:sz w:val="22"/>
                <w:szCs w:val="22"/>
                <w:lang w:eastAsia="en-AU"/>
              </w:rPr>
              <w:tab/>
              <w:t>≥ 80 lm/W (2019)</w:t>
            </w:r>
            <w:r w:rsidRPr="003776C5">
              <w:rPr>
                <w:rFonts w:ascii="Calibri" w:eastAsia="Times New Roman" w:hAnsi="Calibri"/>
                <w:noProof w:val="0"/>
                <w:color w:val="000000"/>
                <w:sz w:val="22"/>
                <w:szCs w:val="22"/>
                <w:lang w:eastAsia="en-AU"/>
              </w:rPr>
              <w:br/>
            </w:r>
            <w:r w:rsidRPr="003776C5">
              <w:rPr>
                <w:rFonts w:ascii="Calibri" w:eastAsia="Times New Roman" w:hAnsi="Calibri"/>
                <w:noProof w:val="0"/>
                <w:color w:val="000000"/>
                <w:sz w:val="22"/>
                <w:szCs w:val="22"/>
                <w:lang w:eastAsia="en-AU"/>
              </w:rPr>
              <w:tab/>
            </w:r>
            <w:r w:rsidRPr="003776C5">
              <w:rPr>
                <w:rFonts w:ascii="Calibri" w:eastAsia="Times New Roman" w:hAnsi="Calibri"/>
                <w:noProof w:val="0"/>
                <w:color w:val="000000"/>
                <w:sz w:val="22"/>
                <w:szCs w:val="22"/>
                <w:lang w:eastAsia="en-AU"/>
              </w:rPr>
              <w:tab/>
              <w:t>≥ 90 lm/W (2021)</w:t>
            </w:r>
            <w:r w:rsidRPr="003776C5">
              <w:rPr>
                <w:rFonts w:ascii="Calibri" w:eastAsia="Times New Roman" w:hAnsi="Calibri"/>
                <w:noProof w:val="0"/>
                <w:color w:val="000000"/>
                <w:sz w:val="22"/>
                <w:szCs w:val="22"/>
                <w:lang w:eastAsia="en-AU"/>
              </w:rPr>
              <w:br/>
            </w:r>
            <w:r w:rsidRPr="003776C5">
              <w:rPr>
                <w:rFonts w:ascii="Calibri" w:eastAsia="Times New Roman" w:hAnsi="Calibri"/>
                <w:noProof w:val="0"/>
                <w:color w:val="000000"/>
                <w:sz w:val="22"/>
                <w:szCs w:val="22"/>
                <w:lang w:eastAsia="en-AU"/>
              </w:rPr>
              <w:tab/>
            </w:r>
            <w:r w:rsidRPr="003776C5">
              <w:rPr>
                <w:rFonts w:ascii="Calibri" w:eastAsia="Times New Roman" w:hAnsi="Calibri"/>
                <w:noProof w:val="0"/>
                <w:color w:val="000000"/>
                <w:sz w:val="22"/>
                <w:szCs w:val="22"/>
                <w:lang w:eastAsia="en-AU"/>
              </w:rPr>
              <w:tab/>
              <w:t>≥ 100 lm/W (2023)</w:t>
            </w:r>
          </w:p>
          <w:p w14:paraId="64D456D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 </w:t>
            </w:r>
          </w:p>
          <w:p w14:paraId="4115525F"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Reductions for</w:t>
            </w:r>
          </w:p>
          <w:p w14:paraId="6A05EA8A" w14:textId="6336F719" w:rsidR="003776C5" w:rsidRPr="003776C5" w:rsidRDefault="003776C5" w:rsidP="003776C5">
            <w:pPr>
              <w:numPr>
                <w:ilvl w:val="0"/>
                <w:numId w:val="16"/>
              </w:num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Directional (</w:t>
            </w:r>
            <w:r w:rsidR="00B9111C" w:rsidRPr="003776C5">
              <w:rPr>
                <w:rFonts w:ascii="Calibri" w:eastAsia="Times New Roman" w:hAnsi="Calibri"/>
                <w:noProof w:val="0"/>
                <w:color w:val="000000"/>
                <w:sz w:val="22"/>
                <w:szCs w:val="22"/>
                <w:lang w:eastAsia="en-AU"/>
              </w:rPr>
              <w:t>1</w:t>
            </w:r>
            <w:r w:rsidR="00B9111C">
              <w:rPr>
                <w:rFonts w:ascii="Calibri" w:eastAsia="Times New Roman" w:hAnsi="Calibri"/>
                <w:noProof w:val="0"/>
                <w:color w:val="000000"/>
                <w:sz w:val="22"/>
                <w:szCs w:val="22"/>
                <w:lang w:eastAsia="en-AU"/>
              </w:rPr>
              <w:t>0</w:t>
            </w:r>
            <w:r w:rsidRPr="003776C5">
              <w:rPr>
                <w:rFonts w:ascii="Calibri" w:eastAsia="Times New Roman" w:hAnsi="Calibri"/>
                <w:noProof w:val="0"/>
                <w:color w:val="000000"/>
                <w:sz w:val="22"/>
                <w:szCs w:val="22"/>
                <w:lang w:eastAsia="en-AU"/>
              </w:rPr>
              <w:t>%)</w:t>
            </w:r>
          </w:p>
          <w:p w14:paraId="00039CC8" w14:textId="77777777" w:rsidR="003776C5" w:rsidRPr="003776C5" w:rsidRDefault="003776C5" w:rsidP="003776C5">
            <w:pPr>
              <w:numPr>
                <w:ilvl w:val="0"/>
                <w:numId w:val="16"/>
              </w:num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Beam Angle &lt; 30º (10%)</w:t>
            </w:r>
          </w:p>
          <w:p w14:paraId="25A266AC" w14:textId="77777777" w:rsidR="003776C5" w:rsidRPr="003776C5" w:rsidRDefault="003776C5" w:rsidP="003776C5">
            <w:pPr>
              <w:numPr>
                <w:ilvl w:val="0"/>
                <w:numId w:val="16"/>
              </w:num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90 </w:t>
            </w:r>
            <w:r w:rsidRPr="003776C5">
              <w:rPr>
                <w:rFonts w:ascii="Calibri" w:eastAsia="Times New Roman" w:hAnsi="Calibri" w:cs="Calibri"/>
                <w:noProof w:val="0"/>
                <w:color w:val="000000"/>
                <w:sz w:val="22"/>
                <w:szCs w:val="22"/>
                <w:lang w:eastAsia="en-AU"/>
              </w:rPr>
              <w:t>≤</w:t>
            </w:r>
            <w:r w:rsidRPr="003776C5">
              <w:rPr>
                <w:rFonts w:ascii="Calibri" w:eastAsia="Times New Roman" w:hAnsi="Calibri"/>
                <w:noProof w:val="0"/>
                <w:color w:val="000000"/>
                <w:sz w:val="22"/>
                <w:szCs w:val="22"/>
                <w:lang w:eastAsia="en-AU"/>
              </w:rPr>
              <w:t xml:space="preserve"> CRI &lt; 100 (10%)</w:t>
            </w:r>
          </w:p>
          <w:p w14:paraId="624988EF" w14:textId="77777777" w:rsidR="003776C5" w:rsidRPr="003776C5" w:rsidRDefault="003776C5" w:rsidP="003776C5">
            <w:pPr>
              <w:numPr>
                <w:ilvl w:val="0"/>
                <w:numId w:val="16"/>
              </w:num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CCT </w:t>
            </w:r>
            <w:r w:rsidRPr="003776C5">
              <w:rPr>
                <w:rFonts w:ascii="Calibri" w:eastAsia="Times New Roman" w:hAnsi="Calibri" w:cs="Calibri"/>
                <w:noProof w:val="0"/>
                <w:color w:val="000000"/>
                <w:sz w:val="22"/>
                <w:szCs w:val="22"/>
                <w:lang w:eastAsia="en-AU"/>
              </w:rPr>
              <w:t>≤</w:t>
            </w:r>
            <w:r w:rsidRPr="003776C5">
              <w:rPr>
                <w:rFonts w:ascii="Calibri" w:eastAsia="Times New Roman" w:hAnsi="Calibri"/>
                <w:noProof w:val="0"/>
                <w:color w:val="000000"/>
                <w:sz w:val="22"/>
                <w:szCs w:val="22"/>
                <w:lang w:eastAsia="en-AU"/>
              </w:rPr>
              <w:t xml:space="preserve"> 3000K (10%)</w:t>
            </w:r>
          </w:p>
          <w:p w14:paraId="3A17262F"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2520A3B4"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The reductions will be cumulative.</w:t>
            </w:r>
          </w:p>
        </w:tc>
        <w:tc>
          <w:tcPr>
            <w:tcW w:w="2896" w:type="dxa"/>
          </w:tcPr>
          <w:p w14:paraId="703506EE"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3D57D0CC"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100  lm/W (2019)</w:t>
            </w:r>
          </w:p>
          <w:p w14:paraId="6CF1F128"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110  lm/W (2021)</w:t>
            </w:r>
          </w:p>
          <w:p w14:paraId="18BD7D93"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120  lm/W (2023)</w:t>
            </w:r>
          </w:p>
        </w:tc>
        <w:tc>
          <w:tcPr>
            <w:tcW w:w="1387" w:type="dxa"/>
            <w:hideMark/>
          </w:tcPr>
          <w:p w14:paraId="3887359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361EA1E4"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10 </w:t>
            </w:r>
          </w:p>
        </w:tc>
        <w:tc>
          <w:tcPr>
            <w:tcW w:w="1566" w:type="dxa"/>
            <w:hideMark/>
          </w:tcPr>
          <w:p w14:paraId="503573BB"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p>
          <w:p w14:paraId="2DA5A6D9"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Average ≥ value specified</w:t>
            </w:r>
          </w:p>
        </w:tc>
        <w:tc>
          <w:tcPr>
            <w:tcW w:w="1418" w:type="dxa"/>
          </w:tcPr>
          <w:p w14:paraId="46FEAB79"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p>
          <w:p w14:paraId="3305163A"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highlight w:val="yellow"/>
                <w:lang w:eastAsia="en-AU"/>
              </w:rPr>
              <w:t>CIE S025</w:t>
            </w:r>
          </w:p>
          <w:p w14:paraId="65327DAB"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or</w:t>
            </w:r>
          </w:p>
          <w:p w14:paraId="5D0BF7B7"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LM79 accepted until July 2021</w:t>
            </w:r>
          </w:p>
          <w:p w14:paraId="2F2B0538"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or</w:t>
            </w:r>
          </w:p>
          <w:p w14:paraId="2073F1BD" w14:textId="77777777" w:rsidR="003776C5" w:rsidRPr="003776C5" w:rsidRDefault="003776C5" w:rsidP="003776C5">
            <w:pPr>
              <w:spacing w:after="240" w:line="240" w:lineRule="auto"/>
              <w:rPr>
                <w:rFonts w:ascii="Verdana" w:eastAsia="Calibri" w:hAnsi="Verdana"/>
                <w:noProof w:val="0"/>
                <w:color w:val="121214"/>
                <w:sz w:val="18"/>
                <w:szCs w:val="18"/>
                <w:shd w:val="clear" w:color="auto" w:fill="FCFCFC"/>
              </w:rPr>
            </w:pPr>
            <w:r w:rsidRPr="003776C5">
              <w:rPr>
                <w:rFonts w:ascii="Verdana" w:eastAsia="Calibri" w:hAnsi="Verdana"/>
                <w:noProof w:val="0"/>
                <w:color w:val="121214"/>
                <w:sz w:val="18"/>
                <w:szCs w:val="18"/>
                <w:shd w:val="clear" w:color="auto" w:fill="FCFCFC"/>
              </w:rPr>
              <w:t>EN 13032-4:2015</w:t>
            </w:r>
          </w:p>
          <w:p w14:paraId="1B0DA293"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Where a lamp model is provided with interchangeable/adjustable reflectors or lenses, the test will use the configuration that delivers the narrowest beam angle </w:t>
            </w:r>
          </w:p>
          <w:p w14:paraId="75229CBE" w14:textId="77777777" w:rsidR="003776C5" w:rsidRPr="003776C5" w:rsidRDefault="003776C5" w:rsidP="003776C5">
            <w:pPr>
              <w:spacing w:after="240" w:line="240" w:lineRule="auto"/>
              <w:rPr>
                <w:rFonts w:ascii="Verdana" w:eastAsia="Calibri" w:hAnsi="Verdana"/>
                <w:noProof w:val="0"/>
                <w:color w:val="121214"/>
                <w:sz w:val="18"/>
                <w:szCs w:val="18"/>
                <w:shd w:val="clear" w:color="auto" w:fill="FCFCFC"/>
              </w:rPr>
            </w:pPr>
            <w:r w:rsidRPr="003776C5">
              <w:rPr>
                <w:rFonts w:ascii="Calibri" w:eastAsia="Times New Roman" w:hAnsi="Calibri"/>
                <w:noProof w:val="0"/>
                <w:color w:val="000000"/>
                <w:sz w:val="22"/>
                <w:szCs w:val="22"/>
                <w:lang w:eastAsia="en-AU"/>
              </w:rPr>
              <w:t>Power to be tested as supplied for sale (additional functionality may be supplied not activated).</w:t>
            </w:r>
          </w:p>
          <w:p w14:paraId="4BE41FD5" w14:textId="77777777" w:rsidR="003776C5" w:rsidRPr="003776C5" w:rsidRDefault="003776C5" w:rsidP="003776C5">
            <w:pPr>
              <w:spacing w:after="240" w:line="240" w:lineRule="auto"/>
              <w:rPr>
                <w:rFonts w:ascii="Calibri" w:eastAsia="Times New Roman" w:hAnsi="Calibri"/>
                <w:noProof w:val="0"/>
                <w:color w:val="000000"/>
                <w:sz w:val="22"/>
                <w:szCs w:val="22"/>
                <w:highlight w:val="lightGray"/>
                <w:lang w:eastAsia="en-AU"/>
              </w:rPr>
            </w:pPr>
          </w:p>
        </w:tc>
      </w:tr>
      <w:tr w:rsidR="003776C5" w:rsidRPr="003776C5" w14:paraId="5F27B4CE" w14:textId="77777777" w:rsidTr="003776C5">
        <w:trPr>
          <w:trHeight w:val="730"/>
        </w:trPr>
        <w:tc>
          <w:tcPr>
            <w:tcW w:w="426" w:type="dxa"/>
            <w:shd w:val="clear" w:color="auto" w:fill="7030A0"/>
          </w:tcPr>
          <w:p w14:paraId="3FECB128"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4</w:t>
            </w:r>
          </w:p>
        </w:tc>
        <w:tc>
          <w:tcPr>
            <w:tcW w:w="1529" w:type="dxa"/>
            <w:shd w:val="clear" w:color="auto" w:fill="9BBB59"/>
          </w:tcPr>
          <w:p w14:paraId="76552105"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3AE0C6AF"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Light distribution </w:t>
            </w:r>
          </w:p>
        </w:tc>
        <w:tc>
          <w:tcPr>
            <w:tcW w:w="2879" w:type="dxa"/>
            <w:noWrap/>
          </w:tcPr>
          <w:p w14:paraId="5C3309CE"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ONLY IF CLAIMING to be an ‘omnidirectional’ lamp or replacement for a General Lighting Service (GLS) lamp.</w:t>
            </w:r>
          </w:p>
          <w:p w14:paraId="2D0C02B2"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40D03ED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Omnidirectional equivalence</w:t>
            </w:r>
          </w:p>
          <w:p w14:paraId="10082962"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24285591" w14:textId="77777777" w:rsidR="003776C5" w:rsidRPr="003776C5" w:rsidRDefault="003776C5" w:rsidP="003776C5">
            <w:pPr>
              <w:spacing w:after="0" w:line="240" w:lineRule="auto"/>
              <w:rPr>
                <w:rFonts w:ascii="Calibri" w:eastAsia="Calibri" w:hAnsi="Calibri"/>
                <w:noProof w:val="0"/>
                <w:sz w:val="22"/>
                <w:szCs w:val="22"/>
                <w:lang w:val="en-GB"/>
              </w:rPr>
            </w:pPr>
            <w:r w:rsidRPr="003776C5">
              <w:rPr>
                <w:rFonts w:ascii="Calibri" w:eastAsia="Calibri" w:hAnsi="Calibri"/>
                <w:noProof w:val="0"/>
                <w:sz w:val="22"/>
                <w:szCs w:val="22"/>
                <w:lang w:val="en-GB"/>
              </w:rPr>
              <w:t xml:space="preserve">No less than 5% of total flux (zonal lumens) shall be emitted in the 130° to 180° zone. </w:t>
            </w:r>
          </w:p>
          <w:p w14:paraId="3A6761A9" w14:textId="77777777" w:rsidR="003776C5" w:rsidRPr="003776C5" w:rsidRDefault="003776C5" w:rsidP="003776C5">
            <w:pPr>
              <w:spacing w:after="0" w:line="240" w:lineRule="auto"/>
              <w:rPr>
                <w:rFonts w:ascii="Calibri" w:eastAsia="Calibri" w:hAnsi="Calibri"/>
                <w:noProof w:val="0"/>
                <w:sz w:val="22"/>
                <w:szCs w:val="22"/>
                <w:lang w:val="en-GB"/>
              </w:rPr>
            </w:pPr>
          </w:p>
          <w:p w14:paraId="2B1A5CE6" w14:textId="77777777" w:rsidR="003776C5" w:rsidRPr="003776C5" w:rsidRDefault="003776C5" w:rsidP="003776C5">
            <w:pPr>
              <w:spacing w:after="0" w:line="240" w:lineRule="auto"/>
              <w:rPr>
                <w:rFonts w:ascii="Calibri" w:eastAsia="Calibri" w:hAnsi="Calibri"/>
                <w:noProof w:val="0"/>
                <w:sz w:val="22"/>
                <w:szCs w:val="22"/>
                <w:lang w:val="en-GB"/>
              </w:rPr>
            </w:pPr>
            <w:r w:rsidRPr="003776C5">
              <w:rPr>
                <w:rFonts w:ascii="Calibri" w:eastAsia="Calibri" w:hAnsi="Calibri"/>
                <w:noProof w:val="0"/>
                <w:sz w:val="22"/>
                <w:szCs w:val="22"/>
                <w:lang w:val="en-GB"/>
              </w:rPr>
              <w:t>No less than 35% of total flux (zonal lumens) shall be emitted in the 90° to 180° zone.</w:t>
            </w:r>
          </w:p>
          <w:p w14:paraId="2D6AA87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tc>
        <w:tc>
          <w:tcPr>
            <w:tcW w:w="2925" w:type="dxa"/>
            <w:gridSpan w:val="2"/>
          </w:tcPr>
          <w:p w14:paraId="6FCEA17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65146AA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Beam angle is ± 25% of declared beam angle</w:t>
            </w:r>
          </w:p>
          <w:p w14:paraId="5B4D6E26"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448798F2"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and</w:t>
            </w:r>
          </w:p>
          <w:p w14:paraId="21036065"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1995CC6C"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50% of flux shall be in declared beam angle</w:t>
            </w:r>
          </w:p>
        </w:tc>
        <w:tc>
          <w:tcPr>
            <w:tcW w:w="2896" w:type="dxa"/>
          </w:tcPr>
          <w:p w14:paraId="22D01AE3"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24A42D2A"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Beam angle is ± 25% of declared beam angle</w:t>
            </w:r>
          </w:p>
          <w:p w14:paraId="49656EA9"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53533165"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and</w:t>
            </w:r>
          </w:p>
          <w:p w14:paraId="399ACE07"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02DEB053"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50% of flux shall be in declared beam angle</w:t>
            </w:r>
          </w:p>
        </w:tc>
        <w:tc>
          <w:tcPr>
            <w:tcW w:w="1387" w:type="dxa"/>
          </w:tcPr>
          <w:p w14:paraId="341F0219"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24A0376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10 </w:t>
            </w:r>
          </w:p>
          <w:p w14:paraId="317B1FDF"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5B828E98"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3 (Linear LED)</w:t>
            </w:r>
          </w:p>
        </w:tc>
        <w:tc>
          <w:tcPr>
            <w:tcW w:w="1566" w:type="dxa"/>
          </w:tcPr>
          <w:p w14:paraId="3AA53C3A"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70046332"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No less than  8 lamps (or 3 for linear LED lamps) meet the specified requirements</w:t>
            </w:r>
          </w:p>
        </w:tc>
        <w:tc>
          <w:tcPr>
            <w:tcW w:w="1418" w:type="dxa"/>
          </w:tcPr>
          <w:p w14:paraId="735E651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0759A50A"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highlight w:val="yellow"/>
                <w:lang w:eastAsia="en-AU"/>
              </w:rPr>
              <w:t>CIE S025</w:t>
            </w:r>
          </w:p>
          <w:p w14:paraId="151D1739"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p>
          <w:p w14:paraId="1810AE17"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or</w:t>
            </w:r>
          </w:p>
          <w:p w14:paraId="52F36DAA"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LM79 accepted until July 2021</w:t>
            </w:r>
          </w:p>
          <w:p w14:paraId="5FC2ED45"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54155A17"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or</w:t>
            </w:r>
          </w:p>
          <w:p w14:paraId="522DFF05"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499D346A" w14:textId="77777777" w:rsidR="003776C5" w:rsidRPr="003776C5" w:rsidRDefault="003776C5" w:rsidP="003776C5">
            <w:pPr>
              <w:spacing w:after="0" w:line="240" w:lineRule="auto"/>
              <w:rPr>
                <w:rFonts w:ascii="Verdana" w:eastAsia="Calibri" w:hAnsi="Verdana"/>
                <w:noProof w:val="0"/>
                <w:color w:val="121214"/>
                <w:sz w:val="18"/>
                <w:szCs w:val="18"/>
                <w:shd w:val="clear" w:color="auto" w:fill="FCFCFC"/>
              </w:rPr>
            </w:pPr>
            <w:r w:rsidRPr="003776C5">
              <w:rPr>
                <w:rFonts w:ascii="Verdana" w:eastAsia="Calibri" w:hAnsi="Verdana"/>
                <w:noProof w:val="0"/>
                <w:color w:val="121214"/>
                <w:sz w:val="18"/>
                <w:szCs w:val="18"/>
                <w:shd w:val="clear" w:color="auto" w:fill="FCFCFC"/>
              </w:rPr>
              <w:t>EN 13032-4:2015</w:t>
            </w:r>
          </w:p>
          <w:p w14:paraId="2EF098EE"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p>
        </w:tc>
      </w:tr>
      <w:tr w:rsidR="003776C5" w:rsidRPr="003776C5" w14:paraId="743773C7" w14:textId="77777777" w:rsidTr="003776C5">
        <w:trPr>
          <w:trHeight w:val="1500"/>
        </w:trPr>
        <w:tc>
          <w:tcPr>
            <w:tcW w:w="426" w:type="dxa"/>
            <w:shd w:val="clear" w:color="auto" w:fill="7030A0"/>
          </w:tcPr>
          <w:p w14:paraId="11503495" w14:textId="77777777" w:rsidR="003776C5" w:rsidRPr="003776C5" w:rsidRDefault="003776C5" w:rsidP="003776C5">
            <w:pPr>
              <w:spacing w:after="0" w:line="240" w:lineRule="auto"/>
              <w:rPr>
                <w:rFonts w:ascii="Calibri" w:eastAsia="Times New Roman" w:hAnsi="Calibri"/>
                <w:noProof w:val="0"/>
                <w:sz w:val="16"/>
                <w:szCs w:val="16"/>
                <w:lang w:eastAsia="en-AU"/>
              </w:rPr>
            </w:pPr>
            <w:r w:rsidRPr="003776C5">
              <w:rPr>
                <w:rFonts w:ascii="Calibri" w:eastAsia="Times New Roman" w:hAnsi="Calibri"/>
                <w:noProof w:val="0"/>
                <w:sz w:val="16"/>
                <w:szCs w:val="16"/>
                <w:lang w:eastAsia="en-AU"/>
              </w:rPr>
              <w:t>3</w:t>
            </w:r>
          </w:p>
        </w:tc>
        <w:tc>
          <w:tcPr>
            <w:tcW w:w="1529" w:type="dxa"/>
            <w:shd w:val="clear" w:color="auto" w:fill="9BBB59"/>
            <w:hideMark/>
          </w:tcPr>
          <w:p w14:paraId="4CFDE144" w14:textId="77777777" w:rsidR="003776C5" w:rsidRPr="003776C5" w:rsidRDefault="003776C5" w:rsidP="003776C5">
            <w:pPr>
              <w:spacing w:after="0" w:line="240" w:lineRule="auto"/>
              <w:rPr>
                <w:rFonts w:ascii="Calibri" w:eastAsia="Times New Roman" w:hAnsi="Calibri"/>
                <w:noProof w:val="0"/>
                <w:sz w:val="22"/>
                <w:szCs w:val="22"/>
                <w:lang w:eastAsia="en-AU"/>
              </w:rPr>
            </w:pPr>
          </w:p>
          <w:p w14:paraId="42B7BCD4" w14:textId="77777777" w:rsidR="003776C5" w:rsidRPr="003776C5" w:rsidRDefault="003776C5" w:rsidP="003776C5">
            <w:pPr>
              <w:spacing w:after="0" w:line="240" w:lineRule="auto"/>
              <w:rPr>
                <w:rFonts w:ascii="Calibri" w:eastAsia="Times New Roman" w:hAnsi="Calibri"/>
                <w:noProof w:val="0"/>
                <w:sz w:val="22"/>
                <w:szCs w:val="22"/>
                <w:lang w:eastAsia="en-AU"/>
              </w:rPr>
            </w:pPr>
            <w:r w:rsidRPr="003776C5">
              <w:rPr>
                <w:rFonts w:ascii="Calibri" w:eastAsia="Times New Roman" w:hAnsi="Calibri"/>
                <w:noProof w:val="0"/>
                <w:sz w:val="22"/>
                <w:szCs w:val="22"/>
                <w:lang w:eastAsia="en-AU"/>
              </w:rPr>
              <w:t>Centre beam luminous intensity</w:t>
            </w:r>
            <w:r w:rsidRPr="003776C5">
              <w:rPr>
                <w:rFonts w:ascii="Calibri" w:eastAsia="Times New Roman" w:hAnsi="Calibri"/>
                <w:noProof w:val="0"/>
                <w:sz w:val="22"/>
                <w:szCs w:val="22"/>
                <w:lang w:eastAsia="en-AU"/>
              </w:rPr>
              <w:br/>
            </w:r>
          </w:p>
        </w:tc>
        <w:tc>
          <w:tcPr>
            <w:tcW w:w="2893" w:type="dxa"/>
            <w:gridSpan w:val="2"/>
            <w:noWrap/>
            <w:hideMark/>
          </w:tcPr>
          <w:p w14:paraId="1DD3E3AA" w14:textId="77777777" w:rsidR="003776C5" w:rsidRPr="003776C5" w:rsidRDefault="003776C5" w:rsidP="003776C5">
            <w:pPr>
              <w:spacing w:after="0" w:line="240" w:lineRule="auto"/>
              <w:rPr>
                <w:rFonts w:ascii="Calibri" w:eastAsia="Times New Roman" w:hAnsi="Calibri"/>
                <w:noProof w:val="0"/>
                <w:sz w:val="22"/>
                <w:szCs w:val="22"/>
                <w:lang w:eastAsia="en-AU"/>
              </w:rPr>
            </w:pPr>
          </w:p>
          <w:p w14:paraId="64D1B1A5" w14:textId="77777777" w:rsidR="003776C5" w:rsidRPr="003776C5" w:rsidRDefault="003776C5" w:rsidP="003776C5">
            <w:pPr>
              <w:spacing w:after="0" w:line="240" w:lineRule="auto"/>
              <w:rPr>
                <w:rFonts w:ascii="Calibri" w:eastAsia="Times New Roman" w:hAnsi="Calibri"/>
                <w:noProof w:val="0"/>
                <w:sz w:val="22"/>
                <w:szCs w:val="22"/>
                <w:lang w:eastAsia="en-AU"/>
              </w:rPr>
            </w:pPr>
            <w:r w:rsidRPr="003776C5">
              <w:rPr>
                <w:rFonts w:ascii="Calibri" w:eastAsia="Times New Roman" w:hAnsi="Calibri"/>
                <w:noProof w:val="0"/>
                <w:sz w:val="22"/>
                <w:szCs w:val="22"/>
                <w:lang w:eastAsia="en-AU"/>
              </w:rPr>
              <w:t>N/A</w:t>
            </w:r>
          </w:p>
        </w:tc>
        <w:tc>
          <w:tcPr>
            <w:tcW w:w="2911" w:type="dxa"/>
          </w:tcPr>
          <w:p w14:paraId="5B98EC51" w14:textId="77777777" w:rsidR="003776C5" w:rsidRPr="003776C5" w:rsidRDefault="003776C5" w:rsidP="003776C5">
            <w:pPr>
              <w:spacing w:after="0" w:line="240" w:lineRule="auto"/>
              <w:rPr>
                <w:rFonts w:ascii="Calibri" w:eastAsia="Times New Roman" w:hAnsi="Calibri"/>
                <w:noProof w:val="0"/>
                <w:sz w:val="22"/>
                <w:szCs w:val="22"/>
                <w:lang w:eastAsia="en-AU"/>
              </w:rPr>
            </w:pPr>
          </w:p>
          <w:p w14:paraId="14AED66A" w14:textId="77777777" w:rsidR="003776C5" w:rsidRPr="003776C5" w:rsidRDefault="003776C5" w:rsidP="003776C5">
            <w:pPr>
              <w:spacing w:after="0" w:line="240" w:lineRule="auto"/>
              <w:rPr>
                <w:rFonts w:ascii="Calibri" w:eastAsia="Times New Roman" w:hAnsi="Calibri"/>
                <w:noProof w:val="0"/>
                <w:sz w:val="22"/>
                <w:szCs w:val="22"/>
                <w:lang w:eastAsia="en-AU"/>
              </w:rPr>
            </w:pPr>
            <w:r w:rsidRPr="003776C5">
              <w:rPr>
                <w:rFonts w:ascii="Calibri" w:eastAsia="Calibri" w:hAnsi="Calibri"/>
                <w:noProof w:val="0"/>
                <w:sz w:val="22"/>
                <w:szCs w:val="22"/>
                <w:lang w:val="en-GB"/>
              </w:rPr>
              <w:t xml:space="preserve">For MR or PAR lamps with a beam angle &lt;65°, centre beam intensity should meet equivalent levels using the online tool: </w:t>
            </w:r>
            <w:hyperlink r:id="rId57" w:history="1">
              <w:r w:rsidRPr="003776C5">
                <w:rPr>
                  <w:rFonts w:ascii="Calibri" w:eastAsia="Calibri" w:hAnsi="Calibri"/>
                  <w:noProof w:val="0"/>
                  <w:color w:val="0000FF"/>
                  <w:sz w:val="22"/>
                  <w:szCs w:val="22"/>
                  <w:u w:val="single"/>
                  <w:lang w:val="en-GB"/>
                </w:rPr>
                <w:t>http://www.energystar.gov/ia/products/lighting/iledl/IntLampCenterBeamTool.zip</w:t>
              </w:r>
            </w:hyperlink>
          </w:p>
          <w:p w14:paraId="12646512" w14:textId="77777777" w:rsidR="003776C5" w:rsidRPr="003776C5" w:rsidRDefault="003776C5" w:rsidP="003776C5">
            <w:pPr>
              <w:spacing w:after="0" w:line="240" w:lineRule="auto"/>
              <w:rPr>
                <w:rFonts w:ascii="Calibri" w:eastAsia="Times New Roman" w:hAnsi="Calibri"/>
                <w:noProof w:val="0"/>
                <w:sz w:val="22"/>
                <w:szCs w:val="22"/>
                <w:lang w:eastAsia="en-AU"/>
              </w:rPr>
            </w:pPr>
          </w:p>
          <w:p w14:paraId="30861EBC" w14:textId="77777777" w:rsidR="003776C5" w:rsidRPr="003776C5" w:rsidRDefault="003776C5" w:rsidP="003776C5">
            <w:pPr>
              <w:spacing w:after="0" w:line="240" w:lineRule="auto"/>
              <w:rPr>
                <w:rFonts w:ascii="Calibri" w:eastAsia="Times New Roman" w:hAnsi="Calibri"/>
                <w:noProof w:val="0"/>
                <w:sz w:val="22"/>
                <w:szCs w:val="22"/>
                <w:lang w:eastAsia="en-AU"/>
              </w:rPr>
            </w:pPr>
            <w:r w:rsidRPr="003776C5">
              <w:rPr>
                <w:rFonts w:ascii="Calibri" w:eastAsia="Times New Roman" w:hAnsi="Calibri"/>
                <w:noProof w:val="0"/>
                <w:sz w:val="22"/>
                <w:szCs w:val="22"/>
                <w:lang w:eastAsia="en-AU"/>
              </w:rPr>
              <w:t>For others lamps: ONLY IF CLAIMING</w:t>
            </w:r>
          </w:p>
          <w:p w14:paraId="2455D8CE" w14:textId="77777777" w:rsidR="003776C5" w:rsidRPr="003776C5" w:rsidRDefault="003776C5" w:rsidP="003776C5">
            <w:pPr>
              <w:spacing w:after="0" w:line="240" w:lineRule="auto"/>
              <w:rPr>
                <w:rFonts w:ascii="Calibri" w:eastAsia="Times New Roman" w:hAnsi="Calibri"/>
                <w:noProof w:val="0"/>
                <w:sz w:val="22"/>
                <w:szCs w:val="22"/>
                <w:lang w:eastAsia="en-AU"/>
              </w:rPr>
            </w:pPr>
            <w:r w:rsidRPr="003776C5">
              <w:rPr>
                <w:rFonts w:ascii="Calibri" w:eastAsia="Times New Roman" w:hAnsi="Calibri"/>
                <w:noProof w:val="0"/>
                <w:sz w:val="22"/>
                <w:szCs w:val="22"/>
                <w:lang w:eastAsia="en-AU"/>
              </w:rPr>
              <w:t>Centre beam luminous intensity ≥ declared value</w:t>
            </w:r>
          </w:p>
          <w:p w14:paraId="0C6B2DC2" w14:textId="77777777" w:rsidR="003776C5" w:rsidRPr="003776C5" w:rsidRDefault="003776C5" w:rsidP="003776C5">
            <w:pPr>
              <w:spacing w:after="0" w:line="240" w:lineRule="auto"/>
              <w:rPr>
                <w:rFonts w:ascii="Calibri" w:eastAsia="Times New Roman" w:hAnsi="Calibri"/>
                <w:noProof w:val="0"/>
                <w:sz w:val="22"/>
                <w:szCs w:val="22"/>
                <w:lang w:eastAsia="en-AU"/>
              </w:rPr>
            </w:pPr>
          </w:p>
        </w:tc>
        <w:tc>
          <w:tcPr>
            <w:tcW w:w="2896" w:type="dxa"/>
          </w:tcPr>
          <w:p w14:paraId="06C71391" w14:textId="77777777" w:rsidR="003776C5" w:rsidRPr="003776C5" w:rsidRDefault="003776C5" w:rsidP="003776C5">
            <w:pPr>
              <w:spacing w:after="0" w:line="240" w:lineRule="auto"/>
              <w:rPr>
                <w:rFonts w:ascii="Calibri" w:eastAsia="Times New Roman" w:hAnsi="Calibri"/>
                <w:noProof w:val="0"/>
                <w:sz w:val="22"/>
                <w:szCs w:val="22"/>
                <w:lang w:eastAsia="en-AU"/>
              </w:rPr>
            </w:pPr>
          </w:p>
          <w:p w14:paraId="1E465BF9" w14:textId="77777777" w:rsidR="003776C5" w:rsidRPr="003776C5" w:rsidRDefault="003776C5" w:rsidP="003776C5">
            <w:pPr>
              <w:spacing w:after="0" w:line="240" w:lineRule="auto"/>
              <w:rPr>
                <w:rFonts w:ascii="Calibri" w:eastAsia="Times New Roman" w:hAnsi="Calibri"/>
                <w:noProof w:val="0"/>
                <w:sz w:val="22"/>
                <w:szCs w:val="22"/>
                <w:lang w:eastAsia="en-AU"/>
              </w:rPr>
            </w:pPr>
            <w:r w:rsidRPr="003776C5">
              <w:rPr>
                <w:rFonts w:ascii="Calibri" w:eastAsia="Times New Roman" w:hAnsi="Calibri"/>
                <w:noProof w:val="0"/>
                <w:sz w:val="22"/>
                <w:szCs w:val="22"/>
                <w:lang w:eastAsia="en-AU"/>
              </w:rPr>
              <w:t>N/A</w:t>
            </w:r>
          </w:p>
        </w:tc>
        <w:tc>
          <w:tcPr>
            <w:tcW w:w="1387" w:type="dxa"/>
            <w:hideMark/>
          </w:tcPr>
          <w:p w14:paraId="0C431F13" w14:textId="77777777" w:rsidR="003776C5" w:rsidRPr="003776C5" w:rsidRDefault="003776C5" w:rsidP="003776C5">
            <w:pPr>
              <w:spacing w:after="0" w:line="240" w:lineRule="auto"/>
              <w:rPr>
                <w:rFonts w:ascii="Calibri" w:eastAsia="Times New Roman" w:hAnsi="Calibri"/>
                <w:noProof w:val="0"/>
                <w:sz w:val="22"/>
                <w:szCs w:val="22"/>
                <w:lang w:eastAsia="en-AU"/>
              </w:rPr>
            </w:pPr>
          </w:p>
          <w:p w14:paraId="060BD78D" w14:textId="77777777" w:rsidR="003776C5" w:rsidRPr="003776C5" w:rsidRDefault="003776C5" w:rsidP="003776C5">
            <w:pPr>
              <w:spacing w:after="0" w:line="240" w:lineRule="auto"/>
              <w:rPr>
                <w:rFonts w:ascii="Calibri" w:eastAsia="Times New Roman" w:hAnsi="Calibri"/>
                <w:noProof w:val="0"/>
                <w:sz w:val="22"/>
                <w:szCs w:val="22"/>
                <w:lang w:eastAsia="en-AU"/>
              </w:rPr>
            </w:pPr>
            <w:r w:rsidRPr="003776C5">
              <w:rPr>
                <w:rFonts w:ascii="Calibri" w:eastAsia="Times New Roman" w:hAnsi="Calibri"/>
                <w:noProof w:val="0"/>
                <w:sz w:val="22"/>
                <w:szCs w:val="22"/>
                <w:lang w:eastAsia="en-AU"/>
              </w:rPr>
              <w:t>10</w:t>
            </w:r>
          </w:p>
        </w:tc>
        <w:tc>
          <w:tcPr>
            <w:tcW w:w="1566" w:type="dxa"/>
            <w:hideMark/>
          </w:tcPr>
          <w:p w14:paraId="0F58DFD1" w14:textId="77777777" w:rsidR="003776C5" w:rsidRPr="003776C5" w:rsidRDefault="003776C5" w:rsidP="003776C5">
            <w:pPr>
              <w:spacing w:after="0" w:line="240" w:lineRule="auto"/>
              <w:rPr>
                <w:rFonts w:ascii="Calibri" w:eastAsia="Times New Roman" w:hAnsi="Calibri"/>
                <w:noProof w:val="0"/>
                <w:sz w:val="22"/>
                <w:szCs w:val="22"/>
                <w:lang w:eastAsia="en-AU"/>
              </w:rPr>
            </w:pPr>
          </w:p>
          <w:p w14:paraId="5F8F131D" w14:textId="77777777" w:rsidR="003776C5" w:rsidRPr="003776C5" w:rsidRDefault="003776C5" w:rsidP="003776C5">
            <w:pPr>
              <w:spacing w:after="0" w:line="240" w:lineRule="auto"/>
              <w:rPr>
                <w:rFonts w:ascii="Calibri" w:eastAsia="Calibri" w:hAnsi="Calibri"/>
                <w:noProof w:val="0"/>
                <w:sz w:val="22"/>
                <w:szCs w:val="22"/>
                <w:lang w:val="en-GB"/>
              </w:rPr>
            </w:pPr>
            <w:r w:rsidRPr="003776C5">
              <w:rPr>
                <w:rFonts w:ascii="Calibri" w:eastAsia="Calibri" w:hAnsi="Calibri"/>
                <w:noProof w:val="0"/>
                <w:sz w:val="22"/>
                <w:szCs w:val="22"/>
                <w:lang w:val="en-GB"/>
              </w:rPr>
              <w:t>For MR or PAR lamps:</w:t>
            </w:r>
          </w:p>
          <w:p w14:paraId="0EDD3699" w14:textId="77777777" w:rsidR="003776C5" w:rsidRPr="003776C5" w:rsidRDefault="003776C5" w:rsidP="003776C5">
            <w:pPr>
              <w:spacing w:after="0" w:line="240" w:lineRule="auto"/>
              <w:rPr>
                <w:rFonts w:ascii="Calibri" w:eastAsia="Times New Roman" w:hAnsi="Calibri"/>
                <w:noProof w:val="0"/>
                <w:sz w:val="22"/>
                <w:szCs w:val="22"/>
                <w:lang w:eastAsia="en-AU"/>
              </w:rPr>
            </w:pPr>
            <w:r w:rsidRPr="003776C5">
              <w:rPr>
                <w:rFonts w:ascii="Calibri" w:eastAsia="Times New Roman" w:hAnsi="Calibri"/>
                <w:noProof w:val="0"/>
                <w:sz w:val="22"/>
                <w:szCs w:val="22"/>
                <w:lang w:eastAsia="en-AU"/>
              </w:rPr>
              <w:t xml:space="preserve">Average ≥ equivalent level </w:t>
            </w:r>
          </w:p>
          <w:p w14:paraId="5784571C" w14:textId="77777777" w:rsidR="003776C5" w:rsidRPr="003776C5" w:rsidRDefault="003776C5" w:rsidP="003776C5">
            <w:pPr>
              <w:spacing w:after="0" w:line="240" w:lineRule="auto"/>
              <w:rPr>
                <w:rFonts w:ascii="Calibri" w:eastAsia="Times New Roman" w:hAnsi="Calibri"/>
                <w:noProof w:val="0"/>
                <w:sz w:val="22"/>
                <w:szCs w:val="22"/>
                <w:lang w:eastAsia="en-AU"/>
              </w:rPr>
            </w:pPr>
          </w:p>
          <w:p w14:paraId="0B0EAA9C" w14:textId="77777777" w:rsidR="003776C5" w:rsidRPr="003776C5" w:rsidRDefault="003776C5" w:rsidP="003776C5">
            <w:pPr>
              <w:spacing w:after="0" w:line="240" w:lineRule="auto"/>
              <w:rPr>
                <w:rFonts w:ascii="Calibri" w:eastAsia="Times New Roman" w:hAnsi="Calibri"/>
                <w:noProof w:val="0"/>
                <w:sz w:val="22"/>
                <w:szCs w:val="22"/>
                <w:lang w:eastAsia="en-AU"/>
              </w:rPr>
            </w:pPr>
            <w:r w:rsidRPr="003776C5">
              <w:rPr>
                <w:rFonts w:ascii="Calibri" w:eastAsia="Times New Roman" w:hAnsi="Calibri"/>
                <w:noProof w:val="0"/>
                <w:sz w:val="22"/>
                <w:szCs w:val="22"/>
                <w:lang w:eastAsia="en-AU"/>
              </w:rPr>
              <w:t>For other lamps:</w:t>
            </w:r>
          </w:p>
          <w:p w14:paraId="4CB3E98E" w14:textId="77777777" w:rsidR="003776C5" w:rsidRPr="003776C5" w:rsidRDefault="003776C5" w:rsidP="003776C5">
            <w:pPr>
              <w:spacing w:after="0" w:line="240" w:lineRule="auto"/>
              <w:rPr>
                <w:rFonts w:ascii="Calibri" w:eastAsia="Times New Roman" w:hAnsi="Calibri"/>
                <w:noProof w:val="0"/>
                <w:sz w:val="22"/>
                <w:szCs w:val="22"/>
                <w:lang w:eastAsia="en-AU"/>
              </w:rPr>
            </w:pPr>
          </w:p>
          <w:p w14:paraId="2D13BFFC" w14:textId="77777777" w:rsidR="003776C5" w:rsidRPr="003776C5" w:rsidRDefault="003776C5" w:rsidP="003776C5">
            <w:pPr>
              <w:spacing w:after="0" w:line="240" w:lineRule="auto"/>
              <w:rPr>
                <w:rFonts w:ascii="Calibri" w:eastAsia="Times New Roman" w:hAnsi="Calibri"/>
                <w:noProof w:val="0"/>
                <w:sz w:val="22"/>
                <w:szCs w:val="22"/>
                <w:lang w:eastAsia="en-AU"/>
              </w:rPr>
            </w:pPr>
            <w:r w:rsidRPr="003776C5">
              <w:rPr>
                <w:rFonts w:ascii="Calibri" w:eastAsia="Times New Roman" w:hAnsi="Calibri"/>
                <w:noProof w:val="0"/>
                <w:sz w:val="22"/>
                <w:szCs w:val="22"/>
                <w:lang w:eastAsia="en-AU"/>
              </w:rPr>
              <w:t>Average ≥ declared value</w:t>
            </w:r>
          </w:p>
        </w:tc>
        <w:tc>
          <w:tcPr>
            <w:tcW w:w="1418" w:type="dxa"/>
          </w:tcPr>
          <w:p w14:paraId="69B8E064"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74853ED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highlight w:val="yellow"/>
                <w:lang w:eastAsia="en-AU"/>
              </w:rPr>
              <w:t>CIE S025</w:t>
            </w:r>
          </w:p>
          <w:p w14:paraId="36C9524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6466CF1A"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or</w:t>
            </w:r>
          </w:p>
          <w:p w14:paraId="5723F9B3"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1A2F3F64"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LM79 accepted until July 2021</w:t>
            </w:r>
          </w:p>
          <w:p w14:paraId="219FA05E"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03D8031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or</w:t>
            </w:r>
          </w:p>
          <w:p w14:paraId="10FBC4D4"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25BABE54" w14:textId="77777777" w:rsidR="003776C5" w:rsidRPr="003776C5" w:rsidRDefault="003776C5" w:rsidP="003776C5">
            <w:pPr>
              <w:spacing w:after="0" w:line="240" w:lineRule="auto"/>
              <w:rPr>
                <w:rFonts w:ascii="Verdana" w:eastAsia="Calibri" w:hAnsi="Verdana"/>
                <w:noProof w:val="0"/>
                <w:color w:val="121214"/>
                <w:sz w:val="18"/>
                <w:szCs w:val="18"/>
                <w:shd w:val="clear" w:color="auto" w:fill="FCFCFC"/>
              </w:rPr>
            </w:pPr>
            <w:r w:rsidRPr="003776C5">
              <w:rPr>
                <w:rFonts w:ascii="Verdana" w:eastAsia="Calibri" w:hAnsi="Verdana"/>
                <w:noProof w:val="0"/>
                <w:color w:val="121214"/>
                <w:sz w:val="18"/>
                <w:szCs w:val="18"/>
                <w:shd w:val="clear" w:color="auto" w:fill="FCFCFC"/>
              </w:rPr>
              <w:t>EN 13032-4:2015</w:t>
            </w:r>
          </w:p>
          <w:p w14:paraId="082450AB" w14:textId="77777777" w:rsidR="003776C5" w:rsidRPr="003776C5" w:rsidRDefault="003776C5" w:rsidP="003776C5">
            <w:pPr>
              <w:spacing w:after="0" w:line="240" w:lineRule="auto"/>
              <w:rPr>
                <w:rFonts w:ascii="Calibri" w:eastAsia="Times New Roman" w:hAnsi="Calibri"/>
                <w:noProof w:val="0"/>
                <w:sz w:val="22"/>
                <w:szCs w:val="22"/>
                <w:lang w:eastAsia="en-AU"/>
              </w:rPr>
            </w:pPr>
          </w:p>
        </w:tc>
      </w:tr>
      <w:tr w:rsidR="003776C5" w:rsidRPr="003776C5" w14:paraId="74F51F62" w14:textId="77777777" w:rsidTr="006B00C9">
        <w:trPr>
          <w:trHeight w:val="600"/>
        </w:trPr>
        <w:tc>
          <w:tcPr>
            <w:tcW w:w="426" w:type="dxa"/>
            <w:shd w:val="clear" w:color="auto" w:fill="7030A0"/>
          </w:tcPr>
          <w:p w14:paraId="0E619A53"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20</w:t>
            </w:r>
          </w:p>
        </w:tc>
        <w:tc>
          <w:tcPr>
            <w:tcW w:w="1529" w:type="dxa"/>
          </w:tcPr>
          <w:p w14:paraId="516A0D89"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6C96212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Maximum high angle Luminance</w:t>
            </w:r>
          </w:p>
        </w:tc>
        <w:tc>
          <w:tcPr>
            <w:tcW w:w="5804" w:type="dxa"/>
            <w:gridSpan w:val="3"/>
            <w:noWrap/>
          </w:tcPr>
          <w:p w14:paraId="5681B917"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49A699EC"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ab/>
            </w:r>
            <w:r w:rsidRPr="003776C5">
              <w:rPr>
                <w:rFonts w:ascii="Calibri" w:eastAsia="Times New Roman" w:hAnsi="Calibri"/>
                <w:noProof w:val="0"/>
                <w:color w:val="000000"/>
                <w:sz w:val="22"/>
                <w:szCs w:val="22"/>
                <w:lang w:eastAsia="en-AU"/>
              </w:rPr>
              <w:tab/>
              <w:t>N/A</w:t>
            </w:r>
          </w:p>
        </w:tc>
        <w:tc>
          <w:tcPr>
            <w:tcW w:w="2896" w:type="dxa"/>
          </w:tcPr>
          <w:p w14:paraId="176BC229" w14:textId="77777777" w:rsidR="003776C5" w:rsidRPr="003776C5" w:rsidRDefault="003776C5" w:rsidP="003776C5">
            <w:pPr>
              <w:spacing w:after="0" w:line="240" w:lineRule="auto"/>
              <w:rPr>
                <w:rFonts w:ascii="Calibri" w:eastAsia="Calibri" w:hAnsi="Calibri"/>
                <w:noProof w:val="0"/>
                <w:color w:val="000000"/>
                <w:sz w:val="22"/>
                <w:szCs w:val="22"/>
              </w:rPr>
            </w:pPr>
          </w:p>
          <w:p w14:paraId="1C04670E" w14:textId="77777777" w:rsidR="003776C5" w:rsidRPr="003776C5" w:rsidRDefault="003776C5" w:rsidP="003776C5">
            <w:pPr>
              <w:spacing w:after="0" w:line="240" w:lineRule="auto"/>
              <w:rPr>
                <w:rFonts w:ascii="Calibri" w:eastAsia="Calibri" w:hAnsi="Calibri"/>
                <w:noProof w:val="0"/>
                <w:color w:val="000000"/>
                <w:sz w:val="22"/>
                <w:szCs w:val="22"/>
              </w:rPr>
            </w:pPr>
            <w:r w:rsidRPr="003776C5">
              <w:rPr>
                <w:rFonts w:ascii="Calibri" w:eastAsia="Calibri" w:hAnsi="Calibri"/>
                <w:noProof w:val="0"/>
                <w:color w:val="000000"/>
                <w:sz w:val="22"/>
                <w:szCs w:val="22"/>
              </w:rPr>
              <w:t>When the gamma (ɣ) angle exceeds 60 degrees, the light source luminance is no more than 10,000 candela/m</w:t>
            </w:r>
            <w:r w:rsidRPr="003776C5">
              <w:rPr>
                <w:rFonts w:ascii="Calibri" w:eastAsia="Calibri" w:hAnsi="Calibri"/>
                <w:noProof w:val="0"/>
                <w:color w:val="000000"/>
                <w:sz w:val="22"/>
                <w:szCs w:val="22"/>
                <w:vertAlign w:val="superscript"/>
              </w:rPr>
              <w:t>2</w:t>
            </w:r>
            <w:r w:rsidRPr="003776C5">
              <w:rPr>
                <w:rFonts w:ascii="Calibri" w:eastAsia="Calibri" w:hAnsi="Calibri"/>
                <w:noProof w:val="0"/>
                <w:color w:val="000000"/>
                <w:sz w:val="22"/>
                <w:szCs w:val="22"/>
              </w:rPr>
              <w:t xml:space="preserve"> in C</w:t>
            </w:r>
            <w:r w:rsidRPr="003776C5">
              <w:rPr>
                <w:rFonts w:ascii="Calibri" w:eastAsia="Calibri" w:hAnsi="Calibri"/>
                <w:noProof w:val="0"/>
                <w:color w:val="000000"/>
                <w:sz w:val="22"/>
                <w:szCs w:val="22"/>
                <w:vertAlign w:val="subscript"/>
              </w:rPr>
              <w:t>0</w:t>
            </w:r>
            <w:r w:rsidRPr="003776C5">
              <w:rPr>
                <w:rFonts w:ascii="Calibri" w:eastAsia="Calibri" w:hAnsi="Calibri"/>
                <w:noProof w:val="0"/>
                <w:color w:val="000000"/>
                <w:sz w:val="22"/>
                <w:szCs w:val="22"/>
              </w:rPr>
              <w:t>, C</w:t>
            </w:r>
            <w:r w:rsidRPr="003776C5">
              <w:rPr>
                <w:rFonts w:ascii="Calibri" w:eastAsia="Calibri" w:hAnsi="Calibri"/>
                <w:noProof w:val="0"/>
                <w:color w:val="000000"/>
                <w:sz w:val="22"/>
                <w:szCs w:val="22"/>
                <w:vertAlign w:val="subscript"/>
              </w:rPr>
              <w:t>45</w:t>
            </w:r>
            <w:r w:rsidRPr="003776C5">
              <w:rPr>
                <w:rFonts w:ascii="Calibri" w:eastAsia="Calibri" w:hAnsi="Calibri"/>
                <w:noProof w:val="0"/>
                <w:color w:val="000000"/>
                <w:sz w:val="22"/>
                <w:szCs w:val="22"/>
              </w:rPr>
              <w:t xml:space="preserve"> and C</w:t>
            </w:r>
            <w:r w:rsidRPr="003776C5">
              <w:rPr>
                <w:rFonts w:ascii="Calibri" w:eastAsia="Calibri" w:hAnsi="Calibri"/>
                <w:noProof w:val="0"/>
                <w:color w:val="000000"/>
                <w:sz w:val="22"/>
                <w:szCs w:val="22"/>
                <w:vertAlign w:val="subscript"/>
              </w:rPr>
              <w:t>90</w:t>
            </w:r>
            <w:r w:rsidRPr="003776C5">
              <w:rPr>
                <w:rFonts w:ascii="Calibri" w:eastAsia="Calibri" w:hAnsi="Calibri"/>
                <w:noProof w:val="0"/>
                <w:color w:val="000000"/>
                <w:sz w:val="22"/>
                <w:szCs w:val="22"/>
              </w:rPr>
              <w:t xml:space="preserve"> planes</w:t>
            </w:r>
          </w:p>
          <w:p w14:paraId="6FF2347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tc>
        <w:tc>
          <w:tcPr>
            <w:tcW w:w="1387" w:type="dxa"/>
          </w:tcPr>
          <w:p w14:paraId="39D4864A"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2930877F"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3</w:t>
            </w:r>
          </w:p>
        </w:tc>
        <w:tc>
          <w:tcPr>
            <w:tcW w:w="1566" w:type="dxa"/>
          </w:tcPr>
          <w:p w14:paraId="45CAD8F8"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11F28706"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All lamps satisfy requirements</w:t>
            </w:r>
          </w:p>
        </w:tc>
        <w:tc>
          <w:tcPr>
            <w:tcW w:w="1418" w:type="dxa"/>
          </w:tcPr>
          <w:p w14:paraId="2032BE5C"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55BD8658"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highlight w:val="yellow"/>
                <w:lang w:eastAsia="en-AU"/>
              </w:rPr>
              <w:t>CIE S025</w:t>
            </w:r>
          </w:p>
          <w:p w14:paraId="62D7BD47"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0985286F"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or</w:t>
            </w:r>
          </w:p>
          <w:p w14:paraId="546CE36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705D697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LM79 accepted until July 2021</w:t>
            </w:r>
          </w:p>
          <w:p w14:paraId="4AA311A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6CE837CF"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or</w:t>
            </w:r>
          </w:p>
          <w:p w14:paraId="23B1F6B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7D5371EB" w14:textId="77777777" w:rsidR="003776C5" w:rsidRPr="003776C5" w:rsidRDefault="003776C5" w:rsidP="003776C5">
            <w:pPr>
              <w:spacing w:after="0" w:line="240" w:lineRule="auto"/>
              <w:rPr>
                <w:rFonts w:ascii="Verdana" w:eastAsia="Calibri" w:hAnsi="Verdana"/>
                <w:noProof w:val="0"/>
                <w:color w:val="121214"/>
                <w:sz w:val="18"/>
                <w:szCs w:val="18"/>
                <w:shd w:val="clear" w:color="auto" w:fill="FCFCFC"/>
              </w:rPr>
            </w:pPr>
            <w:r w:rsidRPr="003776C5">
              <w:rPr>
                <w:rFonts w:ascii="Verdana" w:eastAsia="Calibri" w:hAnsi="Verdana"/>
                <w:noProof w:val="0"/>
                <w:color w:val="121214"/>
                <w:sz w:val="18"/>
                <w:szCs w:val="18"/>
                <w:shd w:val="clear" w:color="auto" w:fill="FCFCFC"/>
              </w:rPr>
              <w:t>EN 13032-4:2015</w:t>
            </w:r>
          </w:p>
          <w:p w14:paraId="05464C98"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tc>
      </w:tr>
      <w:tr w:rsidR="003776C5" w:rsidRPr="003776C5" w14:paraId="2401D46A" w14:textId="77777777" w:rsidTr="003776C5">
        <w:trPr>
          <w:trHeight w:val="270"/>
        </w:trPr>
        <w:tc>
          <w:tcPr>
            <w:tcW w:w="426" w:type="dxa"/>
            <w:shd w:val="clear" w:color="auto" w:fill="C6D9F1"/>
          </w:tcPr>
          <w:p w14:paraId="7AC1ED55"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p>
        </w:tc>
        <w:tc>
          <w:tcPr>
            <w:tcW w:w="14600" w:type="dxa"/>
            <w:gridSpan w:val="8"/>
            <w:shd w:val="clear" w:color="auto" w:fill="C6D9F1"/>
          </w:tcPr>
          <w:p w14:paraId="7CBAC418"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Colour</w:t>
            </w:r>
          </w:p>
        </w:tc>
      </w:tr>
      <w:tr w:rsidR="003776C5" w:rsidRPr="003776C5" w14:paraId="254A7B09" w14:textId="77777777" w:rsidTr="003776C5">
        <w:trPr>
          <w:trHeight w:val="728"/>
        </w:trPr>
        <w:tc>
          <w:tcPr>
            <w:tcW w:w="426" w:type="dxa"/>
            <w:shd w:val="clear" w:color="auto" w:fill="7030A0"/>
          </w:tcPr>
          <w:p w14:paraId="753EBE8C"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7</w:t>
            </w:r>
          </w:p>
        </w:tc>
        <w:tc>
          <w:tcPr>
            <w:tcW w:w="1529" w:type="dxa"/>
            <w:shd w:val="clear" w:color="auto" w:fill="9BBB59"/>
            <w:hideMark/>
          </w:tcPr>
          <w:p w14:paraId="0320EB1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20E85A87"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Colour Rendering</w:t>
            </w:r>
          </w:p>
        </w:tc>
        <w:tc>
          <w:tcPr>
            <w:tcW w:w="8700" w:type="dxa"/>
            <w:gridSpan w:val="4"/>
            <w:noWrap/>
            <w:hideMark/>
          </w:tcPr>
          <w:p w14:paraId="0CE5C038"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650BE049" w14:textId="77777777" w:rsidR="003776C5" w:rsidRPr="003776C5" w:rsidRDefault="003776C5" w:rsidP="003776C5">
            <w:pPr>
              <w:spacing w:after="0" w:line="240" w:lineRule="auto"/>
              <w:jc w:val="center"/>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Ra ≥ 80</w:t>
            </w:r>
          </w:p>
        </w:tc>
        <w:tc>
          <w:tcPr>
            <w:tcW w:w="1387" w:type="dxa"/>
            <w:hideMark/>
          </w:tcPr>
          <w:p w14:paraId="13A8365A"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3739C867"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10 </w:t>
            </w:r>
          </w:p>
        </w:tc>
        <w:tc>
          <w:tcPr>
            <w:tcW w:w="1566" w:type="dxa"/>
            <w:hideMark/>
          </w:tcPr>
          <w:p w14:paraId="3EC9E99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63140FD6"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Average ≥ value specified</w:t>
            </w:r>
          </w:p>
        </w:tc>
        <w:tc>
          <w:tcPr>
            <w:tcW w:w="1418" w:type="dxa"/>
          </w:tcPr>
          <w:p w14:paraId="13B082D9"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75988D34"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highlight w:val="yellow"/>
                <w:lang w:eastAsia="en-AU"/>
              </w:rPr>
              <w:t>CIE S025</w:t>
            </w:r>
            <w:r w:rsidRPr="003776C5">
              <w:rPr>
                <w:rFonts w:ascii="Calibri" w:eastAsia="Times New Roman" w:hAnsi="Calibri"/>
                <w:noProof w:val="0"/>
                <w:color w:val="000000"/>
                <w:sz w:val="22"/>
                <w:szCs w:val="22"/>
                <w:lang w:eastAsia="en-AU"/>
              </w:rPr>
              <w:t xml:space="preserve"> (refers to CIE 13.3)</w:t>
            </w:r>
          </w:p>
          <w:p w14:paraId="786E03F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2F9A1EBA"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or</w:t>
            </w:r>
          </w:p>
          <w:p w14:paraId="469987E2"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0AFEB96E"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LM79 accepted until July 2021</w:t>
            </w:r>
          </w:p>
          <w:p w14:paraId="691C59A5"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7FA800F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or</w:t>
            </w:r>
          </w:p>
          <w:p w14:paraId="6B3A888E"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3F9594AA" w14:textId="77777777" w:rsidR="003776C5" w:rsidRPr="003776C5" w:rsidRDefault="003776C5" w:rsidP="003776C5">
            <w:pPr>
              <w:spacing w:after="0" w:line="240" w:lineRule="auto"/>
              <w:rPr>
                <w:rFonts w:ascii="Verdana" w:eastAsia="Calibri" w:hAnsi="Verdana"/>
                <w:noProof w:val="0"/>
                <w:color w:val="121214"/>
                <w:sz w:val="18"/>
                <w:szCs w:val="18"/>
                <w:shd w:val="clear" w:color="auto" w:fill="FCFCFC"/>
              </w:rPr>
            </w:pPr>
            <w:r w:rsidRPr="003776C5">
              <w:rPr>
                <w:rFonts w:ascii="Verdana" w:eastAsia="Calibri" w:hAnsi="Verdana"/>
                <w:noProof w:val="0"/>
                <w:color w:val="121214"/>
                <w:sz w:val="18"/>
                <w:szCs w:val="18"/>
                <w:shd w:val="clear" w:color="auto" w:fill="FCFCFC"/>
              </w:rPr>
              <w:t>EN 13032-4:2015</w:t>
            </w:r>
          </w:p>
          <w:p w14:paraId="687518F2"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6F4AD7EC" w14:textId="77777777" w:rsidR="003776C5" w:rsidRPr="003776C5" w:rsidRDefault="003776C5" w:rsidP="003776C5">
            <w:pPr>
              <w:spacing w:after="0" w:line="240" w:lineRule="auto"/>
              <w:rPr>
                <w:rFonts w:ascii="Calibri" w:eastAsia="Times New Roman" w:hAnsi="Calibri"/>
                <w:noProof w:val="0"/>
                <w:color w:val="000000"/>
                <w:sz w:val="22"/>
                <w:szCs w:val="22"/>
                <w:highlight w:val="lightGray"/>
                <w:lang w:eastAsia="en-AU"/>
              </w:rPr>
            </w:pPr>
          </w:p>
        </w:tc>
      </w:tr>
      <w:tr w:rsidR="003776C5" w:rsidRPr="003776C5" w14:paraId="2D6E60CF" w14:textId="77777777" w:rsidTr="003776C5">
        <w:trPr>
          <w:trHeight w:val="568"/>
        </w:trPr>
        <w:tc>
          <w:tcPr>
            <w:tcW w:w="426" w:type="dxa"/>
            <w:shd w:val="clear" w:color="auto" w:fill="7030A0"/>
          </w:tcPr>
          <w:p w14:paraId="355EDD50"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8</w:t>
            </w:r>
          </w:p>
        </w:tc>
        <w:tc>
          <w:tcPr>
            <w:tcW w:w="1529" w:type="dxa"/>
            <w:shd w:val="clear" w:color="auto" w:fill="9BBB59"/>
            <w:hideMark/>
          </w:tcPr>
          <w:p w14:paraId="135D262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778C47DA"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Colour Appearance</w:t>
            </w:r>
          </w:p>
        </w:tc>
        <w:tc>
          <w:tcPr>
            <w:tcW w:w="8700" w:type="dxa"/>
            <w:gridSpan w:val="4"/>
            <w:noWrap/>
          </w:tcPr>
          <w:p w14:paraId="5BAD792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290E53F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Lamp must have one of the following nominal CCTs consistent with the 7-step chromaticity quadrangles and Duv tolerances below.</w:t>
            </w:r>
            <w:r w:rsidRPr="003776C5">
              <w:rPr>
                <w:rFonts w:ascii="Calibri" w:eastAsia="Times New Roman" w:hAnsi="Calibri"/>
                <w:noProof w:val="0"/>
                <w:color w:val="000000"/>
                <w:sz w:val="22"/>
                <w:szCs w:val="22"/>
                <w:vertAlign w:val="superscript"/>
                <w:lang w:eastAsia="en-AU"/>
              </w:rPr>
              <w:footnoteReference w:id="16"/>
            </w:r>
          </w:p>
          <w:p w14:paraId="25B71EE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7D29D317" w14:textId="77777777" w:rsidR="003776C5" w:rsidRPr="003776C5" w:rsidRDefault="003776C5" w:rsidP="003776C5">
            <w:pPr>
              <w:spacing w:after="0" w:line="240" w:lineRule="auto"/>
              <w:jc w:val="center"/>
              <w:rPr>
                <w:rFonts w:ascii="Calibri" w:eastAsia="Times New Roman" w:hAnsi="Calibri"/>
                <w:noProof w:val="0"/>
                <w:color w:val="000000"/>
                <w:sz w:val="22"/>
                <w:szCs w:val="22"/>
                <w:lang w:eastAsia="en-AU"/>
              </w:rPr>
            </w:pPr>
            <w:r w:rsidRPr="003776C5">
              <w:rPr>
                <w:rFonts w:ascii="Calibri" w:eastAsia="Calibri" w:hAnsi="Calibri"/>
                <w:sz w:val="22"/>
                <w:szCs w:val="22"/>
                <w:lang w:eastAsia="en-AU"/>
              </w:rPr>
              <w:drawing>
                <wp:inline distT="0" distB="0" distL="0" distR="0" wp14:anchorId="23717983" wp14:editId="534F6437">
                  <wp:extent cx="4051740" cy="2447925"/>
                  <wp:effectExtent l="0" t="0" r="6350" b="0"/>
                  <wp:docPr id="28" name="Picture 8" descr="Th 7-step chromaticity quadrangles range from 2200 to 6500 Kelvin" title="Table of nominal C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58"/>
                          <a:srcRect r="343"/>
                          <a:stretch/>
                        </pic:blipFill>
                        <pic:spPr bwMode="auto">
                          <a:xfrm>
                            <a:off x="0" y="0"/>
                            <a:ext cx="4061252" cy="2453672"/>
                          </a:xfrm>
                          <a:prstGeom prst="rect">
                            <a:avLst/>
                          </a:prstGeom>
                          <a:ln>
                            <a:noFill/>
                          </a:ln>
                          <a:extLst>
                            <a:ext uri="{53640926-AAD7-44D8-BBD7-CCE9431645EC}">
                              <a14:shadowObscured xmlns:a14="http://schemas.microsoft.com/office/drawing/2010/main"/>
                            </a:ext>
                          </a:extLst>
                        </pic:spPr>
                      </pic:pic>
                    </a:graphicData>
                  </a:graphic>
                </wp:inline>
              </w:drawing>
            </w:r>
          </w:p>
          <w:p w14:paraId="489422A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tc>
        <w:tc>
          <w:tcPr>
            <w:tcW w:w="1387" w:type="dxa"/>
            <w:hideMark/>
          </w:tcPr>
          <w:p w14:paraId="760124F8"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24F43DEC"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10 </w:t>
            </w:r>
          </w:p>
        </w:tc>
        <w:tc>
          <w:tcPr>
            <w:tcW w:w="1566" w:type="dxa"/>
            <w:hideMark/>
          </w:tcPr>
          <w:p w14:paraId="48F85C14" w14:textId="77777777" w:rsidR="003776C5" w:rsidRPr="003776C5" w:rsidRDefault="003776C5" w:rsidP="003776C5">
            <w:pPr>
              <w:spacing w:after="0" w:line="240" w:lineRule="auto"/>
              <w:rPr>
                <w:rFonts w:ascii="Calibri" w:eastAsia="Calibri" w:hAnsi="Calibri"/>
                <w:noProof w:val="0"/>
                <w:color w:val="000000"/>
                <w:sz w:val="22"/>
                <w:szCs w:val="22"/>
              </w:rPr>
            </w:pPr>
          </w:p>
          <w:p w14:paraId="7AF140D5" w14:textId="77777777" w:rsidR="003776C5" w:rsidRPr="003776C5" w:rsidRDefault="003776C5" w:rsidP="003776C5">
            <w:pPr>
              <w:spacing w:after="0" w:line="240" w:lineRule="auto"/>
              <w:rPr>
                <w:rFonts w:ascii="Calibri" w:eastAsia="Calibri" w:hAnsi="Calibri"/>
                <w:noProof w:val="0"/>
                <w:color w:val="000000"/>
                <w:sz w:val="22"/>
                <w:szCs w:val="22"/>
              </w:rPr>
            </w:pPr>
            <w:r w:rsidRPr="003776C5">
              <w:rPr>
                <w:rFonts w:ascii="Calibri" w:eastAsia="Calibri" w:hAnsi="Calibri"/>
                <w:noProof w:val="0"/>
                <w:color w:val="000000"/>
                <w:sz w:val="22"/>
                <w:szCs w:val="22"/>
              </w:rPr>
              <w:t>All samples shall have Chromaticity values that fall into the rated nominal CCT quadrangle</w:t>
            </w:r>
          </w:p>
          <w:p w14:paraId="145115DB" w14:textId="77777777" w:rsidR="003776C5" w:rsidRPr="003776C5" w:rsidRDefault="003776C5" w:rsidP="003776C5">
            <w:pPr>
              <w:spacing w:after="0" w:line="240" w:lineRule="auto"/>
              <w:rPr>
                <w:rFonts w:ascii="Calibri" w:eastAsia="Calibri" w:hAnsi="Calibri"/>
                <w:noProof w:val="0"/>
                <w:color w:val="000000"/>
                <w:sz w:val="22"/>
                <w:szCs w:val="22"/>
              </w:rPr>
            </w:pPr>
          </w:p>
          <w:p w14:paraId="05C02A62"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tc>
        <w:tc>
          <w:tcPr>
            <w:tcW w:w="1418" w:type="dxa"/>
          </w:tcPr>
          <w:p w14:paraId="3826B17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3F720C99"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highlight w:val="yellow"/>
                <w:lang w:eastAsia="en-AU"/>
              </w:rPr>
              <w:t>CIE S025</w:t>
            </w:r>
            <w:r w:rsidRPr="003776C5">
              <w:rPr>
                <w:rFonts w:ascii="Calibri" w:eastAsia="Times New Roman" w:hAnsi="Calibri"/>
                <w:noProof w:val="0"/>
                <w:color w:val="000000"/>
                <w:sz w:val="22"/>
                <w:szCs w:val="22"/>
                <w:lang w:eastAsia="en-AU"/>
              </w:rPr>
              <w:t xml:space="preserve"> (refers to CIE S015)</w:t>
            </w:r>
          </w:p>
          <w:p w14:paraId="155A2D8A"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3F91C673"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or</w:t>
            </w:r>
          </w:p>
          <w:p w14:paraId="5676EFE9"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2BDE9816"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LM79 accepted until July 2021</w:t>
            </w:r>
          </w:p>
          <w:p w14:paraId="157D40B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0127585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or</w:t>
            </w:r>
          </w:p>
          <w:p w14:paraId="5D7592A5"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028799E4" w14:textId="77777777" w:rsidR="003776C5" w:rsidRPr="003776C5" w:rsidRDefault="003776C5" w:rsidP="003776C5">
            <w:pPr>
              <w:spacing w:after="0" w:line="240" w:lineRule="auto"/>
              <w:rPr>
                <w:rFonts w:ascii="Verdana" w:eastAsia="Calibri" w:hAnsi="Verdana"/>
                <w:noProof w:val="0"/>
                <w:color w:val="121214"/>
                <w:sz w:val="18"/>
                <w:szCs w:val="18"/>
                <w:shd w:val="clear" w:color="auto" w:fill="FCFCFC"/>
              </w:rPr>
            </w:pPr>
            <w:r w:rsidRPr="003776C5">
              <w:rPr>
                <w:rFonts w:ascii="Verdana" w:eastAsia="Calibri" w:hAnsi="Verdana"/>
                <w:noProof w:val="0"/>
                <w:color w:val="121214"/>
                <w:sz w:val="18"/>
                <w:szCs w:val="18"/>
                <w:shd w:val="clear" w:color="auto" w:fill="FCFCFC"/>
              </w:rPr>
              <w:t>EN 13032-4:2015</w:t>
            </w:r>
          </w:p>
          <w:p w14:paraId="27276585" w14:textId="77777777" w:rsidR="003776C5" w:rsidRPr="003776C5" w:rsidRDefault="003776C5" w:rsidP="003776C5">
            <w:pPr>
              <w:spacing w:after="0" w:line="240" w:lineRule="auto"/>
              <w:rPr>
                <w:rFonts w:ascii="Calibri" w:eastAsia="Calibri" w:hAnsi="Calibri"/>
                <w:noProof w:val="0"/>
                <w:color w:val="000000"/>
                <w:sz w:val="22"/>
                <w:szCs w:val="22"/>
              </w:rPr>
            </w:pPr>
          </w:p>
        </w:tc>
      </w:tr>
      <w:tr w:rsidR="003776C5" w:rsidRPr="003776C5" w14:paraId="528403FD" w14:textId="77777777" w:rsidTr="003776C5">
        <w:trPr>
          <w:trHeight w:val="270"/>
        </w:trPr>
        <w:tc>
          <w:tcPr>
            <w:tcW w:w="426" w:type="dxa"/>
            <w:shd w:val="clear" w:color="auto" w:fill="C6D9F1"/>
          </w:tcPr>
          <w:p w14:paraId="7E84A63C"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p>
        </w:tc>
        <w:tc>
          <w:tcPr>
            <w:tcW w:w="14600" w:type="dxa"/>
            <w:gridSpan w:val="8"/>
            <w:shd w:val="clear" w:color="auto" w:fill="C6D9F1"/>
          </w:tcPr>
          <w:p w14:paraId="41EA3F1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Life</w:t>
            </w:r>
          </w:p>
        </w:tc>
      </w:tr>
      <w:tr w:rsidR="003776C5" w:rsidRPr="003776C5" w14:paraId="18C8FFC1" w14:textId="77777777" w:rsidTr="003776C5">
        <w:trPr>
          <w:trHeight w:val="709"/>
        </w:trPr>
        <w:tc>
          <w:tcPr>
            <w:tcW w:w="426" w:type="dxa"/>
            <w:shd w:val="clear" w:color="auto" w:fill="7030A0"/>
          </w:tcPr>
          <w:p w14:paraId="2D99F38D"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10</w:t>
            </w:r>
          </w:p>
        </w:tc>
        <w:tc>
          <w:tcPr>
            <w:tcW w:w="1529" w:type="dxa"/>
            <w:shd w:val="clear" w:color="auto" w:fill="9BBB59"/>
            <w:hideMark/>
          </w:tcPr>
          <w:p w14:paraId="06213E9E"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446BF76F"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Endurance</w:t>
            </w:r>
          </w:p>
        </w:tc>
        <w:tc>
          <w:tcPr>
            <w:tcW w:w="8700" w:type="dxa"/>
            <w:gridSpan w:val="4"/>
            <w:noWrap/>
            <w:hideMark/>
          </w:tcPr>
          <w:p w14:paraId="7D003476"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0BE99C97"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Must survive one switching cycle for every 2 hours of rated life </w:t>
            </w:r>
          </w:p>
          <w:p w14:paraId="1C28FAF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Must survive temperature cycling test for 1,000 hours</w:t>
            </w:r>
          </w:p>
          <w:p w14:paraId="6B2F97DC"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Must survive accelerated operational life test for 1,000 hours</w:t>
            </w:r>
          </w:p>
          <w:p w14:paraId="1BE1C87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tc>
        <w:tc>
          <w:tcPr>
            <w:tcW w:w="1387" w:type="dxa"/>
            <w:hideMark/>
          </w:tcPr>
          <w:p w14:paraId="3FD516B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6CD61465"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10</w:t>
            </w:r>
          </w:p>
        </w:tc>
        <w:tc>
          <w:tcPr>
            <w:tcW w:w="1566" w:type="dxa"/>
          </w:tcPr>
          <w:p w14:paraId="6BD94852"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09B865B5"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Satisfy conditions of the test method.</w:t>
            </w:r>
          </w:p>
          <w:p w14:paraId="0222843C"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tc>
        <w:tc>
          <w:tcPr>
            <w:tcW w:w="1418" w:type="dxa"/>
            <w:shd w:val="clear" w:color="auto" w:fill="auto"/>
          </w:tcPr>
          <w:p w14:paraId="01379D1C"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4D92EE33"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highlight w:val="yellow"/>
                <w:lang w:eastAsia="en-AU"/>
              </w:rPr>
              <w:t>IEC 62612: 2013 Section 11.3.2-4</w:t>
            </w:r>
          </w:p>
        </w:tc>
      </w:tr>
      <w:tr w:rsidR="003776C5" w:rsidRPr="003776C5" w14:paraId="584FB9DA" w14:textId="77777777" w:rsidTr="003776C5">
        <w:trPr>
          <w:trHeight w:val="1691"/>
        </w:trPr>
        <w:tc>
          <w:tcPr>
            <w:tcW w:w="426" w:type="dxa"/>
            <w:shd w:val="clear" w:color="auto" w:fill="7030A0"/>
          </w:tcPr>
          <w:p w14:paraId="72083EB1"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11</w:t>
            </w:r>
          </w:p>
        </w:tc>
        <w:tc>
          <w:tcPr>
            <w:tcW w:w="1529" w:type="dxa"/>
            <w:shd w:val="clear" w:color="auto" w:fill="9BBB59"/>
            <w:hideMark/>
          </w:tcPr>
          <w:p w14:paraId="4159F34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32D5CE45"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Lumen maintenance</w:t>
            </w:r>
          </w:p>
        </w:tc>
        <w:tc>
          <w:tcPr>
            <w:tcW w:w="5804" w:type="dxa"/>
            <w:gridSpan w:val="3"/>
            <w:noWrap/>
            <w:hideMark/>
          </w:tcPr>
          <w:p w14:paraId="4F56F5BF"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74209B58" w14:textId="77777777" w:rsidR="0010791E"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ab/>
              <w:t>Lumen maintenance @ 6000 hrs</w:t>
            </w:r>
            <w:r w:rsidR="0010791E">
              <w:rPr>
                <w:rFonts w:ascii="Calibri" w:eastAsia="Times New Roman" w:hAnsi="Calibri"/>
                <w:noProof w:val="0"/>
                <w:color w:val="000000"/>
                <w:sz w:val="22"/>
                <w:szCs w:val="22"/>
                <w:lang w:eastAsia="en-AU"/>
              </w:rPr>
              <w:t xml:space="preserve"> </w:t>
            </w:r>
          </w:p>
          <w:p w14:paraId="39FF20E8" w14:textId="77777777" w:rsidR="0010791E" w:rsidRDefault="0010791E" w:rsidP="003776C5">
            <w:pPr>
              <w:spacing w:after="0" w:line="240" w:lineRule="auto"/>
              <w:rPr>
                <w:rFonts w:ascii="Calibri" w:eastAsia="Times New Roman" w:hAnsi="Calibri"/>
                <w:noProof w:val="0"/>
                <w:color w:val="000000"/>
                <w:sz w:val="22"/>
                <w:szCs w:val="22"/>
                <w:lang w:eastAsia="en-AU"/>
              </w:rPr>
            </w:pPr>
          </w:p>
          <w:p w14:paraId="7E39DFB2" w14:textId="21F4737C" w:rsidR="003776C5" w:rsidRPr="003776C5" w:rsidRDefault="003776C5" w:rsidP="0010791E">
            <w:pPr>
              <w:spacing w:after="0" w:line="240" w:lineRule="auto"/>
              <w:ind w:left="720"/>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L</w:t>
            </w:r>
            <w:r w:rsidRPr="003776C5">
              <w:rPr>
                <w:rFonts w:ascii="Calibri" w:eastAsia="Times New Roman" w:hAnsi="Calibri"/>
                <w:noProof w:val="0"/>
                <w:color w:val="000000"/>
                <w:sz w:val="22"/>
                <w:szCs w:val="22"/>
                <w:vertAlign w:val="subscript"/>
                <w:lang w:eastAsia="en-AU"/>
              </w:rPr>
              <w:t xml:space="preserve">x,6k </w:t>
            </w:r>
            <w:r w:rsidRPr="003776C5">
              <w:rPr>
                <w:rFonts w:ascii="Calibri" w:eastAsia="Times New Roman" w:hAnsi="Calibri"/>
                <w:noProof w:val="0"/>
                <w:color w:val="000000"/>
                <w:sz w:val="22"/>
                <w:szCs w:val="22"/>
                <w:lang w:eastAsia="en-AU"/>
              </w:rPr>
              <w:t>≥ 86.7%</w:t>
            </w:r>
          </w:p>
          <w:p w14:paraId="0D47A2AF"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1038C029"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ab/>
              <w:t>(based on L</w:t>
            </w:r>
            <w:r w:rsidRPr="003776C5">
              <w:rPr>
                <w:rFonts w:ascii="Calibri" w:eastAsia="Times New Roman" w:hAnsi="Calibri"/>
                <w:noProof w:val="0"/>
                <w:color w:val="000000"/>
                <w:sz w:val="22"/>
                <w:szCs w:val="22"/>
                <w:vertAlign w:val="subscript"/>
                <w:lang w:eastAsia="en-AU"/>
              </w:rPr>
              <w:t>70</w:t>
            </w:r>
            <w:r w:rsidRPr="003776C5">
              <w:rPr>
                <w:rFonts w:ascii="Calibri" w:eastAsia="Times New Roman" w:hAnsi="Calibri"/>
                <w:noProof w:val="0"/>
                <w:color w:val="000000"/>
                <w:sz w:val="22"/>
                <w:szCs w:val="22"/>
                <w:lang w:eastAsia="en-AU"/>
              </w:rPr>
              <w:t>B</w:t>
            </w:r>
            <w:r w:rsidRPr="003776C5">
              <w:rPr>
                <w:rFonts w:ascii="Calibri" w:eastAsia="Times New Roman" w:hAnsi="Calibri"/>
                <w:noProof w:val="0"/>
                <w:color w:val="000000"/>
                <w:sz w:val="22"/>
                <w:szCs w:val="22"/>
                <w:vertAlign w:val="subscript"/>
                <w:lang w:eastAsia="en-AU"/>
              </w:rPr>
              <w:t>50</w:t>
            </w:r>
            <w:r w:rsidRPr="003776C5">
              <w:rPr>
                <w:rFonts w:ascii="Calibri" w:eastAsia="Times New Roman" w:hAnsi="Calibri"/>
                <w:noProof w:val="0"/>
                <w:color w:val="000000"/>
                <w:sz w:val="22"/>
                <w:szCs w:val="22"/>
                <w:lang w:eastAsia="en-AU"/>
              </w:rPr>
              <w:t xml:space="preserve"> ≥ 15,000h)</w:t>
            </w:r>
          </w:p>
          <w:p w14:paraId="6C309B4A"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1FC26124"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LED Module</w:t>
            </w:r>
            <w:r w:rsidRPr="003776C5">
              <w:rPr>
                <w:rFonts w:ascii="Calibri" w:eastAsia="Calibri" w:hAnsi="Calibri"/>
                <w:noProof w:val="0"/>
                <w:sz w:val="22"/>
                <w:szCs w:val="22"/>
              </w:rPr>
              <w:t xml:space="preserve"> </w:t>
            </w:r>
            <w:r w:rsidRPr="003776C5">
              <w:rPr>
                <w:rFonts w:ascii="Calibri" w:eastAsia="Times New Roman" w:hAnsi="Calibri"/>
                <w:noProof w:val="0"/>
                <w:color w:val="000000"/>
                <w:sz w:val="22"/>
                <w:szCs w:val="22"/>
                <w:lang w:eastAsia="en-AU"/>
              </w:rPr>
              <w:t>or LED package test data (from an accredited lab) may be used, combined with ISTMT junction temperature test of lamp to be registered.</w:t>
            </w:r>
            <w:r w:rsidRPr="003776C5">
              <w:rPr>
                <w:rFonts w:ascii="Calibri" w:eastAsia="Times New Roman" w:hAnsi="Calibri"/>
                <w:noProof w:val="0"/>
                <w:color w:val="000000"/>
                <w:sz w:val="22"/>
                <w:szCs w:val="22"/>
                <w:vertAlign w:val="superscript"/>
                <w:lang w:eastAsia="en-AU"/>
              </w:rPr>
              <w:footnoteReference w:id="17"/>
            </w:r>
          </w:p>
        </w:tc>
        <w:tc>
          <w:tcPr>
            <w:tcW w:w="2896" w:type="dxa"/>
          </w:tcPr>
          <w:p w14:paraId="7F157445"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751A853B" w14:textId="77777777" w:rsidR="003776C5" w:rsidRPr="003776C5" w:rsidRDefault="003776C5" w:rsidP="003776C5">
            <w:pPr>
              <w:spacing w:after="0" w:line="240" w:lineRule="auto"/>
              <w:rPr>
                <w:rFonts w:ascii="Calibri" w:eastAsia="Calibri" w:hAnsi="Calibri"/>
                <w:noProof w:val="0"/>
                <w:color w:val="000000"/>
                <w:sz w:val="22"/>
                <w:szCs w:val="22"/>
              </w:rPr>
            </w:pPr>
            <w:r w:rsidRPr="003776C5">
              <w:rPr>
                <w:rFonts w:ascii="Calibri" w:eastAsia="Times New Roman" w:hAnsi="Calibri"/>
                <w:noProof w:val="0"/>
                <w:color w:val="000000"/>
                <w:sz w:val="22"/>
                <w:szCs w:val="22"/>
                <w:lang w:eastAsia="en-AU"/>
              </w:rPr>
              <w:t xml:space="preserve">Lumen maintenance @ </w:t>
            </w:r>
            <w:r w:rsidRPr="003776C5">
              <w:rPr>
                <w:rFonts w:ascii="Calibri" w:eastAsia="Calibri" w:hAnsi="Calibri"/>
                <w:noProof w:val="0"/>
                <w:color w:val="000000"/>
                <w:sz w:val="22"/>
                <w:szCs w:val="22"/>
              </w:rPr>
              <w:t xml:space="preserve">6,000h </w:t>
            </w:r>
          </w:p>
          <w:p w14:paraId="1576268A" w14:textId="77777777" w:rsidR="003776C5" w:rsidRPr="003776C5" w:rsidRDefault="003776C5" w:rsidP="003776C5">
            <w:pPr>
              <w:spacing w:after="0" w:line="240" w:lineRule="auto"/>
              <w:rPr>
                <w:rFonts w:ascii="Calibri" w:eastAsia="Calibri" w:hAnsi="Calibri"/>
                <w:noProof w:val="0"/>
                <w:color w:val="000000"/>
                <w:sz w:val="22"/>
                <w:szCs w:val="22"/>
              </w:rPr>
            </w:pPr>
          </w:p>
          <w:p w14:paraId="70B14A95" w14:textId="77777777" w:rsidR="003776C5" w:rsidRPr="003776C5" w:rsidRDefault="003776C5" w:rsidP="003776C5">
            <w:pPr>
              <w:spacing w:after="0" w:line="240" w:lineRule="auto"/>
              <w:rPr>
                <w:rFonts w:ascii="Calibri" w:eastAsia="Calibri" w:hAnsi="Calibri"/>
                <w:noProof w:val="0"/>
                <w:color w:val="000000"/>
                <w:sz w:val="22"/>
                <w:szCs w:val="22"/>
              </w:rPr>
            </w:pPr>
            <w:r w:rsidRPr="003776C5">
              <w:rPr>
                <w:rFonts w:ascii="Calibri" w:eastAsia="Times New Roman" w:hAnsi="Calibri"/>
                <w:noProof w:val="0"/>
                <w:color w:val="000000"/>
                <w:sz w:val="22"/>
                <w:szCs w:val="22"/>
                <w:lang w:eastAsia="en-AU"/>
              </w:rPr>
              <w:t>L</w:t>
            </w:r>
            <w:r w:rsidRPr="003776C5">
              <w:rPr>
                <w:rFonts w:ascii="Calibri" w:eastAsia="Times New Roman" w:hAnsi="Calibri"/>
                <w:noProof w:val="0"/>
                <w:color w:val="000000"/>
                <w:sz w:val="22"/>
                <w:szCs w:val="22"/>
                <w:vertAlign w:val="subscript"/>
                <w:lang w:eastAsia="en-AU"/>
              </w:rPr>
              <w:t xml:space="preserve">x,6k </w:t>
            </w:r>
            <w:r w:rsidRPr="003776C5">
              <w:rPr>
                <w:rFonts w:ascii="Calibri" w:eastAsia="Calibri" w:hAnsi="Calibri"/>
                <w:noProof w:val="0"/>
                <w:color w:val="000000"/>
                <w:sz w:val="22"/>
                <w:szCs w:val="22"/>
              </w:rPr>
              <w:t>≥ 91.8%</w:t>
            </w:r>
          </w:p>
          <w:p w14:paraId="5C8716C9" w14:textId="77777777" w:rsidR="003776C5" w:rsidRPr="003776C5" w:rsidRDefault="003776C5" w:rsidP="003776C5">
            <w:pPr>
              <w:spacing w:after="0" w:line="240" w:lineRule="auto"/>
              <w:rPr>
                <w:rFonts w:ascii="Calibri" w:eastAsia="Calibri" w:hAnsi="Calibri"/>
                <w:noProof w:val="0"/>
                <w:color w:val="000000"/>
                <w:sz w:val="22"/>
                <w:szCs w:val="22"/>
              </w:rPr>
            </w:pPr>
            <w:r w:rsidRPr="003776C5">
              <w:rPr>
                <w:rFonts w:ascii="Calibri" w:eastAsia="Calibri" w:hAnsi="Calibri"/>
                <w:noProof w:val="0"/>
                <w:color w:val="000000"/>
                <w:sz w:val="22"/>
                <w:szCs w:val="22"/>
              </w:rPr>
              <w:br/>
              <w:t xml:space="preserve">(based on </w:t>
            </w:r>
          </w:p>
          <w:p w14:paraId="45820326"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Calibri" w:hAnsi="Calibri"/>
                <w:noProof w:val="0"/>
                <w:color w:val="000000"/>
                <w:sz w:val="22"/>
                <w:szCs w:val="22"/>
              </w:rPr>
              <w:t>L</w:t>
            </w:r>
            <w:r w:rsidRPr="003776C5">
              <w:rPr>
                <w:rFonts w:ascii="Calibri" w:eastAsia="Calibri" w:hAnsi="Calibri"/>
                <w:noProof w:val="0"/>
                <w:color w:val="000000"/>
                <w:sz w:val="22"/>
                <w:szCs w:val="22"/>
                <w:vertAlign w:val="subscript"/>
              </w:rPr>
              <w:t>70</w:t>
            </w:r>
            <w:r w:rsidRPr="003776C5">
              <w:rPr>
                <w:rFonts w:ascii="Calibri" w:eastAsia="Calibri" w:hAnsi="Calibri"/>
                <w:noProof w:val="0"/>
                <w:color w:val="000000"/>
                <w:sz w:val="22"/>
                <w:szCs w:val="22"/>
              </w:rPr>
              <w:t>B</w:t>
            </w:r>
            <w:r w:rsidRPr="003776C5">
              <w:rPr>
                <w:rFonts w:ascii="Calibri" w:eastAsia="Calibri" w:hAnsi="Calibri"/>
                <w:noProof w:val="0"/>
                <w:color w:val="000000"/>
                <w:sz w:val="22"/>
                <w:szCs w:val="22"/>
                <w:vertAlign w:val="subscript"/>
              </w:rPr>
              <w:t>50</w:t>
            </w:r>
            <w:r w:rsidRPr="003776C5">
              <w:rPr>
                <w:rFonts w:ascii="Calibri" w:eastAsia="Calibri" w:hAnsi="Calibri"/>
                <w:noProof w:val="0"/>
                <w:color w:val="000000"/>
                <w:sz w:val="22"/>
                <w:szCs w:val="22"/>
              </w:rPr>
              <w:t xml:space="preserve"> ≥ 25,000h)</w:t>
            </w:r>
          </w:p>
        </w:tc>
        <w:tc>
          <w:tcPr>
            <w:tcW w:w="1387" w:type="dxa"/>
            <w:hideMark/>
          </w:tcPr>
          <w:p w14:paraId="27BF9263"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7B5FA1AC"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10 </w:t>
            </w:r>
          </w:p>
        </w:tc>
        <w:tc>
          <w:tcPr>
            <w:tcW w:w="1566" w:type="dxa"/>
            <w:hideMark/>
          </w:tcPr>
          <w:p w14:paraId="1ECA4F27"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p>
          <w:p w14:paraId="524B54D2"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Average L</w:t>
            </w:r>
            <w:r w:rsidRPr="003776C5">
              <w:rPr>
                <w:rFonts w:ascii="Calibri" w:eastAsia="Times New Roman" w:hAnsi="Calibri"/>
                <w:noProof w:val="0"/>
                <w:color w:val="000000"/>
                <w:sz w:val="22"/>
                <w:szCs w:val="22"/>
                <w:vertAlign w:val="subscript"/>
                <w:lang w:eastAsia="en-AU"/>
              </w:rPr>
              <w:t>x,6k</w:t>
            </w:r>
            <w:r w:rsidRPr="003776C5">
              <w:rPr>
                <w:rFonts w:ascii="Calibri" w:eastAsia="Times New Roman" w:hAnsi="Calibri"/>
                <w:noProof w:val="0"/>
                <w:color w:val="000000"/>
                <w:sz w:val="22"/>
                <w:szCs w:val="22"/>
                <w:lang w:eastAsia="en-AU"/>
              </w:rPr>
              <w:t xml:space="preserve"> ≥ value specified </w:t>
            </w:r>
          </w:p>
          <w:p w14:paraId="2F01EB56"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Compliance testing may be an ISTMT junction temperature test relating to module/package test report or a full product test.</w:t>
            </w:r>
            <w:r w:rsidRPr="003776C5">
              <w:rPr>
                <w:rFonts w:ascii="Calibri" w:eastAsia="Times New Roman" w:hAnsi="Calibri"/>
                <w:noProof w:val="0"/>
                <w:color w:val="000000"/>
                <w:sz w:val="22"/>
                <w:szCs w:val="22"/>
                <w:lang w:eastAsia="en-AU"/>
              </w:rPr>
              <w:br/>
            </w:r>
          </w:p>
        </w:tc>
        <w:tc>
          <w:tcPr>
            <w:tcW w:w="1418" w:type="dxa"/>
          </w:tcPr>
          <w:p w14:paraId="77ADFD0F"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68D218D7"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IESNA LM80/TM21 &amp;</w:t>
            </w:r>
          </w:p>
          <w:p w14:paraId="5F0FDBA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ISTMT (IEC 60598.1 Section 12.4.1 or UL 1598 Clause 14) </w:t>
            </w:r>
          </w:p>
          <w:p w14:paraId="7E697C1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or</w:t>
            </w:r>
          </w:p>
          <w:p w14:paraId="2FC96414"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IESNA LM84/TM28</w:t>
            </w:r>
          </w:p>
          <w:p w14:paraId="5C112D41" w14:textId="31C50E86"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Note these test methods relate to luminaires. A test “housing” (</w:t>
            </w:r>
            <w:r w:rsidR="00CF6EA7" w:rsidRPr="003776C5">
              <w:rPr>
                <w:rFonts w:ascii="Calibri" w:eastAsia="Times New Roman" w:hAnsi="Calibri"/>
                <w:noProof w:val="0"/>
                <w:color w:val="000000"/>
                <w:sz w:val="22"/>
                <w:szCs w:val="22"/>
                <w:lang w:eastAsia="en-AU"/>
              </w:rPr>
              <w:t>i.e.</w:t>
            </w:r>
            <w:r w:rsidRPr="003776C5">
              <w:rPr>
                <w:rFonts w:ascii="Calibri" w:eastAsia="Times New Roman" w:hAnsi="Calibri"/>
                <w:noProof w:val="0"/>
                <w:color w:val="000000"/>
                <w:sz w:val="22"/>
                <w:szCs w:val="22"/>
                <w:lang w:eastAsia="en-AU"/>
              </w:rPr>
              <w:t xml:space="preserve"> representative luminaire) for lamps may be required. Consider allowing use of thermal imaging camera for determining the hotspot for thermocouple attachment points.</w:t>
            </w:r>
          </w:p>
          <w:p w14:paraId="1A01F639" w14:textId="77777777" w:rsidR="003776C5" w:rsidRPr="003776C5" w:rsidRDefault="003776C5" w:rsidP="003776C5">
            <w:pPr>
              <w:spacing w:after="0" w:line="240" w:lineRule="auto"/>
              <w:rPr>
                <w:rFonts w:ascii="Calibri" w:eastAsia="Times New Roman" w:hAnsi="Calibri"/>
                <w:noProof w:val="0"/>
                <w:color w:val="000000"/>
                <w:sz w:val="22"/>
                <w:szCs w:val="22"/>
                <w:highlight w:val="lightGray"/>
                <w:lang w:eastAsia="en-AU"/>
              </w:rPr>
            </w:pPr>
          </w:p>
        </w:tc>
      </w:tr>
      <w:tr w:rsidR="003776C5" w:rsidRPr="003776C5" w14:paraId="4A8910D0" w14:textId="77777777" w:rsidTr="003776C5">
        <w:trPr>
          <w:trHeight w:val="270"/>
        </w:trPr>
        <w:tc>
          <w:tcPr>
            <w:tcW w:w="426" w:type="dxa"/>
            <w:shd w:val="clear" w:color="auto" w:fill="C6D9F1"/>
          </w:tcPr>
          <w:p w14:paraId="0599D589"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p>
        </w:tc>
        <w:tc>
          <w:tcPr>
            <w:tcW w:w="14600" w:type="dxa"/>
            <w:gridSpan w:val="8"/>
            <w:shd w:val="clear" w:color="auto" w:fill="C6D9F1"/>
          </w:tcPr>
          <w:p w14:paraId="79A1AD7A"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Electrical</w:t>
            </w:r>
          </w:p>
        </w:tc>
      </w:tr>
      <w:tr w:rsidR="003776C5" w:rsidRPr="003776C5" w14:paraId="22830FCD" w14:textId="77777777" w:rsidTr="003776C5">
        <w:trPr>
          <w:trHeight w:val="567"/>
        </w:trPr>
        <w:tc>
          <w:tcPr>
            <w:tcW w:w="426" w:type="dxa"/>
            <w:shd w:val="clear" w:color="auto" w:fill="7030A0"/>
          </w:tcPr>
          <w:p w14:paraId="0756E032"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14</w:t>
            </w:r>
          </w:p>
        </w:tc>
        <w:tc>
          <w:tcPr>
            <w:tcW w:w="1529" w:type="dxa"/>
            <w:shd w:val="clear" w:color="auto" w:fill="9BBB59"/>
            <w:hideMark/>
          </w:tcPr>
          <w:p w14:paraId="2AE38F78"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7703B5FF"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Fundamental Power Factor</w:t>
            </w:r>
          </w:p>
        </w:tc>
        <w:tc>
          <w:tcPr>
            <w:tcW w:w="8700" w:type="dxa"/>
            <w:gridSpan w:val="4"/>
            <w:noWrap/>
            <w:hideMark/>
          </w:tcPr>
          <w:p w14:paraId="6469FBCF"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ab/>
            </w:r>
          </w:p>
          <w:p w14:paraId="50EE1DEC"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Calibri" w:hAnsi="Calibri"/>
                <w:sz w:val="22"/>
                <w:szCs w:val="22"/>
                <w:lang w:eastAsia="en-AU"/>
              </w:rPr>
              <w:drawing>
                <wp:inline distT="0" distB="0" distL="0" distR="0" wp14:anchorId="27C472B7" wp14:editId="11F6EE26">
                  <wp:extent cx="4517606" cy="647700"/>
                  <wp:effectExtent l="0" t="0" r="0" b="0"/>
                  <wp:docPr id="29" name="Picture 29" descr="Image is a table of recommended values for displacement factor, for several ranges of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b="24892"/>
                          <a:stretch/>
                        </pic:blipFill>
                        <pic:spPr bwMode="auto">
                          <a:xfrm>
                            <a:off x="0" y="0"/>
                            <a:ext cx="4521994" cy="648329"/>
                          </a:xfrm>
                          <a:prstGeom prst="rect">
                            <a:avLst/>
                          </a:prstGeom>
                          <a:ln>
                            <a:noFill/>
                          </a:ln>
                          <a:extLst>
                            <a:ext uri="{53640926-AAD7-44D8-BBD7-CCE9431645EC}">
                              <a14:shadowObscured xmlns:a14="http://schemas.microsoft.com/office/drawing/2010/main"/>
                            </a:ext>
                          </a:extLst>
                        </pic:spPr>
                      </pic:pic>
                    </a:graphicData>
                  </a:graphic>
                </wp:inline>
              </w:drawing>
            </w:r>
          </w:p>
          <w:p w14:paraId="59FECBE3"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PF &gt; 0.90</w:t>
            </w:r>
          </w:p>
        </w:tc>
        <w:tc>
          <w:tcPr>
            <w:tcW w:w="1387" w:type="dxa"/>
            <w:hideMark/>
          </w:tcPr>
          <w:p w14:paraId="1EE0A58C"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2B3BBCC9"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10 </w:t>
            </w:r>
          </w:p>
          <w:p w14:paraId="2DC62517"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3 (Linear LED)</w:t>
            </w:r>
          </w:p>
          <w:p w14:paraId="2589B46E"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tc>
        <w:tc>
          <w:tcPr>
            <w:tcW w:w="1566" w:type="dxa"/>
            <w:hideMark/>
          </w:tcPr>
          <w:p w14:paraId="2EDBA7F8"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3BC79DED"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Average power factor ≥ value specified</w:t>
            </w:r>
          </w:p>
        </w:tc>
        <w:tc>
          <w:tcPr>
            <w:tcW w:w="1418" w:type="dxa"/>
          </w:tcPr>
          <w:p w14:paraId="740255DA"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18A47459"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highlight w:val="yellow"/>
                <w:lang w:eastAsia="en-AU"/>
              </w:rPr>
              <w:t>IEC 61000-3-2 (2014)</w:t>
            </w:r>
          </w:p>
          <w:p w14:paraId="78104063" w14:textId="77777777" w:rsidR="003776C5" w:rsidRPr="003776C5" w:rsidRDefault="003776C5" w:rsidP="003776C5">
            <w:pPr>
              <w:spacing w:after="240" w:line="240" w:lineRule="auto"/>
              <w:rPr>
                <w:rFonts w:ascii="Calibri" w:eastAsia="Times New Roman" w:hAnsi="Calibri"/>
                <w:noProof w:val="0"/>
                <w:color w:val="000000"/>
                <w:sz w:val="22"/>
                <w:szCs w:val="22"/>
                <w:highlight w:val="lightGray"/>
                <w:lang w:eastAsia="en-AU"/>
              </w:rPr>
            </w:pPr>
            <w:r w:rsidRPr="003776C5">
              <w:rPr>
                <w:rFonts w:ascii="Calibri" w:eastAsia="Times New Roman" w:hAnsi="Calibri"/>
                <w:noProof w:val="0"/>
                <w:color w:val="000000"/>
                <w:sz w:val="22"/>
                <w:szCs w:val="22"/>
                <w:lang w:eastAsia="en-AU"/>
              </w:rPr>
              <w:t>Test data may be sourced from control gear manufacturer if available</w:t>
            </w:r>
          </w:p>
        </w:tc>
      </w:tr>
      <w:tr w:rsidR="003776C5" w:rsidRPr="003776C5" w14:paraId="3D069177" w14:textId="77777777" w:rsidTr="003776C5">
        <w:trPr>
          <w:trHeight w:val="984"/>
        </w:trPr>
        <w:tc>
          <w:tcPr>
            <w:tcW w:w="426" w:type="dxa"/>
            <w:shd w:val="clear" w:color="auto" w:fill="7030A0"/>
          </w:tcPr>
          <w:p w14:paraId="1901EC70"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15</w:t>
            </w:r>
          </w:p>
        </w:tc>
        <w:tc>
          <w:tcPr>
            <w:tcW w:w="1529" w:type="dxa"/>
            <w:shd w:val="clear" w:color="auto" w:fill="9BBB59"/>
            <w:hideMark/>
          </w:tcPr>
          <w:p w14:paraId="79D84AA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79B574FC"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Harmonics</w:t>
            </w:r>
          </w:p>
        </w:tc>
        <w:tc>
          <w:tcPr>
            <w:tcW w:w="8700" w:type="dxa"/>
            <w:gridSpan w:val="4"/>
            <w:noWrap/>
            <w:hideMark/>
          </w:tcPr>
          <w:p w14:paraId="4155D2EB" w14:textId="77777777" w:rsidR="003776C5" w:rsidRPr="003776C5" w:rsidRDefault="003776C5" w:rsidP="003776C5">
            <w:pPr>
              <w:spacing w:after="0" w:line="240" w:lineRule="auto"/>
              <w:ind w:left="2589" w:hanging="2589"/>
              <w:rPr>
                <w:rFonts w:ascii="Calibri" w:eastAsia="Calibri" w:hAnsi="Calibri"/>
                <w:noProof w:val="0"/>
                <w:color w:val="000000"/>
                <w:sz w:val="22"/>
                <w:szCs w:val="22"/>
              </w:rPr>
            </w:pPr>
          </w:p>
          <w:p w14:paraId="14896674" w14:textId="77777777" w:rsidR="003776C5" w:rsidRPr="003776C5" w:rsidRDefault="003776C5" w:rsidP="003776C5">
            <w:pPr>
              <w:spacing w:after="240" w:line="240" w:lineRule="auto"/>
              <w:ind w:left="2589" w:hanging="2589"/>
              <w:rPr>
                <w:rFonts w:ascii="Calibri" w:eastAsia="Times New Roman" w:hAnsi="Calibri"/>
                <w:noProof w:val="0"/>
                <w:color w:val="000000"/>
                <w:sz w:val="22"/>
                <w:szCs w:val="22"/>
                <w:lang w:eastAsia="en-AU"/>
              </w:rPr>
            </w:pPr>
            <w:r w:rsidRPr="003776C5">
              <w:rPr>
                <w:rFonts w:ascii="Calibri" w:eastAsia="Calibri" w:hAnsi="Calibri"/>
                <w:noProof w:val="0"/>
                <w:color w:val="000000"/>
                <w:sz w:val="22"/>
                <w:szCs w:val="22"/>
              </w:rPr>
              <w:t xml:space="preserve">For products </w:t>
            </w:r>
            <w:r w:rsidRPr="003776C5">
              <w:rPr>
                <w:rFonts w:ascii="Calibri" w:eastAsia="Calibri" w:hAnsi="Calibri"/>
                <w:noProof w:val="0"/>
                <w:sz w:val="22"/>
                <w:szCs w:val="22"/>
              </w:rPr>
              <w:t xml:space="preserve">5W &lt; P ≤ 25W: </w:t>
            </w:r>
            <w:r w:rsidRPr="003776C5">
              <w:rPr>
                <w:rFonts w:ascii="Calibri" w:eastAsia="Times New Roman" w:hAnsi="Calibri"/>
                <w:noProof w:val="0"/>
                <w:color w:val="000000"/>
                <w:sz w:val="22"/>
                <w:szCs w:val="22"/>
                <w:lang w:eastAsia="en-AU"/>
              </w:rPr>
              <w:t xml:space="preserve"> </w:t>
            </w:r>
            <w:r w:rsidRPr="003776C5">
              <w:rPr>
                <w:rFonts w:ascii="Calibri" w:eastAsia="Times New Roman" w:hAnsi="Calibri"/>
                <w:i/>
                <w:noProof w:val="0"/>
                <w:color w:val="000000"/>
                <w:sz w:val="22"/>
                <w:szCs w:val="22"/>
                <w:lang w:eastAsia="en-AU"/>
              </w:rPr>
              <w:t>{text here is pending final approval of amendment to 61000-3-2}</w:t>
            </w:r>
          </w:p>
          <w:p w14:paraId="762C24E3" w14:textId="77777777" w:rsidR="003776C5" w:rsidRPr="003776C5" w:rsidRDefault="003776C5" w:rsidP="003776C5">
            <w:pPr>
              <w:spacing w:after="0" w:line="240" w:lineRule="auto"/>
              <w:rPr>
                <w:rFonts w:ascii="Times New Roman" w:eastAsia="Calibri" w:hAnsi="Times New Roman"/>
                <w:noProof w:val="0"/>
                <w:sz w:val="24"/>
              </w:rPr>
            </w:pPr>
            <w:r w:rsidRPr="003776C5">
              <w:rPr>
                <w:rFonts w:ascii="Arial" w:eastAsia="Calibri" w:hAnsi="Arial"/>
                <w:noProof w:val="0"/>
                <w:color w:val="000000"/>
                <w:sz w:val="20"/>
                <w:szCs w:val="20"/>
              </w:rPr>
              <w:t xml:space="preserve">One of the following three requirements: </w:t>
            </w:r>
          </w:p>
          <w:p w14:paraId="169013E0" w14:textId="77777777" w:rsidR="003776C5" w:rsidRPr="003776C5" w:rsidRDefault="003776C5" w:rsidP="003776C5">
            <w:pPr>
              <w:numPr>
                <w:ilvl w:val="0"/>
                <w:numId w:val="24"/>
              </w:numPr>
              <w:spacing w:after="0" w:line="240" w:lineRule="auto"/>
              <w:rPr>
                <w:rFonts w:ascii="Times New Roman" w:eastAsia="Calibri" w:hAnsi="Times New Roman"/>
                <w:noProof w:val="0"/>
                <w:sz w:val="24"/>
              </w:rPr>
            </w:pPr>
            <w:r w:rsidRPr="003776C5">
              <w:rPr>
                <w:rFonts w:ascii="Arial" w:eastAsia="Calibri" w:hAnsi="Arial"/>
                <w:noProof w:val="0"/>
                <w:color w:val="000000"/>
                <w:sz w:val="20"/>
                <w:szCs w:val="20"/>
              </w:rPr>
              <w:t xml:space="preserve">the harmonic currents shall not exceed the power-related limits of Table 3, column 2, </w:t>
            </w:r>
          </w:p>
          <w:p w14:paraId="30573225" w14:textId="77777777" w:rsidR="003776C5" w:rsidRPr="003776C5" w:rsidRDefault="003776C5" w:rsidP="003776C5">
            <w:pPr>
              <w:spacing w:after="0" w:line="240" w:lineRule="auto"/>
              <w:ind w:left="360"/>
              <w:jc w:val="center"/>
              <w:rPr>
                <w:rFonts w:ascii="Arial" w:eastAsia="Calibri" w:hAnsi="Arial"/>
                <w:noProof w:val="0"/>
                <w:color w:val="000000"/>
                <w:sz w:val="20"/>
                <w:szCs w:val="20"/>
              </w:rPr>
            </w:pPr>
            <w:r w:rsidRPr="003776C5">
              <w:rPr>
                <w:rFonts w:ascii="Calibri" w:eastAsia="Calibri" w:hAnsi="Calibri"/>
                <w:sz w:val="22"/>
                <w:szCs w:val="22"/>
                <w:lang w:eastAsia="en-AU"/>
              </w:rPr>
              <w:drawing>
                <wp:inline distT="0" distB="0" distL="0" distR="0" wp14:anchorId="3FA34CB3" wp14:editId="76C2395A">
                  <wp:extent cx="3862425" cy="2052928"/>
                  <wp:effectExtent l="0" t="0" r="5080" b="5080"/>
                  <wp:docPr id="33" name="Picture 33" descr="Table of power-related limits for harmonic currents" title="Table of Harmonic Limits for Class D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861127" cy="2052238"/>
                          </a:xfrm>
                          <a:prstGeom prst="rect">
                            <a:avLst/>
                          </a:prstGeom>
                        </pic:spPr>
                      </pic:pic>
                    </a:graphicData>
                  </a:graphic>
                </wp:inline>
              </w:drawing>
            </w:r>
            <w:r w:rsidRPr="003776C5">
              <w:rPr>
                <w:rFonts w:ascii="Arial" w:eastAsia="Calibri" w:hAnsi="Arial"/>
                <w:noProof w:val="0"/>
                <w:color w:val="000000"/>
                <w:sz w:val="20"/>
                <w:szCs w:val="20"/>
              </w:rPr>
              <w:t>or:</w:t>
            </w:r>
          </w:p>
          <w:p w14:paraId="1C2B9102" w14:textId="77777777" w:rsidR="003776C5" w:rsidRPr="003776C5" w:rsidRDefault="003776C5" w:rsidP="003776C5">
            <w:pPr>
              <w:spacing w:after="0" w:line="240" w:lineRule="auto"/>
              <w:ind w:left="360"/>
              <w:rPr>
                <w:rFonts w:ascii="Times New Roman" w:eastAsia="Calibri" w:hAnsi="Times New Roman"/>
                <w:noProof w:val="0"/>
                <w:sz w:val="24"/>
              </w:rPr>
            </w:pPr>
            <w:r w:rsidRPr="003776C5">
              <w:rPr>
                <w:rFonts w:ascii="Arial" w:eastAsia="Calibri" w:hAnsi="Arial"/>
                <w:noProof w:val="0"/>
                <w:color w:val="000000"/>
                <w:sz w:val="20"/>
                <w:szCs w:val="20"/>
              </w:rPr>
              <w:t xml:space="preserve"> </w:t>
            </w:r>
          </w:p>
          <w:p w14:paraId="4E66ABDA" w14:textId="77777777" w:rsidR="003776C5" w:rsidRPr="003776C5" w:rsidRDefault="003776C5" w:rsidP="003776C5">
            <w:pPr>
              <w:numPr>
                <w:ilvl w:val="0"/>
                <w:numId w:val="24"/>
              </w:numPr>
              <w:spacing w:after="0" w:line="240" w:lineRule="auto"/>
              <w:rPr>
                <w:rFonts w:ascii="Times New Roman" w:eastAsia="Calibri" w:hAnsi="Times New Roman"/>
                <w:noProof w:val="0"/>
                <w:sz w:val="24"/>
              </w:rPr>
            </w:pPr>
            <w:r w:rsidRPr="003776C5">
              <w:rPr>
                <w:rFonts w:ascii="Arial" w:eastAsia="Calibri" w:hAnsi="Arial"/>
                <w:noProof w:val="0"/>
                <w:color w:val="000000"/>
                <w:sz w:val="20"/>
                <w:szCs w:val="20"/>
              </w:rPr>
              <w:t>the third harmonic current, expressed as a percentage of the fundamental current, shall not exceed 86 % and the fifth harmonic current shall not exceed 61 %. Also, the waveform of the input current shall be such that it reaches the 5 % current threshold before or at 60º, has its peak value before or at 65º and does not fall below the 5 % current threshold before 90º, referenced to any zero crossing of the fundamental supply voltage. The current threshold is 5 % of the highest absolute peak value that occurs in the measurement window, and the phase angle measurements are made on the cycle that includes this absolute peak value (see Figure 2). Components of current with frequencies above 9 kHz shall not influence this evaluation. or:</w:t>
            </w:r>
          </w:p>
          <w:p w14:paraId="53DBB7E4" w14:textId="77777777" w:rsidR="003776C5" w:rsidRPr="003776C5" w:rsidRDefault="003776C5" w:rsidP="00A909D3">
            <w:pPr>
              <w:spacing w:after="0" w:line="240" w:lineRule="auto"/>
              <w:ind w:left="360"/>
              <w:rPr>
                <w:rFonts w:ascii="Times New Roman" w:eastAsia="Calibri" w:hAnsi="Times New Roman"/>
                <w:noProof w:val="0"/>
                <w:sz w:val="24"/>
              </w:rPr>
            </w:pPr>
            <w:r w:rsidRPr="003776C5">
              <w:rPr>
                <w:rFonts w:ascii="Arial" w:eastAsia="Calibri" w:hAnsi="Arial"/>
                <w:noProof w:val="0"/>
                <w:color w:val="000000"/>
                <w:sz w:val="20"/>
                <w:szCs w:val="20"/>
              </w:rPr>
              <w:t xml:space="preserve"> </w:t>
            </w:r>
          </w:p>
          <w:p w14:paraId="2F2A7CAC" w14:textId="77777777" w:rsidR="003776C5" w:rsidRPr="003776C5" w:rsidRDefault="003776C5" w:rsidP="003776C5">
            <w:pPr>
              <w:numPr>
                <w:ilvl w:val="0"/>
                <w:numId w:val="24"/>
              </w:numPr>
              <w:spacing w:after="0" w:line="240" w:lineRule="auto"/>
              <w:rPr>
                <w:rFonts w:ascii="Times New Roman" w:eastAsia="Calibri" w:hAnsi="Times New Roman"/>
                <w:noProof w:val="0"/>
                <w:sz w:val="24"/>
              </w:rPr>
            </w:pPr>
            <w:r w:rsidRPr="003776C5">
              <w:rPr>
                <w:rFonts w:ascii="Arial" w:eastAsia="Calibri" w:hAnsi="Arial"/>
                <w:noProof w:val="0"/>
                <w:color w:val="000000"/>
                <w:sz w:val="20"/>
                <w:szCs w:val="20"/>
              </w:rPr>
              <w:t xml:space="preserve">the THD shall not exceed 70%. The third order harmonic, expressed as a percentage of the fundamental current, shall not exceed 35%, the fifth order shall not exceed 25%, the seventh order shall not exceed 30%, the ninth and eleventh order shall not exceed 20% and the second order shall not exceed 5%. </w:t>
            </w:r>
          </w:p>
          <w:p w14:paraId="7F7C35B1" w14:textId="77777777" w:rsidR="00A909D3" w:rsidRDefault="00A909D3" w:rsidP="003776C5">
            <w:pPr>
              <w:spacing w:after="0" w:line="240" w:lineRule="auto"/>
              <w:rPr>
                <w:rFonts w:ascii="Arial" w:eastAsia="Calibri" w:hAnsi="Arial"/>
                <w:noProof w:val="0"/>
                <w:color w:val="000000"/>
                <w:sz w:val="20"/>
                <w:szCs w:val="20"/>
              </w:rPr>
            </w:pPr>
          </w:p>
          <w:p w14:paraId="1B087D83" w14:textId="77777777" w:rsidR="003776C5" w:rsidRPr="003776C5" w:rsidRDefault="003776C5" w:rsidP="003776C5">
            <w:pPr>
              <w:spacing w:after="0" w:line="240" w:lineRule="auto"/>
              <w:rPr>
                <w:rFonts w:ascii="Arial" w:eastAsia="Calibri" w:hAnsi="Arial"/>
                <w:noProof w:val="0"/>
                <w:color w:val="000000"/>
                <w:sz w:val="20"/>
                <w:szCs w:val="20"/>
              </w:rPr>
            </w:pPr>
            <w:r w:rsidRPr="003776C5">
              <w:rPr>
                <w:rFonts w:ascii="Arial" w:eastAsia="Calibri" w:hAnsi="Arial"/>
                <w:noProof w:val="0"/>
                <w:color w:val="000000"/>
                <w:sz w:val="20"/>
                <w:szCs w:val="20"/>
              </w:rPr>
              <w:t xml:space="preserve">If the lighting equipment includes means for control (e.g. dimming, colour), or is specified to drive multiple loads, then the measurement is made only at the control setting and the load of lamps that gives the maximum active input power. </w:t>
            </w:r>
          </w:p>
          <w:p w14:paraId="2FC3C9D5" w14:textId="77777777" w:rsidR="003776C5" w:rsidRPr="003776C5" w:rsidRDefault="003776C5" w:rsidP="003776C5">
            <w:pPr>
              <w:spacing w:after="0" w:line="240" w:lineRule="auto"/>
              <w:rPr>
                <w:rFonts w:ascii="Arial" w:eastAsia="Calibri" w:hAnsi="Arial"/>
                <w:noProof w:val="0"/>
                <w:color w:val="000000"/>
                <w:sz w:val="20"/>
                <w:szCs w:val="20"/>
              </w:rPr>
            </w:pPr>
          </w:p>
          <w:p w14:paraId="0522AF8C" w14:textId="77777777" w:rsidR="003776C5" w:rsidRPr="003776C5" w:rsidRDefault="003776C5" w:rsidP="003776C5">
            <w:pPr>
              <w:spacing w:after="0" w:line="240" w:lineRule="auto"/>
              <w:rPr>
                <w:rFonts w:ascii="Arial" w:eastAsia="Calibri" w:hAnsi="Arial"/>
                <w:noProof w:val="0"/>
                <w:color w:val="000000"/>
                <w:sz w:val="20"/>
                <w:szCs w:val="20"/>
              </w:rPr>
            </w:pPr>
            <w:r w:rsidRPr="003776C5">
              <w:rPr>
                <w:rFonts w:ascii="Arial" w:eastAsia="Calibri" w:hAnsi="Arial"/>
                <w:noProof w:val="0"/>
                <w:color w:val="000000"/>
                <w:sz w:val="20"/>
                <w:szCs w:val="20"/>
              </w:rPr>
              <w:t>NOTE The preceding requirement is based on the assumption that, for lighting equipment using control other than phase control, the THC decreases when the input power is reduced.</w:t>
            </w:r>
          </w:p>
          <w:p w14:paraId="1EB5460F" w14:textId="77777777" w:rsidR="003776C5" w:rsidRPr="003776C5" w:rsidRDefault="003776C5" w:rsidP="003776C5">
            <w:pPr>
              <w:spacing w:after="0" w:line="240" w:lineRule="auto"/>
              <w:rPr>
                <w:rFonts w:ascii="Times New Roman" w:eastAsia="Calibri" w:hAnsi="Times New Roman"/>
                <w:noProof w:val="0"/>
                <w:sz w:val="24"/>
              </w:rPr>
            </w:pPr>
          </w:p>
          <w:p w14:paraId="2B4D69C5" w14:textId="77777777" w:rsidR="003776C5" w:rsidRPr="003776C5" w:rsidRDefault="003776C5" w:rsidP="003776C5">
            <w:pPr>
              <w:spacing w:after="0" w:line="240" w:lineRule="auto"/>
              <w:rPr>
                <w:rFonts w:ascii="Times New Roman" w:eastAsia="Calibri" w:hAnsi="Times New Roman"/>
                <w:noProof w:val="0"/>
                <w:sz w:val="24"/>
              </w:rPr>
            </w:pPr>
            <w:r w:rsidRPr="003776C5">
              <w:rPr>
                <w:rFonts w:ascii="Arial" w:eastAsia="Calibri" w:hAnsi="Arial"/>
                <w:noProof w:val="0"/>
                <w:color w:val="000000"/>
                <w:sz w:val="18"/>
                <w:szCs w:val="18"/>
              </w:rPr>
              <w:t>For lighting equipment containing a control module with an active input power ≤ 2 W, the contribution of the control module to the harmonic current of the lighting equipment is disregarded e.g. by testing the equipment with control module fed by a separate mains supply.</w:t>
            </w:r>
          </w:p>
          <w:p w14:paraId="53DF6682" w14:textId="77777777" w:rsidR="003776C5" w:rsidRPr="003776C5" w:rsidRDefault="003776C5" w:rsidP="003776C5">
            <w:pPr>
              <w:spacing w:after="240" w:line="240" w:lineRule="auto"/>
              <w:ind w:left="2589" w:hanging="2589"/>
              <w:rPr>
                <w:rFonts w:ascii="Calibri" w:eastAsia="Times New Roman" w:hAnsi="Calibri"/>
                <w:noProof w:val="0"/>
                <w:color w:val="000000"/>
                <w:sz w:val="22"/>
                <w:szCs w:val="22"/>
                <w:lang w:eastAsia="en-AU"/>
              </w:rPr>
            </w:pPr>
          </w:p>
          <w:p w14:paraId="3C6C6F0E" w14:textId="77777777" w:rsidR="003776C5" w:rsidRPr="003776C5" w:rsidRDefault="003776C5" w:rsidP="003776C5">
            <w:pPr>
              <w:spacing w:after="240" w:line="240" w:lineRule="auto"/>
              <w:ind w:left="2589" w:hanging="2589"/>
              <w:rPr>
                <w:rFonts w:ascii="Calibri" w:eastAsia="Calibri" w:hAnsi="Calibri"/>
                <w:noProof w:val="0"/>
                <w:color w:val="000000"/>
                <w:sz w:val="22"/>
                <w:szCs w:val="22"/>
              </w:rPr>
            </w:pPr>
            <w:r w:rsidRPr="003776C5">
              <w:rPr>
                <w:rFonts w:ascii="Calibri" w:eastAsia="Calibri" w:hAnsi="Calibri"/>
                <w:noProof w:val="0"/>
                <w:color w:val="000000"/>
                <w:sz w:val="22"/>
                <w:szCs w:val="22"/>
              </w:rPr>
              <w:t>For products &gt;25W</w:t>
            </w:r>
            <w:r w:rsidRPr="003776C5">
              <w:rPr>
                <w:rFonts w:ascii="Calibri" w:eastAsia="Calibri" w:hAnsi="Calibri"/>
                <w:noProof w:val="0"/>
                <w:color w:val="000000"/>
                <w:sz w:val="22"/>
                <w:szCs w:val="22"/>
                <w:vertAlign w:val="superscript"/>
              </w:rPr>
              <w:footnoteReference w:id="18"/>
            </w:r>
            <w:r w:rsidRPr="003776C5">
              <w:rPr>
                <w:rFonts w:ascii="Calibri" w:eastAsia="Calibri" w:hAnsi="Calibri"/>
                <w:noProof w:val="0"/>
                <w:color w:val="000000"/>
                <w:sz w:val="22"/>
                <w:szCs w:val="22"/>
              </w:rPr>
              <w:t>:</w:t>
            </w:r>
          </w:p>
          <w:p w14:paraId="26ED4028" w14:textId="77777777" w:rsidR="003776C5" w:rsidRPr="003776C5" w:rsidRDefault="003776C5" w:rsidP="003776C5">
            <w:pPr>
              <w:spacing w:after="240" w:line="240" w:lineRule="auto"/>
              <w:ind w:left="2589" w:hanging="2589"/>
              <w:jc w:val="center"/>
              <w:rPr>
                <w:rFonts w:ascii="Calibri" w:eastAsia="Calibri" w:hAnsi="Calibri"/>
                <w:noProof w:val="0"/>
                <w:color w:val="000000"/>
                <w:sz w:val="22"/>
                <w:szCs w:val="22"/>
              </w:rPr>
            </w:pPr>
            <w:r w:rsidRPr="003776C5">
              <w:rPr>
                <w:rFonts w:ascii="Calibri" w:eastAsia="Calibri" w:hAnsi="Calibri"/>
                <w:color w:val="000000"/>
                <w:sz w:val="22"/>
                <w:szCs w:val="22"/>
                <w:lang w:eastAsia="en-AU"/>
              </w:rPr>
              <w:drawing>
                <wp:inline distT="0" distB="0" distL="0" distR="0" wp14:anchorId="141F3918" wp14:editId="0CDE09E4">
                  <wp:extent cx="2609850" cy="1589405"/>
                  <wp:effectExtent l="0" t="0" r="0" b="0"/>
                  <wp:docPr id="34" name="Picture 34" descr="Maximum Permissable Harmonic Current For Products &gt;25W for harmonic orders from N=2 " title="Maximum Permissable Harmonic Current For Products &gt;25W"/>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rotWithShape="1">
                          <a:blip r:embed="rId61">
                            <a:extLst>
                              <a:ext uri="{28A0092B-C50C-407E-A947-70E740481C1C}">
                                <a14:useLocalDpi xmlns:a14="http://schemas.microsoft.com/office/drawing/2010/main" val="0"/>
                              </a:ext>
                            </a:extLst>
                          </a:blip>
                          <a:srcRect l="1761" t="2909" r="1761"/>
                          <a:stretch/>
                        </pic:blipFill>
                        <pic:spPr bwMode="auto">
                          <a:xfrm>
                            <a:off x="0" y="0"/>
                            <a:ext cx="2609850" cy="1589405"/>
                          </a:xfrm>
                          <a:prstGeom prst="rect">
                            <a:avLst/>
                          </a:prstGeom>
                          <a:ln>
                            <a:noFill/>
                          </a:ln>
                          <a:extLst>
                            <a:ext uri="{53640926-AAD7-44D8-BBD7-CCE9431645EC}">
                              <a14:shadowObscured xmlns:a14="http://schemas.microsoft.com/office/drawing/2010/main"/>
                            </a:ext>
                          </a:extLst>
                        </pic:spPr>
                      </pic:pic>
                    </a:graphicData>
                  </a:graphic>
                </wp:inline>
              </w:drawing>
            </w:r>
          </w:p>
          <w:p w14:paraId="76C310B9" w14:textId="77777777" w:rsidR="003776C5" w:rsidRPr="003776C5" w:rsidRDefault="003776C5" w:rsidP="003776C5">
            <w:pPr>
              <w:spacing w:after="0" w:line="240" w:lineRule="auto"/>
              <w:rPr>
                <w:rFonts w:ascii="Calibri" w:eastAsia="Times New Roman" w:hAnsi="Calibri"/>
                <w:i/>
                <w:noProof w:val="0"/>
                <w:color w:val="000000"/>
                <w:sz w:val="22"/>
                <w:szCs w:val="22"/>
                <w:lang w:eastAsia="en-AU"/>
              </w:rPr>
            </w:pPr>
            <w:r w:rsidRPr="003776C5">
              <w:rPr>
                <w:rFonts w:ascii="Calibri" w:eastAsia="Times New Roman" w:hAnsi="Calibri"/>
                <w:i/>
                <w:noProof w:val="0"/>
                <w:color w:val="000000"/>
                <w:sz w:val="22"/>
                <w:szCs w:val="22"/>
                <w:lang w:eastAsia="en-AU"/>
              </w:rPr>
              <w:t>{text below is pending final approval of amendment to 61000-3-2}</w:t>
            </w:r>
          </w:p>
          <w:p w14:paraId="3465936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37D3A19E" w14:textId="77777777" w:rsidR="003776C5" w:rsidRPr="003776C5" w:rsidRDefault="003776C5" w:rsidP="003776C5">
            <w:pPr>
              <w:spacing w:after="0" w:line="240" w:lineRule="auto"/>
              <w:rPr>
                <w:rFonts w:ascii="Times New Roman" w:eastAsia="Calibri" w:hAnsi="Times New Roman"/>
                <w:noProof w:val="0"/>
                <w:sz w:val="24"/>
              </w:rPr>
            </w:pPr>
            <w:r w:rsidRPr="003776C5">
              <w:rPr>
                <w:rFonts w:ascii="Arial" w:eastAsia="Calibri" w:hAnsi="Arial"/>
                <w:noProof w:val="0"/>
                <w:color w:val="000000"/>
                <w:sz w:val="20"/>
                <w:szCs w:val="20"/>
              </w:rPr>
              <w:t xml:space="preserve">For the other types of lighting equipment that includes means for control (e.g. dimming, colour), the following conditions apply: </w:t>
            </w:r>
          </w:p>
          <w:p w14:paraId="4CEBF8C6" w14:textId="77777777" w:rsidR="003776C5" w:rsidRPr="003776C5" w:rsidRDefault="003776C5" w:rsidP="003776C5">
            <w:pPr>
              <w:numPr>
                <w:ilvl w:val="0"/>
                <w:numId w:val="27"/>
              </w:numPr>
              <w:spacing w:after="0" w:line="240" w:lineRule="auto"/>
              <w:rPr>
                <w:rFonts w:ascii="Times New Roman" w:eastAsia="Calibri" w:hAnsi="Times New Roman"/>
                <w:noProof w:val="0"/>
                <w:sz w:val="24"/>
              </w:rPr>
            </w:pPr>
            <w:r w:rsidRPr="003776C5">
              <w:rPr>
                <w:rFonts w:ascii="Arial" w:eastAsia="Calibri" w:hAnsi="Arial"/>
                <w:noProof w:val="0"/>
                <w:color w:val="000000"/>
                <w:sz w:val="20"/>
                <w:szCs w:val="20"/>
              </w:rPr>
              <w:t xml:space="preserve">the harmonic current values for the maximum active input power condition derived from the percentage limits given in Table 2 shall not be exceeded; </w:t>
            </w:r>
          </w:p>
          <w:p w14:paraId="13B39D9F" w14:textId="77777777" w:rsidR="003776C5" w:rsidRPr="003776C5" w:rsidRDefault="003776C5" w:rsidP="003776C5">
            <w:pPr>
              <w:numPr>
                <w:ilvl w:val="0"/>
                <w:numId w:val="27"/>
              </w:numPr>
              <w:spacing w:after="0" w:line="240" w:lineRule="auto"/>
              <w:rPr>
                <w:rFonts w:ascii="Times New Roman" w:eastAsia="Calibri" w:hAnsi="Times New Roman"/>
                <w:noProof w:val="0"/>
                <w:sz w:val="24"/>
              </w:rPr>
            </w:pPr>
            <w:r w:rsidRPr="003776C5">
              <w:rPr>
                <w:rFonts w:ascii="Arial" w:eastAsia="Calibri" w:hAnsi="Arial"/>
                <w:noProof w:val="0"/>
                <w:color w:val="000000"/>
                <w:sz w:val="20"/>
                <w:szCs w:val="20"/>
              </w:rPr>
              <w:t>at control settings leading to an active input power less than the maximum input power condition, the harmonic currents shall not exceed the limits based on the maximum active input power of:</w:t>
            </w:r>
          </w:p>
          <w:p w14:paraId="6CB2A07F" w14:textId="77777777" w:rsidR="003776C5" w:rsidRPr="003776C5" w:rsidRDefault="003776C5" w:rsidP="003776C5">
            <w:pPr>
              <w:numPr>
                <w:ilvl w:val="1"/>
                <w:numId w:val="27"/>
              </w:numPr>
              <w:spacing w:after="0" w:line="240" w:lineRule="auto"/>
              <w:rPr>
                <w:rFonts w:ascii="Arial" w:eastAsia="Calibri" w:hAnsi="Arial"/>
                <w:noProof w:val="0"/>
                <w:color w:val="000000"/>
                <w:sz w:val="20"/>
                <w:szCs w:val="20"/>
              </w:rPr>
            </w:pPr>
            <w:r w:rsidRPr="003776C5">
              <w:rPr>
                <w:rFonts w:ascii="Arial" w:eastAsia="Calibri" w:hAnsi="Arial"/>
                <w:noProof w:val="0"/>
                <w:color w:val="000000"/>
                <w:sz w:val="20"/>
                <w:szCs w:val="20"/>
              </w:rPr>
              <w:t>below 50W: no limits below 5 W;</w:t>
            </w:r>
          </w:p>
          <w:p w14:paraId="1BC409C5" w14:textId="77777777" w:rsidR="003776C5" w:rsidRPr="003776C5" w:rsidRDefault="003776C5" w:rsidP="003776C5">
            <w:pPr>
              <w:numPr>
                <w:ilvl w:val="1"/>
                <w:numId w:val="27"/>
              </w:numPr>
              <w:spacing w:after="0" w:line="240" w:lineRule="auto"/>
              <w:rPr>
                <w:rFonts w:ascii="Arial" w:eastAsia="Calibri" w:hAnsi="Arial"/>
                <w:noProof w:val="0"/>
                <w:color w:val="000000"/>
                <w:sz w:val="20"/>
                <w:szCs w:val="20"/>
              </w:rPr>
            </w:pPr>
            <w:r w:rsidRPr="003776C5">
              <w:rPr>
                <w:rFonts w:ascii="Arial" w:eastAsia="Calibri" w:hAnsi="Arial"/>
                <w:noProof w:val="0"/>
                <w:color w:val="000000"/>
                <w:sz w:val="20"/>
                <w:szCs w:val="20"/>
              </w:rPr>
              <w:t xml:space="preserve">50 W - 250 W: no limits below 10% of maximum active input power; </w:t>
            </w:r>
          </w:p>
          <w:p w14:paraId="09095062" w14:textId="041A61D5" w:rsidR="003776C5" w:rsidRPr="00133351" w:rsidRDefault="003776C5" w:rsidP="003776C5">
            <w:pPr>
              <w:numPr>
                <w:ilvl w:val="1"/>
                <w:numId w:val="27"/>
              </w:numPr>
              <w:spacing w:after="0" w:line="240" w:lineRule="auto"/>
              <w:rPr>
                <w:rFonts w:ascii="Times New Roman" w:eastAsia="Calibri" w:hAnsi="Times New Roman"/>
                <w:noProof w:val="0"/>
                <w:sz w:val="24"/>
              </w:rPr>
            </w:pPr>
            <w:r w:rsidRPr="003776C5">
              <w:rPr>
                <w:rFonts w:ascii="Arial" w:eastAsia="Calibri" w:hAnsi="Arial"/>
                <w:noProof w:val="0"/>
                <w:color w:val="000000"/>
                <w:sz w:val="20"/>
                <w:szCs w:val="20"/>
              </w:rPr>
              <w:t>above 250 W: no limits below 25 W.</w:t>
            </w:r>
          </w:p>
          <w:p w14:paraId="455D757A" w14:textId="77777777" w:rsidR="003776C5" w:rsidRPr="003776C5" w:rsidRDefault="003776C5" w:rsidP="003776C5">
            <w:pPr>
              <w:spacing w:after="0" w:line="240" w:lineRule="auto"/>
              <w:rPr>
                <w:rFonts w:ascii="Times New Roman" w:eastAsia="Calibri" w:hAnsi="Times New Roman"/>
                <w:noProof w:val="0"/>
                <w:sz w:val="24"/>
              </w:rPr>
            </w:pPr>
          </w:p>
        </w:tc>
        <w:tc>
          <w:tcPr>
            <w:tcW w:w="1387" w:type="dxa"/>
            <w:hideMark/>
          </w:tcPr>
          <w:p w14:paraId="2D7093C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52E2E814"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1 </w:t>
            </w:r>
          </w:p>
        </w:tc>
        <w:tc>
          <w:tcPr>
            <w:tcW w:w="1566" w:type="dxa"/>
            <w:hideMark/>
          </w:tcPr>
          <w:p w14:paraId="65EE217A"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7B8739D5"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Comply with the requirements of IEC61000-3-2</w:t>
            </w:r>
          </w:p>
        </w:tc>
        <w:tc>
          <w:tcPr>
            <w:tcW w:w="1418" w:type="dxa"/>
          </w:tcPr>
          <w:p w14:paraId="0DC28B88"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7B6F8A4A"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highlight w:val="yellow"/>
                <w:lang w:eastAsia="en-AU"/>
              </w:rPr>
              <w:t>IEC 61000-4-7</w:t>
            </w:r>
          </w:p>
          <w:p w14:paraId="01192755" w14:textId="77777777" w:rsidR="003776C5" w:rsidRPr="003776C5" w:rsidRDefault="003776C5" w:rsidP="003776C5">
            <w:pPr>
              <w:spacing w:after="240" w:line="240" w:lineRule="auto"/>
              <w:rPr>
                <w:rFonts w:ascii="Calibri" w:eastAsia="Times New Roman" w:hAnsi="Calibri"/>
                <w:noProof w:val="0"/>
                <w:color w:val="000000"/>
                <w:sz w:val="22"/>
                <w:szCs w:val="22"/>
                <w:highlight w:val="lightGray"/>
                <w:lang w:eastAsia="en-AU"/>
              </w:rPr>
            </w:pPr>
            <w:r w:rsidRPr="003776C5">
              <w:rPr>
                <w:rFonts w:ascii="Calibri" w:eastAsia="Times New Roman" w:hAnsi="Calibri"/>
                <w:noProof w:val="0"/>
                <w:color w:val="000000"/>
                <w:sz w:val="22"/>
                <w:szCs w:val="22"/>
                <w:lang w:eastAsia="en-AU"/>
              </w:rPr>
              <w:t>Test data may be sourced from control gear manufacturer if available</w:t>
            </w:r>
          </w:p>
        </w:tc>
      </w:tr>
      <w:tr w:rsidR="003776C5" w:rsidRPr="003776C5" w14:paraId="4F0CCDD3" w14:textId="77777777" w:rsidTr="003776C5">
        <w:trPr>
          <w:trHeight w:val="270"/>
        </w:trPr>
        <w:tc>
          <w:tcPr>
            <w:tcW w:w="426" w:type="dxa"/>
            <w:shd w:val="clear" w:color="auto" w:fill="C6D9F1"/>
          </w:tcPr>
          <w:p w14:paraId="400754CE"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p>
        </w:tc>
        <w:tc>
          <w:tcPr>
            <w:tcW w:w="14600" w:type="dxa"/>
            <w:gridSpan w:val="8"/>
            <w:shd w:val="clear" w:color="auto" w:fill="C6D9F1"/>
          </w:tcPr>
          <w:p w14:paraId="744D2837"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Health</w:t>
            </w:r>
          </w:p>
        </w:tc>
      </w:tr>
      <w:tr w:rsidR="003776C5" w:rsidRPr="003776C5" w14:paraId="6A913DE6" w14:textId="77777777" w:rsidTr="006B00C9">
        <w:trPr>
          <w:trHeight w:val="699"/>
        </w:trPr>
        <w:tc>
          <w:tcPr>
            <w:tcW w:w="426" w:type="dxa"/>
            <w:shd w:val="clear" w:color="auto" w:fill="7030A0"/>
          </w:tcPr>
          <w:p w14:paraId="3940FDA1"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18</w:t>
            </w:r>
          </w:p>
        </w:tc>
        <w:tc>
          <w:tcPr>
            <w:tcW w:w="1529" w:type="dxa"/>
            <w:hideMark/>
          </w:tcPr>
          <w:p w14:paraId="0D4EEB7F"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27AD3118"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Photo-biological Safety</w:t>
            </w:r>
          </w:p>
        </w:tc>
        <w:tc>
          <w:tcPr>
            <w:tcW w:w="8700" w:type="dxa"/>
            <w:gridSpan w:val="4"/>
            <w:noWrap/>
            <w:hideMark/>
          </w:tcPr>
          <w:p w14:paraId="700B7257"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Blue Light &amp; UV hazards shall be either RG0 or RG1 unlimited</w:t>
            </w:r>
            <w:r w:rsidRPr="003776C5">
              <w:rPr>
                <w:rFonts w:ascii="Calibri" w:eastAsia="Times New Roman" w:hAnsi="Calibri"/>
                <w:noProof w:val="0"/>
                <w:color w:val="000000"/>
                <w:sz w:val="22"/>
                <w:szCs w:val="22"/>
                <w:vertAlign w:val="superscript"/>
                <w:lang w:eastAsia="en-AU"/>
              </w:rPr>
              <w:footnoteReference w:id="19"/>
            </w:r>
            <w:r w:rsidRPr="003776C5">
              <w:rPr>
                <w:rFonts w:ascii="Calibri" w:eastAsia="Times New Roman" w:hAnsi="Calibri"/>
                <w:noProof w:val="0"/>
                <w:color w:val="000000"/>
                <w:sz w:val="22"/>
                <w:szCs w:val="22"/>
                <w:vertAlign w:val="superscript"/>
                <w:lang w:eastAsia="en-AU"/>
              </w:rPr>
              <w:footnoteReference w:id="20"/>
            </w:r>
          </w:p>
          <w:p w14:paraId="022E658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03B54C4A" w14:textId="0327DBC9" w:rsidR="003776C5" w:rsidRPr="003776C5" w:rsidRDefault="003776C5" w:rsidP="00133351">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(UV hazard test not required if the light source does not contain a UV LED chip)</w:t>
            </w:r>
          </w:p>
        </w:tc>
        <w:tc>
          <w:tcPr>
            <w:tcW w:w="1387" w:type="dxa"/>
            <w:hideMark/>
          </w:tcPr>
          <w:p w14:paraId="5D3C76E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73AAEC83"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1</w:t>
            </w:r>
          </w:p>
        </w:tc>
        <w:tc>
          <w:tcPr>
            <w:tcW w:w="1566" w:type="dxa"/>
            <w:shd w:val="clear" w:color="auto" w:fill="auto"/>
            <w:hideMark/>
          </w:tcPr>
          <w:p w14:paraId="7F4040F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5F08585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Satisfy conditions of the test method.</w:t>
            </w:r>
          </w:p>
          <w:p w14:paraId="5E32902C"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tc>
        <w:tc>
          <w:tcPr>
            <w:tcW w:w="1418" w:type="dxa"/>
          </w:tcPr>
          <w:p w14:paraId="54D1BE27"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0D78B3AA" w14:textId="77777777" w:rsidR="003776C5" w:rsidRPr="003776C5" w:rsidRDefault="003776C5" w:rsidP="003776C5">
            <w:pPr>
              <w:spacing w:after="0" w:line="240" w:lineRule="auto"/>
              <w:rPr>
                <w:rFonts w:ascii="Calibri" w:eastAsia="Times New Roman" w:hAnsi="Calibri"/>
                <w:noProof w:val="0"/>
                <w:color w:val="000000"/>
                <w:sz w:val="22"/>
                <w:szCs w:val="22"/>
                <w:highlight w:val="lightGray"/>
                <w:lang w:eastAsia="en-AU"/>
              </w:rPr>
            </w:pPr>
            <w:r w:rsidRPr="003776C5">
              <w:rPr>
                <w:rFonts w:ascii="Calibri" w:eastAsia="Times New Roman" w:hAnsi="Calibri"/>
                <w:noProof w:val="0"/>
                <w:color w:val="000000"/>
                <w:sz w:val="22"/>
                <w:szCs w:val="22"/>
                <w:highlight w:val="yellow"/>
                <w:lang w:eastAsia="en-AU"/>
              </w:rPr>
              <w:t>IEC 62471 / CIE S009</w:t>
            </w:r>
          </w:p>
        </w:tc>
      </w:tr>
      <w:tr w:rsidR="003776C5" w:rsidRPr="003776C5" w14:paraId="4E1272D1" w14:textId="77777777" w:rsidTr="006B00C9">
        <w:trPr>
          <w:trHeight w:val="632"/>
        </w:trPr>
        <w:tc>
          <w:tcPr>
            <w:tcW w:w="426" w:type="dxa"/>
            <w:shd w:val="clear" w:color="auto" w:fill="7030A0"/>
          </w:tcPr>
          <w:p w14:paraId="610082C9"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19</w:t>
            </w:r>
          </w:p>
        </w:tc>
        <w:tc>
          <w:tcPr>
            <w:tcW w:w="1529" w:type="dxa"/>
            <w:hideMark/>
          </w:tcPr>
          <w:p w14:paraId="6BA637E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Dominant light modulation frequency (f) Modulation percent at this frequency (Mod%)</w:t>
            </w:r>
            <w:r w:rsidRPr="003776C5">
              <w:rPr>
                <w:rFonts w:ascii="Calibri" w:eastAsia="Times New Roman" w:hAnsi="Calibri"/>
                <w:noProof w:val="0"/>
                <w:color w:val="000000"/>
                <w:sz w:val="22"/>
                <w:szCs w:val="22"/>
                <w:vertAlign w:val="superscript"/>
                <w:lang w:eastAsia="en-AU"/>
              </w:rPr>
              <w:footnoteReference w:id="21"/>
            </w:r>
          </w:p>
          <w:p w14:paraId="62BA8AE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29709E5C"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(Includes Flicker effects)</w:t>
            </w:r>
          </w:p>
        </w:tc>
        <w:tc>
          <w:tcPr>
            <w:tcW w:w="8700" w:type="dxa"/>
            <w:gridSpan w:val="4"/>
            <w:noWrap/>
            <w:hideMark/>
          </w:tcPr>
          <w:p w14:paraId="6077F75A" w14:textId="77777777" w:rsidR="003776C5" w:rsidRPr="003776C5" w:rsidRDefault="003776C5" w:rsidP="003776C5">
            <w:pPr>
              <w:spacing w:after="0" w:line="240" w:lineRule="auto"/>
              <w:rPr>
                <w:rFonts w:ascii="Calibri" w:eastAsia="Calibri" w:hAnsi="Calibri"/>
                <w:noProof w:val="0"/>
                <w:sz w:val="22"/>
                <w:szCs w:val="22"/>
              </w:rPr>
            </w:pPr>
          </w:p>
          <w:p w14:paraId="75591FEB" w14:textId="77777777" w:rsidR="003776C5" w:rsidRPr="003776C5" w:rsidRDefault="003776C5" w:rsidP="003776C5">
            <w:pPr>
              <w:spacing w:after="0" w:line="240" w:lineRule="auto"/>
              <w:rPr>
                <w:rFonts w:ascii="Calibri" w:eastAsia="Calibri" w:hAnsi="Calibri"/>
                <w:noProof w:val="0"/>
                <w:sz w:val="22"/>
                <w:szCs w:val="22"/>
              </w:rPr>
            </w:pPr>
            <w:r w:rsidRPr="003776C5">
              <w:rPr>
                <w:rFonts w:ascii="Calibri" w:eastAsia="Calibri" w:hAnsi="Calibri"/>
                <w:noProof w:val="0"/>
                <w:sz w:val="22"/>
                <w:szCs w:val="22"/>
              </w:rPr>
              <w:t>Maximum flicker modulation at the dominant modulation frequency</w:t>
            </w:r>
            <w:r w:rsidRPr="003776C5">
              <w:rPr>
                <w:rFonts w:ascii="Calibri" w:eastAsia="Calibri" w:hAnsi="Calibri"/>
                <w:noProof w:val="0"/>
                <w:sz w:val="22"/>
                <w:szCs w:val="22"/>
                <w:vertAlign w:val="superscript"/>
              </w:rPr>
              <w:footnoteReference w:id="22"/>
            </w:r>
            <w:r w:rsidRPr="003776C5">
              <w:rPr>
                <w:rFonts w:ascii="Calibri" w:eastAsia="Calibri" w:hAnsi="Calibri"/>
                <w:noProof w:val="0"/>
                <w:sz w:val="22"/>
                <w:szCs w:val="22"/>
              </w:rPr>
              <w:t xml:space="preserve"> &lt; 30%</w:t>
            </w:r>
          </w:p>
          <w:p w14:paraId="772A6D9C" w14:textId="77777777" w:rsidR="003776C5" w:rsidRPr="003776C5" w:rsidRDefault="003776C5" w:rsidP="003776C5">
            <w:pPr>
              <w:spacing w:after="0" w:line="240" w:lineRule="auto"/>
              <w:rPr>
                <w:rFonts w:ascii="Calibri" w:eastAsia="Calibri" w:hAnsi="Calibri"/>
                <w:noProof w:val="0"/>
                <w:sz w:val="22"/>
                <w:szCs w:val="22"/>
              </w:rPr>
            </w:pPr>
          </w:p>
          <w:p w14:paraId="31BBE199"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tc>
        <w:tc>
          <w:tcPr>
            <w:tcW w:w="1387" w:type="dxa"/>
            <w:hideMark/>
          </w:tcPr>
          <w:p w14:paraId="0FCA8207"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66EAF90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1 </w:t>
            </w:r>
          </w:p>
        </w:tc>
        <w:tc>
          <w:tcPr>
            <w:tcW w:w="1566" w:type="dxa"/>
            <w:hideMark/>
          </w:tcPr>
          <w:p w14:paraId="5F61052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28102B39"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Satisfy conditions of the test method.</w:t>
            </w:r>
          </w:p>
        </w:tc>
        <w:tc>
          <w:tcPr>
            <w:tcW w:w="1418" w:type="dxa"/>
          </w:tcPr>
          <w:p w14:paraId="0F56F31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15B77FFC"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IEEE 1789 </w:t>
            </w:r>
          </w:p>
          <w:p w14:paraId="3BB5B1DA"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or </w:t>
            </w:r>
          </w:p>
          <w:p w14:paraId="4474C0BA" w14:textId="77777777" w:rsidR="003776C5" w:rsidRPr="003776C5" w:rsidRDefault="003776C5" w:rsidP="003776C5">
            <w:pPr>
              <w:spacing w:after="0" w:line="240" w:lineRule="auto"/>
              <w:rPr>
                <w:rFonts w:ascii="Calibri" w:eastAsia="Times New Roman" w:hAnsi="Calibri"/>
                <w:noProof w:val="0"/>
                <w:color w:val="000000"/>
                <w:sz w:val="22"/>
                <w:szCs w:val="22"/>
                <w:highlight w:val="lightGray"/>
                <w:lang w:eastAsia="en-AU"/>
              </w:rPr>
            </w:pPr>
            <w:r w:rsidRPr="003776C5">
              <w:rPr>
                <w:rFonts w:ascii="Calibri" w:eastAsia="Times New Roman" w:hAnsi="Calibri"/>
                <w:noProof w:val="0"/>
                <w:color w:val="000000"/>
                <w:sz w:val="22"/>
                <w:szCs w:val="22"/>
                <w:lang w:eastAsia="en-AU"/>
              </w:rPr>
              <w:t>other if specified in Determination.</w:t>
            </w:r>
          </w:p>
        </w:tc>
      </w:tr>
      <w:tr w:rsidR="003776C5" w:rsidRPr="003776C5" w14:paraId="26B310CF" w14:textId="77777777" w:rsidTr="003776C5">
        <w:trPr>
          <w:trHeight w:val="270"/>
        </w:trPr>
        <w:tc>
          <w:tcPr>
            <w:tcW w:w="426" w:type="dxa"/>
            <w:shd w:val="clear" w:color="auto" w:fill="EAF1DD"/>
          </w:tcPr>
          <w:p w14:paraId="34CB8E33"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p>
        </w:tc>
        <w:tc>
          <w:tcPr>
            <w:tcW w:w="14600" w:type="dxa"/>
            <w:gridSpan w:val="8"/>
            <w:shd w:val="clear" w:color="auto" w:fill="EAF1DD"/>
          </w:tcPr>
          <w:p w14:paraId="001AFEF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Smart Lamps ONLY - Energy conservation</w:t>
            </w:r>
          </w:p>
        </w:tc>
      </w:tr>
      <w:tr w:rsidR="003776C5" w:rsidRPr="003776C5" w14:paraId="6CC56178" w14:textId="77777777" w:rsidTr="006B00C9">
        <w:trPr>
          <w:trHeight w:val="600"/>
        </w:trPr>
        <w:tc>
          <w:tcPr>
            <w:tcW w:w="426" w:type="dxa"/>
          </w:tcPr>
          <w:p w14:paraId="3E98A3F3"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5</w:t>
            </w:r>
          </w:p>
        </w:tc>
        <w:tc>
          <w:tcPr>
            <w:tcW w:w="1529" w:type="dxa"/>
            <w:hideMark/>
          </w:tcPr>
          <w:p w14:paraId="00D685D6"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40D90D14"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Standby Power (For lamps with Standby mode only)</w:t>
            </w:r>
          </w:p>
        </w:tc>
        <w:tc>
          <w:tcPr>
            <w:tcW w:w="8700" w:type="dxa"/>
            <w:gridSpan w:val="4"/>
            <w:noWrap/>
            <w:hideMark/>
          </w:tcPr>
          <w:p w14:paraId="61D783C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23E7EBA6" w14:textId="77777777" w:rsidR="003776C5" w:rsidRPr="003776C5" w:rsidRDefault="003776C5" w:rsidP="003776C5">
            <w:pPr>
              <w:spacing w:after="0" w:line="240" w:lineRule="auto"/>
              <w:jc w:val="center"/>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P</w:t>
            </w:r>
            <w:r w:rsidRPr="003776C5">
              <w:rPr>
                <w:rFonts w:ascii="Calibri" w:eastAsia="Times New Roman" w:hAnsi="Calibri"/>
                <w:noProof w:val="0"/>
                <w:color w:val="000000"/>
                <w:sz w:val="22"/>
                <w:szCs w:val="22"/>
                <w:vertAlign w:val="subscript"/>
                <w:lang w:eastAsia="en-AU"/>
              </w:rPr>
              <w:t>STANDBY</w:t>
            </w:r>
            <w:r w:rsidRPr="003776C5">
              <w:rPr>
                <w:rFonts w:ascii="Calibri" w:eastAsia="Times New Roman" w:hAnsi="Calibri"/>
                <w:noProof w:val="0"/>
                <w:color w:val="000000"/>
                <w:sz w:val="22"/>
                <w:szCs w:val="22"/>
                <w:lang w:eastAsia="en-AU"/>
              </w:rPr>
              <w:t>/P</w:t>
            </w:r>
            <w:r w:rsidRPr="003776C5">
              <w:rPr>
                <w:rFonts w:ascii="Calibri" w:eastAsia="Times New Roman" w:hAnsi="Calibri"/>
                <w:noProof w:val="0"/>
                <w:color w:val="000000"/>
                <w:sz w:val="22"/>
                <w:szCs w:val="22"/>
                <w:vertAlign w:val="subscript"/>
                <w:lang w:eastAsia="en-AU"/>
              </w:rPr>
              <w:t>ON</w:t>
            </w:r>
            <w:r w:rsidRPr="003776C5">
              <w:rPr>
                <w:rFonts w:ascii="Calibri" w:eastAsia="Times New Roman" w:hAnsi="Calibri"/>
                <w:noProof w:val="0"/>
                <w:color w:val="000000"/>
                <w:sz w:val="22"/>
                <w:szCs w:val="22"/>
                <w:lang w:eastAsia="en-AU"/>
              </w:rPr>
              <w:t xml:space="preserve"> ≤ 5%</w:t>
            </w:r>
          </w:p>
          <w:p w14:paraId="1347FE2C" w14:textId="77777777" w:rsidR="003776C5" w:rsidRPr="003776C5" w:rsidRDefault="003776C5" w:rsidP="003776C5">
            <w:pPr>
              <w:spacing w:after="0" w:line="240" w:lineRule="auto"/>
              <w:jc w:val="center"/>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Capped at: &lt; 0.5W</w:t>
            </w:r>
          </w:p>
          <w:p w14:paraId="4BEEA0AC" w14:textId="77777777" w:rsidR="003776C5" w:rsidRPr="003776C5" w:rsidRDefault="003776C5" w:rsidP="003776C5">
            <w:pPr>
              <w:spacing w:after="0" w:line="240" w:lineRule="auto"/>
              <w:jc w:val="center"/>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ab/>
              <w:t xml:space="preserve">                   &lt; 0.3W (2023)</w:t>
            </w:r>
          </w:p>
          <w:p w14:paraId="1C96B34A" w14:textId="77777777" w:rsidR="003776C5" w:rsidRPr="003776C5" w:rsidRDefault="003776C5" w:rsidP="003776C5">
            <w:pPr>
              <w:spacing w:after="0" w:line="240" w:lineRule="auto"/>
              <w:jc w:val="center"/>
              <w:rPr>
                <w:rFonts w:ascii="Calibri" w:eastAsia="Times New Roman" w:hAnsi="Calibri"/>
                <w:noProof w:val="0"/>
                <w:color w:val="000000"/>
                <w:sz w:val="22"/>
                <w:szCs w:val="22"/>
                <w:lang w:eastAsia="en-AU"/>
              </w:rPr>
            </w:pPr>
          </w:p>
          <w:p w14:paraId="5C68D853" w14:textId="77777777" w:rsidR="003776C5" w:rsidRPr="003776C5" w:rsidRDefault="003776C5" w:rsidP="003776C5">
            <w:pPr>
              <w:spacing w:after="0" w:line="240" w:lineRule="auto"/>
              <w:jc w:val="center"/>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(When tested with the latest firmware updates)</w:t>
            </w:r>
          </w:p>
          <w:p w14:paraId="3D3FDC11" w14:textId="77777777" w:rsidR="003776C5" w:rsidRPr="003776C5" w:rsidRDefault="003776C5" w:rsidP="003776C5">
            <w:pPr>
              <w:spacing w:after="0" w:line="240" w:lineRule="auto"/>
              <w:jc w:val="center"/>
              <w:rPr>
                <w:rFonts w:ascii="Calibri" w:eastAsia="Times New Roman" w:hAnsi="Calibri"/>
                <w:noProof w:val="0"/>
                <w:color w:val="000000"/>
                <w:sz w:val="22"/>
                <w:szCs w:val="22"/>
                <w:lang w:eastAsia="en-AU"/>
              </w:rPr>
            </w:pPr>
          </w:p>
        </w:tc>
        <w:tc>
          <w:tcPr>
            <w:tcW w:w="1387" w:type="dxa"/>
          </w:tcPr>
          <w:p w14:paraId="55EA51F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19565542"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5</w:t>
            </w:r>
          </w:p>
          <w:p w14:paraId="20117C2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59D3A579"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3 (Linear LED)</w:t>
            </w:r>
          </w:p>
        </w:tc>
        <w:tc>
          <w:tcPr>
            <w:tcW w:w="1566" w:type="dxa"/>
            <w:hideMark/>
          </w:tcPr>
          <w:p w14:paraId="27800899"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75D68FCC"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Average ≥ value specified</w:t>
            </w:r>
          </w:p>
          <w:p w14:paraId="43578A7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To be tested as supplied for sale (additional functionality may be supplied not activated).  See also smart lamp criteria.</w:t>
            </w:r>
          </w:p>
        </w:tc>
        <w:tc>
          <w:tcPr>
            <w:tcW w:w="1418" w:type="dxa"/>
          </w:tcPr>
          <w:p w14:paraId="106876D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12A2D325"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AS/NZS IEC 62301</w:t>
            </w:r>
          </w:p>
          <w:p w14:paraId="0B8AF428"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(or IEA 4E SSL Task 7 2016 publication http://ssl.iea-4e.org/news/stand-by-of-smart-lamps)</w:t>
            </w:r>
            <w:r w:rsidRPr="003776C5">
              <w:rPr>
                <w:rFonts w:ascii="Calibri" w:eastAsia="Times New Roman" w:hAnsi="Calibri"/>
                <w:noProof w:val="0"/>
                <w:color w:val="000000"/>
                <w:sz w:val="22"/>
                <w:szCs w:val="22"/>
                <w:vertAlign w:val="superscript"/>
                <w:lang w:eastAsia="en-AU"/>
              </w:rPr>
              <w:footnoteReference w:id="23"/>
            </w:r>
          </w:p>
        </w:tc>
      </w:tr>
      <w:tr w:rsidR="003776C5" w:rsidRPr="003776C5" w:rsidDel="002F1DCA" w14:paraId="73F3C9E5" w14:textId="77777777" w:rsidTr="006B00C9">
        <w:trPr>
          <w:trHeight w:val="1200"/>
        </w:trPr>
        <w:tc>
          <w:tcPr>
            <w:tcW w:w="426" w:type="dxa"/>
          </w:tcPr>
          <w:p w14:paraId="6B39289C"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6</w:t>
            </w:r>
          </w:p>
        </w:tc>
        <w:tc>
          <w:tcPr>
            <w:tcW w:w="1529" w:type="dxa"/>
            <w:hideMark/>
          </w:tcPr>
          <w:p w14:paraId="0AD7D7C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157E489C"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Smart Lighting: </w:t>
            </w:r>
          </w:p>
          <w:p w14:paraId="28B4558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on-demand power consumption feature</w:t>
            </w:r>
          </w:p>
          <w:p w14:paraId="2942C3A3"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(smart lamps only)</w:t>
            </w:r>
          </w:p>
          <w:p w14:paraId="01580DA6"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tc>
        <w:tc>
          <w:tcPr>
            <w:tcW w:w="8700" w:type="dxa"/>
            <w:gridSpan w:val="4"/>
            <w:noWrap/>
            <w:hideMark/>
          </w:tcPr>
          <w:p w14:paraId="2A104D15"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4E69E5D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Device to provide energy consumption reporting that is accessible by owner.</w:t>
            </w:r>
          </w:p>
          <w:p w14:paraId="4FA230F8"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1C3D7882"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7D44C19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Further revisions may follow outcomes of investigations by the IEA 4E SSL and G20 working groups.</w:t>
            </w:r>
          </w:p>
          <w:p w14:paraId="51C441D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711F53C9"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tc>
        <w:tc>
          <w:tcPr>
            <w:tcW w:w="1387" w:type="dxa"/>
          </w:tcPr>
          <w:p w14:paraId="59DE2F1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3BC0927E"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1</w:t>
            </w:r>
          </w:p>
        </w:tc>
        <w:tc>
          <w:tcPr>
            <w:tcW w:w="1566" w:type="dxa"/>
            <w:hideMark/>
          </w:tcPr>
          <w:p w14:paraId="65C0B427"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2CCC27D7"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Require device to provide energy consumption reporting  that is accessible by owner</w:t>
            </w:r>
          </w:p>
        </w:tc>
        <w:tc>
          <w:tcPr>
            <w:tcW w:w="1418" w:type="dxa"/>
          </w:tcPr>
          <w:p w14:paraId="2F213D9F"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2945C06C" w14:textId="77777777" w:rsidR="003776C5" w:rsidRPr="003776C5" w:rsidDel="002F1DCA"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highlight w:val="yellow"/>
                <w:lang w:eastAsia="en-AU"/>
              </w:rPr>
              <w:t>Energy Star Lamps v2 Section 12.9</w:t>
            </w:r>
          </w:p>
        </w:tc>
      </w:tr>
      <w:tr w:rsidR="003776C5" w:rsidRPr="003776C5" w14:paraId="51FA5312" w14:textId="77777777" w:rsidTr="003776C5">
        <w:trPr>
          <w:trHeight w:val="270"/>
        </w:trPr>
        <w:tc>
          <w:tcPr>
            <w:tcW w:w="426" w:type="dxa"/>
            <w:shd w:val="clear" w:color="auto" w:fill="E5DFEC"/>
          </w:tcPr>
          <w:p w14:paraId="6A954E26"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p>
        </w:tc>
        <w:tc>
          <w:tcPr>
            <w:tcW w:w="14600" w:type="dxa"/>
            <w:gridSpan w:val="8"/>
            <w:shd w:val="clear" w:color="auto" w:fill="E5DFEC"/>
          </w:tcPr>
          <w:p w14:paraId="7CE400A9"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Declaration</w:t>
            </w:r>
          </w:p>
        </w:tc>
      </w:tr>
      <w:tr w:rsidR="003776C5" w:rsidRPr="003776C5" w14:paraId="6ABD8906" w14:textId="77777777" w:rsidTr="006B00C9">
        <w:trPr>
          <w:trHeight w:val="300"/>
        </w:trPr>
        <w:tc>
          <w:tcPr>
            <w:tcW w:w="426" w:type="dxa"/>
            <w:shd w:val="clear" w:color="auto" w:fill="7030A0"/>
          </w:tcPr>
          <w:p w14:paraId="0B51C72A"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12</w:t>
            </w:r>
          </w:p>
        </w:tc>
        <w:tc>
          <w:tcPr>
            <w:tcW w:w="1529" w:type="dxa"/>
            <w:hideMark/>
          </w:tcPr>
          <w:p w14:paraId="5B523FC4"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7D65342A"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Rated Life Declaration</w:t>
            </w:r>
          </w:p>
          <w:p w14:paraId="2E8F3A07"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(relates to packaging requirement)</w:t>
            </w:r>
          </w:p>
        </w:tc>
        <w:tc>
          <w:tcPr>
            <w:tcW w:w="5804" w:type="dxa"/>
            <w:gridSpan w:val="3"/>
            <w:noWrap/>
            <w:hideMark/>
          </w:tcPr>
          <w:p w14:paraId="47B1E14E"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0E1D411C"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Packaging declaration of a minimum lifetime of 15,000 hours</w:t>
            </w:r>
          </w:p>
        </w:tc>
        <w:tc>
          <w:tcPr>
            <w:tcW w:w="2896" w:type="dxa"/>
          </w:tcPr>
          <w:p w14:paraId="1357857F"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1FA9271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Packaging declaration of a minimum lifetime of 25,000 hours</w:t>
            </w:r>
          </w:p>
          <w:p w14:paraId="374C670E"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tc>
        <w:tc>
          <w:tcPr>
            <w:tcW w:w="1387" w:type="dxa"/>
          </w:tcPr>
          <w:p w14:paraId="091A608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53F6BA3E"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N/A</w:t>
            </w:r>
          </w:p>
        </w:tc>
        <w:tc>
          <w:tcPr>
            <w:tcW w:w="1566" w:type="dxa"/>
            <w:hideMark/>
          </w:tcPr>
          <w:p w14:paraId="3B53BF2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16D83054"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Declaration Only </w:t>
            </w:r>
          </w:p>
          <w:p w14:paraId="7EC2CA19"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tc>
        <w:tc>
          <w:tcPr>
            <w:tcW w:w="1418" w:type="dxa"/>
          </w:tcPr>
          <w:p w14:paraId="11D01B25"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77AE09DE" w14:textId="77777777" w:rsidR="003776C5" w:rsidRPr="003776C5" w:rsidRDefault="003776C5" w:rsidP="003776C5">
            <w:pPr>
              <w:spacing w:after="0" w:line="240" w:lineRule="auto"/>
              <w:rPr>
                <w:rFonts w:ascii="Calibri" w:eastAsia="Times New Roman" w:hAnsi="Calibri"/>
                <w:noProof w:val="0"/>
                <w:color w:val="000000"/>
                <w:sz w:val="22"/>
                <w:szCs w:val="22"/>
                <w:highlight w:val="lightGray"/>
                <w:lang w:eastAsia="en-AU"/>
              </w:rPr>
            </w:pPr>
            <w:r w:rsidRPr="003776C5">
              <w:rPr>
                <w:rFonts w:ascii="Calibri" w:eastAsia="Times New Roman" w:hAnsi="Calibri"/>
                <w:noProof w:val="0"/>
                <w:color w:val="000000"/>
                <w:sz w:val="22"/>
                <w:szCs w:val="22"/>
                <w:lang w:eastAsia="en-AU"/>
              </w:rPr>
              <w:t>N/A</w:t>
            </w:r>
          </w:p>
        </w:tc>
      </w:tr>
      <w:tr w:rsidR="003776C5" w:rsidRPr="003776C5" w14:paraId="114CB82D" w14:textId="77777777" w:rsidTr="003776C5">
        <w:trPr>
          <w:trHeight w:val="2700"/>
        </w:trPr>
        <w:tc>
          <w:tcPr>
            <w:tcW w:w="426" w:type="dxa"/>
          </w:tcPr>
          <w:p w14:paraId="043EA34B"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17</w:t>
            </w:r>
          </w:p>
        </w:tc>
        <w:tc>
          <w:tcPr>
            <w:tcW w:w="1529" w:type="dxa"/>
            <w:shd w:val="clear" w:color="auto" w:fill="9BBB59"/>
            <w:hideMark/>
          </w:tcPr>
          <w:p w14:paraId="720B2E3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31F9CAA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ELV converter compatibility</w:t>
            </w:r>
          </w:p>
          <w:p w14:paraId="56DF4EB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4FDAABB9"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(For ELV Lamps only)</w:t>
            </w:r>
          </w:p>
        </w:tc>
        <w:tc>
          <w:tcPr>
            <w:tcW w:w="5804" w:type="dxa"/>
            <w:gridSpan w:val="3"/>
            <w:noWrap/>
            <w:hideMark/>
          </w:tcPr>
          <w:p w14:paraId="12FAC6B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39A6A457"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In combination with ELV converter shall operate in a stable manner without observable flicker or light fluctuation. </w:t>
            </w:r>
            <w:r w:rsidRPr="003776C5">
              <w:rPr>
                <w:rFonts w:ascii="Calibri" w:eastAsia="Calibri" w:hAnsi="Calibri"/>
                <w:noProof w:val="0"/>
                <w:sz w:val="22"/>
                <w:szCs w:val="22"/>
              </w:rPr>
              <w:t xml:space="preserve"> </w:t>
            </w:r>
            <w:r w:rsidRPr="003776C5">
              <w:rPr>
                <w:rFonts w:ascii="Calibri" w:eastAsia="Times New Roman" w:hAnsi="Calibri"/>
                <w:noProof w:val="0"/>
                <w:color w:val="000000"/>
                <w:sz w:val="22"/>
                <w:szCs w:val="22"/>
                <w:lang w:eastAsia="en-AU"/>
              </w:rPr>
              <w:t xml:space="preserve">Suppliers do not need to submit tests for registration.  </w:t>
            </w:r>
            <w:r w:rsidRPr="003776C5">
              <w:rPr>
                <w:rFonts w:ascii="Calibri" w:eastAsia="Times New Roman" w:hAnsi="Calibri"/>
                <w:noProof w:val="0"/>
                <w:color w:val="000000"/>
                <w:sz w:val="22"/>
                <w:szCs w:val="22"/>
                <w:vertAlign w:val="superscript"/>
                <w:lang w:eastAsia="en-AU"/>
              </w:rPr>
              <w:footnoteReference w:id="24"/>
            </w:r>
            <w:r w:rsidRPr="003776C5">
              <w:rPr>
                <w:rFonts w:ascii="Calibri" w:eastAsia="Times New Roman" w:hAnsi="Calibri"/>
                <w:noProof w:val="0"/>
                <w:color w:val="000000"/>
                <w:sz w:val="22"/>
                <w:szCs w:val="22"/>
                <w:lang w:eastAsia="en-AU"/>
              </w:rPr>
              <w:br/>
              <w:t xml:space="preserve">Also the manufacturer shall: </w:t>
            </w:r>
          </w:p>
          <w:p w14:paraId="48FB5E1E"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6E568DCC" w14:textId="77777777" w:rsidR="003776C5" w:rsidRPr="003776C5" w:rsidRDefault="003776C5" w:rsidP="003776C5">
            <w:pPr>
              <w:numPr>
                <w:ilvl w:val="0"/>
                <w:numId w:val="22"/>
              </w:num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declare which ELV conditions </w:t>
            </w:r>
            <w:r w:rsidRPr="003776C5">
              <w:rPr>
                <w:rFonts w:ascii="Calibri" w:eastAsia="Calibri" w:hAnsi="Calibri"/>
                <w:noProof w:val="0"/>
                <w:sz w:val="16"/>
                <w:szCs w:val="16"/>
              </w:rPr>
              <w:t>(</w:t>
            </w:r>
            <w:r w:rsidRPr="003776C5">
              <w:rPr>
                <w:rFonts w:ascii="Calibri" w:eastAsia="Calibri" w:hAnsi="Calibri"/>
                <w:noProof w:val="0"/>
                <w:sz w:val="22"/>
                <w:szCs w:val="22"/>
              </w:rPr>
              <w:t>e.g. minimum/maximum number of lamps connected to  ELVC</w:t>
            </w:r>
            <w:r w:rsidRPr="003776C5">
              <w:rPr>
                <w:rFonts w:ascii="Calibri" w:eastAsia="Times New Roman" w:hAnsi="Calibri"/>
                <w:noProof w:val="0"/>
                <w:color w:val="000000"/>
                <w:sz w:val="22"/>
                <w:szCs w:val="22"/>
                <w:lang w:eastAsia="en-AU"/>
              </w:rPr>
              <w:t xml:space="preserve">) under which the lamp will operate </w:t>
            </w:r>
          </w:p>
          <w:p w14:paraId="098AB057" w14:textId="77777777" w:rsidR="003776C5" w:rsidRPr="003776C5" w:rsidRDefault="003776C5" w:rsidP="003776C5">
            <w:pPr>
              <w:numPr>
                <w:ilvl w:val="0"/>
                <w:numId w:val="22"/>
              </w:num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provide a webpage address that lists compatible ELV converter makes and models including ELVCs available in the local market.</w:t>
            </w:r>
          </w:p>
          <w:p w14:paraId="289BBC5E" w14:textId="77777777" w:rsidR="003776C5" w:rsidRPr="003776C5" w:rsidRDefault="003776C5" w:rsidP="003776C5">
            <w:pPr>
              <w:spacing w:after="0" w:line="240" w:lineRule="auto"/>
              <w:ind w:left="360"/>
              <w:rPr>
                <w:rFonts w:ascii="Calibri" w:eastAsia="Times New Roman" w:hAnsi="Calibri"/>
                <w:noProof w:val="0"/>
                <w:color w:val="000000"/>
                <w:sz w:val="22"/>
                <w:szCs w:val="22"/>
                <w:lang w:eastAsia="en-AU"/>
              </w:rPr>
            </w:pPr>
          </w:p>
        </w:tc>
        <w:tc>
          <w:tcPr>
            <w:tcW w:w="2896" w:type="dxa"/>
          </w:tcPr>
          <w:p w14:paraId="799635EA" w14:textId="77777777" w:rsidR="003776C5" w:rsidRPr="003776C5" w:rsidRDefault="003776C5" w:rsidP="003776C5">
            <w:pPr>
              <w:spacing w:after="0" w:line="240" w:lineRule="auto"/>
              <w:rPr>
                <w:rFonts w:ascii="Calibri" w:eastAsia="Times New Roman" w:hAnsi="Calibri"/>
                <w:noProof w:val="0"/>
                <w:color w:val="000000"/>
                <w:sz w:val="22"/>
                <w:szCs w:val="22"/>
                <w:highlight w:val="lightGray"/>
                <w:lang w:eastAsia="en-AU"/>
              </w:rPr>
            </w:pPr>
          </w:p>
          <w:p w14:paraId="129F550F"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N/A</w:t>
            </w:r>
          </w:p>
        </w:tc>
        <w:tc>
          <w:tcPr>
            <w:tcW w:w="1387" w:type="dxa"/>
            <w:hideMark/>
          </w:tcPr>
          <w:p w14:paraId="058EEE74"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575E8EF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3 lamps</w:t>
            </w:r>
          </w:p>
          <w:p w14:paraId="61A0584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5F666F02"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3 ELVCs</w:t>
            </w:r>
          </w:p>
        </w:tc>
        <w:tc>
          <w:tcPr>
            <w:tcW w:w="1566" w:type="dxa"/>
            <w:shd w:val="clear" w:color="auto" w:fill="auto"/>
            <w:hideMark/>
          </w:tcPr>
          <w:p w14:paraId="77BD7ECF"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3BB6B84C"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All lamp/ELVC combinations where compatibility claimed satisfy conditions of the test method.</w:t>
            </w:r>
          </w:p>
          <w:p w14:paraId="6BC9011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tc>
        <w:tc>
          <w:tcPr>
            <w:tcW w:w="1418" w:type="dxa"/>
          </w:tcPr>
          <w:p w14:paraId="193AD1A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0088C90F"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To be developed </w:t>
            </w:r>
          </w:p>
          <w:p w14:paraId="1A96077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To include tests for flicker (IEEE 1789 or other).</w:t>
            </w:r>
          </w:p>
          <w:p w14:paraId="08A8160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Suppliers do not need to submit tests for registration</w:t>
            </w:r>
            <w:r w:rsidRPr="003776C5">
              <w:rPr>
                <w:rFonts w:ascii="Calibri" w:eastAsia="Times New Roman" w:hAnsi="Calibri"/>
                <w:noProof w:val="0"/>
                <w:color w:val="000000"/>
                <w:sz w:val="22"/>
                <w:szCs w:val="22"/>
                <w:vertAlign w:val="superscript"/>
                <w:lang w:eastAsia="en-AU"/>
              </w:rPr>
              <w:footnoteReference w:id="25"/>
            </w:r>
            <w:r w:rsidRPr="003776C5">
              <w:rPr>
                <w:rFonts w:ascii="Calibri" w:eastAsia="Times New Roman" w:hAnsi="Calibri"/>
                <w:noProof w:val="0"/>
                <w:color w:val="000000"/>
                <w:sz w:val="22"/>
                <w:szCs w:val="22"/>
                <w:lang w:eastAsia="en-AU"/>
              </w:rPr>
              <w:t>.  Compliance may test.</w:t>
            </w:r>
          </w:p>
          <w:p w14:paraId="3360D9D3" w14:textId="77777777" w:rsidR="003776C5" w:rsidRPr="003776C5" w:rsidRDefault="003776C5" w:rsidP="003776C5">
            <w:pPr>
              <w:spacing w:after="0" w:line="240" w:lineRule="auto"/>
              <w:rPr>
                <w:rFonts w:ascii="Calibri" w:eastAsia="Times New Roman" w:hAnsi="Calibri"/>
                <w:noProof w:val="0"/>
                <w:color w:val="000000"/>
                <w:sz w:val="22"/>
                <w:szCs w:val="22"/>
                <w:highlight w:val="lightGray"/>
                <w:lang w:eastAsia="en-AU"/>
              </w:rPr>
            </w:pPr>
          </w:p>
          <w:p w14:paraId="2591515A" w14:textId="77777777" w:rsidR="003776C5" w:rsidRPr="003776C5" w:rsidRDefault="003776C5" w:rsidP="003776C5">
            <w:pPr>
              <w:spacing w:after="0" w:line="240" w:lineRule="auto"/>
              <w:rPr>
                <w:rFonts w:ascii="Calibri" w:eastAsia="Times New Roman" w:hAnsi="Calibri"/>
                <w:noProof w:val="0"/>
                <w:color w:val="000000"/>
                <w:sz w:val="22"/>
                <w:szCs w:val="22"/>
                <w:highlight w:val="lightGray"/>
                <w:lang w:eastAsia="en-AU"/>
              </w:rPr>
            </w:pPr>
          </w:p>
          <w:p w14:paraId="52EAB5C9" w14:textId="77777777" w:rsidR="003776C5" w:rsidRPr="003776C5" w:rsidRDefault="003776C5" w:rsidP="003776C5">
            <w:pPr>
              <w:spacing w:after="0" w:line="240" w:lineRule="auto"/>
              <w:rPr>
                <w:rFonts w:ascii="Calibri" w:eastAsia="Times New Roman" w:hAnsi="Calibri"/>
                <w:noProof w:val="0"/>
                <w:color w:val="000000"/>
                <w:sz w:val="22"/>
                <w:szCs w:val="22"/>
                <w:highlight w:val="lightGray"/>
                <w:lang w:eastAsia="en-AU"/>
              </w:rPr>
            </w:pPr>
          </w:p>
        </w:tc>
      </w:tr>
      <w:tr w:rsidR="003776C5" w:rsidRPr="003776C5" w14:paraId="3EE81DC6" w14:textId="77777777" w:rsidTr="003776C5">
        <w:trPr>
          <w:trHeight w:val="3621"/>
        </w:trPr>
        <w:tc>
          <w:tcPr>
            <w:tcW w:w="426" w:type="dxa"/>
          </w:tcPr>
          <w:p w14:paraId="4742518A"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16</w:t>
            </w:r>
          </w:p>
        </w:tc>
        <w:tc>
          <w:tcPr>
            <w:tcW w:w="1529" w:type="dxa"/>
            <w:shd w:val="clear" w:color="auto" w:fill="9BBB59"/>
            <w:hideMark/>
          </w:tcPr>
          <w:p w14:paraId="4B22E548"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Dimmer compatibility (Phase cut dimmers only)</w:t>
            </w:r>
            <w:r w:rsidRPr="003776C5">
              <w:rPr>
                <w:rFonts w:ascii="Calibri" w:eastAsia="Times New Roman" w:hAnsi="Calibri"/>
                <w:noProof w:val="0"/>
                <w:color w:val="000000"/>
                <w:sz w:val="22"/>
                <w:szCs w:val="22"/>
                <w:vertAlign w:val="superscript"/>
                <w:lang w:eastAsia="en-AU"/>
              </w:rPr>
              <w:footnoteReference w:id="26"/>
            </w:r>
          </w:p>
        </w:tc>
        <w:tc>
          <w:tcPr>
            <w:tcW w:w="5804" w:type="dxa"/>
            <w:gridSpan w:val="3"/>
            <w:noWrap/>
            <w:hideMark/>
          </w:tcPr>
          <w:p w14:paraId="0FBD1FF8"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Lamp dims smoothly to 30% of light output with no observable flicker. When dimmer is set to 100%, light output ≥ 90% of lamp without dimmer. For dimmable products, the lamp manufacturer shall:</w:t>
            </w:r>
          </w:p>
          <w:p w14:paraId="65802CB5"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 </w:t>
            </w:r>
          </w:p>
          <w:p w14:paraId="013FFDC4" w14:textId="77777777" w:rsidR="003776C5" w:rsidRPr="003776C5" w:rsidRDefault="003776C5" w:rsidP="003776C5">
            <w:pPr>
              <w:numPr>
                <w:ilvl w:val="0"/>
                <w:numId w:val="21"/>
              </w:num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declare the conditions under which the lamp will dim</w:t>
            </w:r>
          </w:p>
          <w:p w14:paraId="0EF6EBCC" w14:textId="77777777" w:rsidR="003776C5" w:rsidRPr="003776C5" w:rsidRDefault="003776C5" w:rsidP="003776C5">
            <w:pPr>
              <w:numPr>
                <w:ilvl w:val="0"/>
                <w:numId w:val="21"/>
              </w:num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declare which  conditions (e.g. minimum/maximum number of lamps connected to  dimmer) under which the lamp will operate;</w:t>
            </w:r>
          </w:p>
          <w:p w14:paraId="31C0AF4D" w14:textId="77777777" w:rsidR="003776C5" w:rsidRPr="003776C5" w:rsidRDefault="003776C5" w:rsidP="003776C5">
            <w:pPr>
              <w:numPr>
                <w:ilvl w:val="0"/>
                <w:numId w:val="21"/>
              </w:num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provide a webpage address that lists compatible dimmer makes and models including (for ELV lamps) compatible makes and models of ELVCs available in the local market; and</w:t>
            </w:r>
          </w:p>
          <w:p w14:paraId="4811F92C" w14:textId="77777777" w:rsidR="003776C5" w:rsidRPr="003776C5" w:rsidRDefault="003776C5" w:rsidP="003776C5">
            <w:pPr>
              <w:numPr>
                <w:ilvl w:val="0"/>
                <w:numId w:val="21"/>
              </w:num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for each compatible dimmer, the number of lamps that can be dimmed and the range of luminous flux levels a given dimmer-lamp combination can achieve.</w:t>
            </w:r>
          </w:p>
          <w:p w14:paraId="7490E728" w14:textId="77777777" w:rsidR="003776C5" w:rsidRPr="003776C5" w:rsidRDefault="003776C5" w:rsidP="003776C5">
            <w:pPr>
              <w:numPr>
                <w:ilvl w:val="0"/>
                <w:numId w:val="21"/>
              </w:num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The webpage may also specify where the Lamp has been tested and meets the requirements of IEC/TR 63037 Ed. 1.0</w:t>
            </w:r>
          </w:p>
          <w:p w14:paraId="7600EDB4" w14:textId="5057A1B8" w:rsidR="00133351" w:rsidRPr="0010791E" w:rsidRDefault="003776C5" w:rsidP="0010791E">
            <w:pPr>
              <w:spacing w:after="0" w:line="240" w:lineRule="auto"/>
              <w:ind w:left="322" w:hanging="322"/>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Note. Condition applies to Lamp</w:t>
            </w:r>
            <w:r w:rsidRPr="003776C5" w:rsidDel="00785473">
              <w:rPr>
                <w:rFonts w:ascii="Calibri" w:eastAsia="Times New Roman" w:hAnsi="Calibri"/>
                <w:noProof w:val="0"/>
                <w:color w:val="000000"/>
                <w:sz w:val="22"/>
                <w:szCs w:val="22"/>
                <w:lang w:eastAsia="en-AU"/>
              </w:rPr>
              <w:t xml:space="preserve"> </w:t>
            </w:r>
          </w:p>
        </w:tc>
        <w:tc>
          <w:tcPr>
            <w:tcW w:w="2896" w:type="dxa"/>
          </w:tcPr>
          <w:p w14:paraId="0CF3C9C4" w14:textId="77777777" w:rsidR="003776C5" w:rsidRPr="003776C5" w:rsidRDefault="003776C5" w:rsidP="003776C5">
            <w:pPr>
              <w:spacing w:after="0" w:line="240" w:lineRule="auto"/>
              <w:rPr>
                <w:rFonts w:ascii="Calibri" w:eastAsia="Times New Roman" w:hAnsi="Calibri"/>
                <w:noProof w:val="0"/>
                <w:color w:val="000000"/>
                <w:sz w:val="22"/>
                <w:szCs w:val="22"/>
                <w:highlight w:val="lightGray"/>
                <w:lang w:eastAsia="en-AU"/>
              </w:rPr>
            </w:pPr>
            <w:r w:rsidRPr="003776C5">
              <w:rPr>
                <w:rFonts w:ascii="Calibri" w:eastAsia="Times New Roman" w:hAnsi="Calibri"/>
                <w:noProof w:val="0"/>
                <w:color w:val="000000"/>
                <w:sz w:val="22"/>
                <w:szCs w:val="22"/>
                <w:lang w:eastAsia="en-AU"/>
              </w:rPr>
              <w:t>N/A</w:t>
            </w:r>
          </w:p>
        </w:tc>
        <w:tc>
          <w:tcPr>
            <w:tcW w:w="1387" w:type="dxa"/>
            <w:hideMark/>
          </w:tcPr>
          <w:p w14:paraId="5830C5A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3 lamps</w:t>
            </w:r>
          </w:p>
          <w:p w14:paraId="621A925E"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306E1B08"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2 dimmers </w:t>
            </w:r>
          </w:p>
          <w:p w14:paraId="0B0FD78E"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79CD074C"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(1 ELVC model if required)</w:t>
            </w:r>
          </w:p>
        </w:tc>
        <w:tc>
          <w:tcPr>
            <w:tcW w:w="1566" w:type="dxa"/>
            <w:hideMark/>
          </w:tcPr>
          <w:p w14:paraId="4AE5330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All lamp/dimmer/(ELVC, if required) combinations where compatibility claimed satisfy conditions of the test method.</w:t>
            </w:r>
          </w:p>
        </w:tc>
        <w:tc>
          <w:tcPr>
            <w:tcW w:w="1418" w:type="dxa"/>
          </w:tcPr>
          <w:p w14:paraId="33246FF6"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To be developed </w:t>
            </w:r>
            <w:r w:rsidRPr="003776C5">
              <w:rPr>
                <w:rFonts w:ascii="Calibri" w:eastAsia="Times New Roman" w:hAnsi="Calibri"/>
                <w:noProof w:val="0"/>
                <w:color w:val="000000"/>
                <w:sz w:val="22"/>
                <w:szCs w:val="22"/>
                <w:vertAlign w:val="superscript"/>
                <w:lang w:eastAsia="en-AU"/>
              </w:rPr>
              <w:footnoteReference w:id="27"/>
            </w:r>
          </w:p>
          <w:p w14:paraId="17E7F574"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To include tests for inrush current</w:t>
            </w:r>
            <w:r w:rsidRPr="003776C5">
              <w:rPr>
                <w:rFonts w:ascii="Calibri" w:eastAsia="Times New Roman" w:hAnsi="Calibri"/>
                <w:noProof w:val="0"/>
                <w:color w:val="000000"/>
                <w:sz w:val="22"/>
                <w:szCs w:val="22"/>
                <w:vertAlign w:val="superscript"/>
                <w:lang w:eastAsia="en-AU"/>
              </w:rPr>
              <w:footnoteReference w:id="28"/>
            </w:r>
            <w:r w:rsidRPr="003776C5">
              <w:rPr>
                <w:rFonts w:ascii="Calibri" w:eastAsia="Times New Roman" w:hAnsi="Calibri"/>
                <w:noProof w:val="0"/>
                <w:color w:val="000000"/>
                <w:sz w:val="22"/>
                <w:szCs w:val="22"/>
                <w:lang w:eastAsia="en-AU"/>
              </w:rPr>
              <w:t>, maximum cycle current, 30% dim and flicker (IEEE 1789 or other).</w:t>
            </w:r>
          </w:p>
          <w:p w14:paraId="38C028C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Suppliers do not need to submit tests for registration.  Compliance may test.</w:t>
            </w:r>
          </w:p>
        </w:tc>
      </w:tr>
      <w:tr w:rsidR="003776C5" w:rsidRPr="003776C5" w14:paraId="750BEEFC" w14:textId="77777777" w:rsidTr="003776C5">
        <w:trPr>
          <w:trHeight w:val="270"/>
        </w:trPr>
        <w:tc>
          <w:tcPr>
            <w:tcW w:w="426" w:type="dxa"/>
            <w:shd w:val="clear" w:color="auto" w:fill="E5DFEC"/>
          </w:tcPr>
          <w:p w14:paraId="69CB0E77"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p>
        </w:tc>
        <w:tc>
          <w:tcPr>
            <w:tcW w:w="14600" w:type="dxa"/>
            <w:gridSpan w:val="8"/>
            <w:shd w:val="clear" w:color="auto" w:fill="E5DFEC"/>
          </w:tcPr>
          <w:p w14:paraId="2DF6EDC2"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Claims</w:t>
            </w:r>
          </w:p>
        </w:tc>
      </w:tr>
      <w:tr w:rsidR="003776C5" w:rsidRPr="003776C5" w14:paraId="580F907E" w14:textId="77777777" w:rsidTr="003776C5">
        <w:trPr>
          <w:trHeight w:val="1008"/>
        </w:trPr>
        <w:tc>
          <w:tcPr>
            <w:tcW w:w="426" w:type="dxa"/>
          </w:tcPr>
          <w:p w14:paraId="65DC2CA2"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2</w:t>
            </w:r>
          </w:p>
        </w:tc>
        <w:tc>
          <w:tcPr>
            <w:tcW w:w="1529" w:type="dxa"/>
            <w:shd w:val="clear" w:color="auto" w:fill="9BBB59"/>
            <w:hideMark/>
          </w:tcPr>
          <w:p w14:paraId="4AA9430E"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5A7E41C2"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Replacement Lamp Equivalence</w:t>
            </w:r>
          </w:p>
        </w:tc>
        <w:tc>
          <w:tcPr>
            <w:tcW w:w="2893" w:type="dxa"/>
            <w:gridSpan w:val="2"/>
            <w:noWrap/>
            <w:hideMark/>
          </w:tcPr>
          <w:p w14:paraId="38AD88DE"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74687ADF"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ONLY IF CLAIMING</w:t>
            </w:r>
          </w:p>
          <w:p w14:paraId="673EAF2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(1) Minimum Lumen output required when claiming equivalence to a specified GLS Tungsten Filament or halogen lamp</w:t>
            </w:r>
            <w:r w:rsidRPr="003776C5">
              <w:rPr>
                <w:rFonts w:ascii="Calibri" w:eastAsia="Times New Roman" w:hAnsi="Calibri"/>
                <w:noProof w:val="0"/>
                <w:color w:val="000000"/>
                <w:sz w:val="22"/>
                <w:szCs w:val="22"/>
                <w:vertAlign w:val="superscript"/>
                <w:lang w:eastAsia="en-AU"/>
              </w:rPr>
              <w:footnoteReference w:id="29"/>
            </w:r>
          </w:p>
          <w:p w14:paraId="6AD1510A"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tbl>
            <w:tblPr>
              <w:tblStyle w:val="TableGrid2"/>
              <w:tblW w:w="2691" w:type="dxa"/>
              <w:tblLayout w:type="fixed"/>
              <w:tblLook w:val="04A0" w:firstRow="1" w:lastRow="0" w:firstColumn="1" w:lastColumn="0" w:noHBand="0" w:noVBand="1"/>
              <w:tblDescription w:val="Inserted table showing equivalence between GLS tungsten filament, GLS halogen (in Watts) and required GLS LED in lumens."/>
            </w:tblPr>
            <w:tblGrid>
              <w:gridCol w:w="913"/>
              <w:gridCol w:w="889"/>
              <w:gridCol w:w="889"/>
            </w:tblGrid>
            <w:tr w:rsidR="003776C5" w:rsidRPr="003776C5" w14:paraId="2338E02B" w14:textId="77777777" w:rsidTr="006B00C9">
              <w:tc>
                <w:tcPr>
                  <w:tcW w:w="913" w:type="dxa"/>
                </w:tcPr>
                <w:p w14:paraId="7B1ED47B" w14:textId="77777777" w:rsidR="003776C5" w:rsidRPr="003776C5" w:rsidRDefault="003776C5" w:rsidP="003776C5">
                  <w:pPr>
                    <w:spacing w:after="0" w:line="240" w:lineRule="auto"/>
                    <w:rPr>
                      <w:rFonts w:ascii="Calibri" w:eastAsia="Times New Roman" w:hAnsi="Calibri"/>
                      <w:noProof w:val="0"/>
                      <w:color w:val="000000"/>
                      <w:sz w:val="18"/>
                      <w:szCs w:val="22"/>
                      <w:lang w:eastAsia="en-AU"/>
                    </w:rPr>
                  </w:pPr>
                  <w:bookmarkStart w:id="98" w:name="_GoBack" w:colFirst="0" w:colLast="3"/>
                  <w:r w:rsidRPr="003776C5">
                    <w:rPr>
                      <w:rFonts w:ascii="Calibri" w:eastAsia="Times New Roman" w:hAnsi="Calibri"/>
                      <w:noProof w:val="0"/>
                      <w:color w:val="000000"/>
                      <w:sz w:val="18"/>
                      <w:szCs w:val="22"/>
                      <w:lang w:eastAsia="en-AU"/>
                    </w:rPr>
                    <w:t>Replace</w:t>
                  </w:r>
                </w:p>
                <w:p w14:paraId="68CA6998" w14:textId="77777777" w:rsidR="003776C5" w:rsidRPr="003776C5" w:rsidRDefault="003776C5" w:rsidP="003776C5">
                  <w:pPr>
                    <w:spacing w:after="0" w:line="240" w:lineRule="auto"/>
                    <w:rPr>
                      <w:rFonts w:ascii="Calibri" w:eastAsia="Times New Roman" w:hAnsi="Calibri"/>
                      <w:noProof w:val="0"/>
                      <w:color w:val="000000"/>
                      <w:sz w:val="18"/>
                      <w:szCs w:val="22"/>
                      <w:lang w:eastAsia="en-AU"/>
                    </w:rPr>
                  </w:pPr>
                  <w:r w:rsidRPr="003776C5">
                    <w:rPr>
                      <w:rFonts w:ascii="Calibri" w:eastAsia="Times New Roman" w:hAnsi="Calibri"/>
                      <w:noProof w:val="0"/>
                      <w:color w:val="000000"/>
                      <w:sz w:val="18"/>
                      <w:szCs w:val="22"/>
                      <w:lang w:eastAsia="en-AU"/>
                    </w:rPr>
                    <w:t>GLS Tungsten Filament</w:t>
                  </w:r>
                </w:p>
              </w:tc>
              <w:tc>
                <w:tcPr>
                  <w:tcW w:w="889" w:type="dxa"/>
                </w:tcPr>
                <w:p w14:paraId="3841D040" w14:textId="77777777" w:rsidR="003776C5" w:rsidRPr="003776C5" w:rsidRDefault="003776C5" w:rsidP="003776C5">
                  <w:pPr>
                    <w:spacing w:after="0" w:line="240" w:lineRule="auto"/>
                    <w:rPr>
                      <w:rFonts w:ascii="Calibri" w:eastAsia="Times New Roman" w:hAnsi="Calibri"/>
                      <w:noProof w:val="0"/>
                      <w:color w:val="000000"/>
                      <w:sz w:val="18"/>
                      <w:szCs w:val="22"/>
                      <w:lang w:eastAsia="en-AU"/>
                    </w:rPr>
                  </w:pPr>
                  <w:r w:rsidRPr="003776C5">
                    <w:rPr>
                      <w:rFonts w:ascii="Calibri" w:eastAsia="Times New Roman" w:hAnsi="Calibri"/>
                      <w:noProof w:val="0"/>
                      <w:color w:val="000000"/>
                      <w:sz w:val="18"/>
                      <w:szCs w:val="22"/>
                      <w:lang w:eastAsia="en-AU"/>
                    </w:rPr>
                    <w:t xml:space="preserve">Replace </w:t>
                  </w:r>
                </w:p>
                <w:p w14:paraId="4FDEED88" w14:textId="77777777" w:rsidR="003776C5" w:rsidRPr="003776C5" w:rsidRDefault="003776C5" w:rsidP="003776C5">
                  <w:pPr>
                    <w:spacing w:after="0" w:line="240" w:lineRule="auto"/>
                    <w:rPr>
                      <w:rFonts w:ascii="Calibri" w:eastAsia="Times New Roman" w:hAnsi="Calibri"/>
                      <w:noProof w:val="0"/>
                      <w:color w:val="000000"/>
                      <w:sz w:val="18"/>
                      <w:szCs w:val="22"/>
                      <w:lang w:eastAsia="en-AU"/>
                    </w:rPr>
                  </w:pPr>
                  <w:r w:rsidRPr="003776C5">
                    <w:rPr>
                      <w:rFonts w:ascii="Calibri" w:eastAsia="Times New Roman" w:hAnsi="Calibri"/>
                      <w:noProof w:val="0"/>
                      <w:color w:val="000000"/>
                      <w:sz w:val="18"/>
                      <w:szCs w:val="22"/>
                      <w:lang w:eastAsia="en-AU"/>
                    </w:rPr>
                    <w:t>GLS Halogen</w:t>
                  </w:r>
                </w:p>
              </w:tc>
              <w:tc>
                <w:tcPr>
                  <w:tcW w:w="889" w:type="dxa"/>
                </w:tcPr>
                <w:p w14:paraId="364B62C8" w14:textId="77777777" w:rsidR="003776C5" w:rsidRPr="003776C5" w:rsidRDefault="003776C5" w:rsidP="003776C5">
                  <w:pPr>
                    <w:spacing w:after="0" w:line="240" w:lineRule="auto"/>
                    <w:rPr>
                      <w:rFonts w:ascii="Calibri" w:eastAsia="Times New Roman" w:hAnsi="Calibri"/>
                      <w:noProof w:val="0"/>
                      <w:color w:val="000000"/>
                      <w:sz w:val="18"/>
                      <w:szCs w:val="22"/>
                      <w:lang w:eastAsia="en-AU"/>
                    </w:rPr>
                  </w:pPr>
                  <w:r w:rsidRPr="003776C5">
                    <w:rPr>
                      <w:rFonts w:ascii="Calibri" w:eastAsia="Times New Roman" w:hAnsi="Calibri"/>
                      <w:noProof w:val="0"/>
                      <w:color w:val="000000"/>
                      <w:sz w:val="18"/>
                      <w:szCs w:val="22"/>
                      <w:lang w:eastAsia="en-AU"/>
                    </w:rPr>
                    <w:t xml:space="preserve">Required </w:t>
                  </w:r>
                </w:p>
                <w:p w14:paraId="3B897421" w14:textId="080BCD31" w:rsidR="003776C5" w:rsidRPr="003776C5" w:rsidRDefault="003776C5" w:rsidP="00034ED5">
                  <w:pPr>
                    <w:spacing w:after="0" w:line="240" w:lineRule="auto"/>
                    <w:rPr>
                      <w:rFonts w:ascii="Calibri" w:eastAsia="Times New Roman" w:hAnsi="Calibri"/>
                      <w:noProof w:val="0"/>
                      <w:color w:val="000000"/>
                      <w:sz w:val="18"/>
                      <w:szCs w:val="22"/>
                      <w:lang w:eastAsia="en-AU"/>
                    </w:rPr>
                  </w:pPr>
                  <w:r w:rsidRPr="003776C5">
                    <w:rPr>
                      <w:rFonts w:ascii="Calibri" w:eastAsia="Times New Roman" w:hAnsi="Calibri"/>
                      <w:noProof w:val="0"/>
                      <w:color w:val="000000"/>
                      <w:sz w:val="18"/>
                      <w:szCs w:val="22"/>
                      <w:lang w:eastAsia="en-AU"/>
                    </w:rPr>
                    <w:t>GLS LED</w:t>
                  </w:r>
                  <w:r w:rsidR="00034ED5">
                    <w:rPr>
                      <w:rFonts w:ascii="Calibri" w:eastAsia="Times New Roman" w:hAnsi="Calibri"/>
                      <w:noProof w:val="0"/>
                      <w:color w:val="000000"/>
                      <w:sz w:val="18"/>
                      <w:szCs w:val="22"/>
                      <w:lang w:eastAsia="en-AU"/>
                    </w:rPr>
                    <w:t xml:space="preserve"> </w:t>
                  </w:r>
                  <w:r w:rsidRPr="003776C5">
                    <w:rPr>
                      <w:rFonts w:ascii="Calibri" w:eastAsia="Times New Roman" w:hAnsi="Calibri"/>
                      <w:noProof w:val="0"/>
                      <w:color w:val="000000"/>
                      <w:sz w:val="18"/>
                      <w:szCs w:val="22"/>
                      <w:lang w:eastAsia="en-AU"/>
                    </w:rPr>
                    <w:t>i</w:t>
                  </w:r>
                  <w:r w:rsidR="00034ED5">
                    <w:rPr>
                      <w:rFonts w:ascii="Calibri" w:eastAsia="Times New Roman" w:hAnsi="Calibri"/>
                      <w:noProof w:val="0"/>
                      <w:color w:val="000000"/>
                      <w:sz w:val="18"/>
                      <w:szCs w:val="22"/>
                      <w:lang w:eastAsia="en-AU"/>
                    </w:rPr>
                    <w:t xml:space="preserve">n </w:t>
                  </w:r>
                  <w:r w:rsidRPr="003776C5">
                    <w:rPr>
                      <w:rFonts w:ascii="Calibri" w:eastAsia="Times New Roman" w:hAnsi="Calibri"/>
                      <w:noProof w:val="0"/>
                      <w:color w:val="000000"/>
                      <w:sz w:val="18"/>
                      <w:szCs w:val="22"/>
                      <w:lang w:eastAsia="en-AU"/>
                    </w:rPr>
                    <w:t>lumens</w:t>
                  </w:r>
                </w:p>
              </w:tc>
            </w:tr>
            <w:bookmarkEnd w:id="98"/>
            <w:tr w:rsidR="003776C5" w:rsidRPr="003776C5" w14:paraId="257E92A8" w14:textId="77777777" w:rsidTr="006B00C9">
              <w:tc>
                <w:tcPr>
                  <w:tcW w:w="913" w:type="dxa"/>
                </w:tcPr>
                <w:p w14:paraId="57FCA4B7" w14:textId="77777777" w:rsidR="003776C5" w:rsidRPr="003776C5" w:rsidRDefault="003776C5" w:rsidP="003776C5">
                  <w:pPr>
                    <w:spacing w:after="0" w:line="240" w:lineRule="auto"/>
                    <w:ind w:right="7"/>
                    <w:jc w:val="right"/>
                    <w:rPr>
                      <w:rFonts w:ascii="Calibri" w:eastAsia="Times New Roman" w:hAnsi="Calibri"/>
                      <w:noProof w:val="0"/>
                      <w:color w:val="000000"/>
                      <w:sz w:val="18"/>
                      <w:szCs w:val="22"/>
                      <w:lang w:eastAsia="en-AU"/>
                    </w:rPr>
                  </w:pPr>
                  <w:r w:rsidRPr="003776C5">
                    <w:rPr>
                      <w:rFonts w:ascii="Calibri" w:eastAsia="Times New Roman" w:hAnsi="Calibri"/>
                      <w:noProof w:val="0"/>
                      <w:color w:val="000000"/>
                      <w:sz w:val="18"/>
                      <w:szCs w:val="22"/>
                      <w:lang w:eastAsia="en-AU"/>
                    </w:rPr>
                    <w:t>10 W</w:t>
                  </w:r>
                </w:p>
              </w:tc>
              <w:tc>
                <w:tcPr>
                  <w:tcW w:w="889" w:type="dxa"/>
                </w:tcPr>
                <w:p w14:paraId="1247EB2E" w14:textId="77777777" w:rsidR="003776C5" w:rsidRPr="003776C5" w:rsidRDefault="003776C5" w:rsidP="003776C5">
                  <w:pPr>
                    <w:spacing w:after="0" w:line="240" w:lineRule="auto"/>
                    <w:ind w:right="20"/>
                    <w:jc w:val="right"/>
                    <w:rPr>
                      <w:rFonts w:ascii="Calibri" w:eastAsia="Times New Roman" w:hAnsi="Calibri"/>
                      <w:noProof w:val="0"/>
                      <w:color w:val="000000"/>
                      <w:sz w:val="18"/>
                      <w:szCs w:val="22"/>
                      <w:lang w:eastAsia="en-AU"/>
                    </w:rPr>
                  </w:pPr>
                  <w:r w:rsidRPr="003776C5">
                    <w:rPr>
                      <w:rFonts w:ascii="Calibri" w:eastAsia="Times New Roman" w:hAnsi="Calibri"/>
                      <w:noProof w:val="0"/>
                      <w:color w:val="000000"/>
                      <w:sz w:val="18"/>
                      <w:szCs w:val="22"/>
                      <w:lang w:eastAsia="en-AU"/>
                    </w:rPr>
                    <w:t>7 W</w:t>
                  </w:r>
                </w:p>
              </w:tc>
              <w:tc>
                <w:tcPr>
                  <w:tcW w:w="889" w:type="dxa"/>
                </w:tcPr>
                <w:p w14:paraId="6C16105C" w14:textId="77777777" w:rsidR="003776C5" w:rsidRPr="003776C5" w:rsidRDefault="003776C5" w:rsidP="003776C5">
                  <w:pPr>
                    <w:spacing w:after="0" w:line="240" w:lineRule="auto"/>
                    <w:ind w:right="-8"/>
                    <w:jc w:val="right"/>
                    <w:rPr>
                      <w:rFonts w:ascii="Calibri" w:eastAsia="Times New Roman" w:hAnsi="Calibri"/>
                      <w:noProof w:val="0"/>
                      <w:color w:val="000000"/>
                      <w:sz w:val="18"/>
                      <w:szCs w:val="22"/>
                      <w:lang w:eastAsia="en-AU"/>
                    </w:rPr>
                  </w:pPr>
                  <w:r w:rsidRPr="003776C5">
                    <w:rPr>
                      <w:rFonts w:ascii="Calibri" w:eastAsia="Times New Roman" w:hAnsi="Calibri"/>
                      <w:noProof w:val="0"/>
                      <w:color w:val="000000"/>
                      <w:sz w:val="18"/>
                      <w:szCs w:val="22"/>
                      <w:lang w:eastAsia="en-AU"/>
                    </w:rPr>
                    <w:t>100 lm</w:t>
                  </w:r>
                </w:p>
              </w:tc>
            </w:tr>
            <w:tr w:rsidR="003776C5" w:rsidRPr="003776C5" w14:paraId="4EA97D7C" w14:textId="77777777" w:rsidTr="006B00C9">
              <w:tc>
                <w:tcPr>
                  <w:tcW w:w="913" w:type="dxa"/>
                </w:tcPr>
                <w:p w14:paraId="03CD0CFA" w14:textId="77777777" w:rsidR="003776C5" w:rsidRPr="003776C5" w:rsidRDefault="003776C5" w:rsidP="003776C5">
                  <w:pPr>
                    <w:spacing w:after="0" w:line="240" w:lineRule="auto"/>
                    <w:ind w:right="7"/>
                    <w:jc w:val="right"/>
                    <w:rPr>
                      <w:rFonts w:ascii="Calibri" w:eastAsia="Times New Roman" w:hAnsi="Calibri"/>
                      <w:noProof w:val="0"/>
                      <w:color w:val="000000"/>
                      <w:sz w:val="18"/>
                      <w:szCs w:val="22"/>
                      <w:lang w:eastAsia="en-AU"/>
                    </w:rPr>
                  </w:pPr>
                  <w:r w:rsidRPr="003776C5">
                    <w:rPr>
                      <w:rFonts w:ascii="Calibri" w:eastAsia="Times New Roman" w:hAnsi="Calibri"/>
                      <w:noProof w:val="0"/>
                      <w:color w:val="000000"/>
                      <w:sz w:val="18"/>
                      <w:szCs w:val="22"/>
                      <w:lang w:eastAsia="en-AU"/>
                    </w:rPr>
                    <w:t>15 W</w:t>
                  </w:r>
                </w:p>
              </w:tc>
              <w:tc>
                <w:tcPr>
                  <w:tcW w:w="889" w:type="dxa"/>
                </w:tcPr>
                <w:p w14:paraId="6C779368" w14:textId="77777777" w:rsidR="003776C5" w:rsidRPr="003776C5" w:rsidRDefault="003776C5" w:rsidP="003776C5">
                  <w:pPr>
                    <w:spacing w:after="0" w:line="240" w:lineRule="auto"/>
                    <w:ind w:right="20"/>
                    <w:jc w:val="right"/>
                    <w:rPr>
                      <w:rFonts w:ascii="Calibri" w:eastAsia="Times New Roman" w:hAnsi="Calibri"/>
                      <w:noProof w:val="0"/>
                      <w:color w:val="000000"/>
                      <w:sz w:val="18"/>
                      <w:szCs w:val="22"/>
                      <w:lang w:eastAsia="en-AU"/>
                    </w:rPr>
                  </w:pPr>
                  <w:r w:rsidRPr="003776C5">
                    <w:rPr>
                      <w:rFonts w:ascii="Calibri" w:eastAsia="Times New Roman" w:hAnsi="Calibri"/>
                      <w:noProof w:val="0"/>
                      <w:color w:val="000000"/>
                      <w:sz w:val="18"/>
                      <w:szCs w:val="22"/>
                      <w:lang w:eastAsia="en-AU"/>
                    </w:rPr>
                    <w:t>10 W</w:t>
                  </w:r>
                </w:p>
              </w:tc>
              <w:tc>
                <w:tcPr>
                  <w:tcW w:w="889" w:type="dxa"/>
                </w:tcPr>
                <w:p w14:paraId="425EECA6" w14:textId="77777777" w:rsidR="003776C5" w:rsidRPr="003776C5" w:rsidRDefault="003776C5" w:rsidP="003776C5">
                  <w:pPr>
                    <w:spacing w:after="0" w:line="240" w:lineRule="auto"/>
                    <w:ind w:right="-8"/>
                    <w:jc w:val="right"/>
                    <w:rPr>
                      <w:rFonts w:ascii="Calibri" w:eastAsia="Times New Roman" w:hAnsi="Calibri"/>
                      <w:noProof w:val="0"/>
                      <w:color w:val="000000"/>
                      <w:sz w:val="18"/>
                      <w:szCs w:val="22"/>
                      <w:lang w:eastAsia="en-AU"/>
                    </w:rPr>
                  </w:pPr>
                  <w:r w:rsidRPr="003776C5">
                    <w:rPr>
                      <w:rFonts w:ascii="Calibri" w:eastAsia="Times New Roman" w:hAnsi="Calibri"/>
                      <w:noProof w:val="0"/>
                      <w:color w:val="000000"/>
                      <w:sz w:val="18"/>
                      <w:szCs w:val="22"/>
                      <w:lang w:eastAsia="en-AU"/>
                    </w:rPr>
                    <w:t>150 lm</w:t>
                  </w:r>
                </w:p>
              </w:tc>
            </w:tr>
            <w:tr w:rsidR="003776C5" w:rsidRPr="003776C5" w14:paraId="5FE91811" w14:textId="77777777" w:rsidTr="006B00C9">
              <w:tc>
                <w:tcPr>
                  <w:tcW w:w="913" w:type="dxa"/>
                </w:tcPr>
                <w:p w14:paraId="573FEE70" w14:textId="77777777" w:rsidR="003776C5" w:rsidRPr="003776C5" w:rsidRDefault="003776C5" w:rsidP="003776C5">
                  <w:pPr>
                    <w:spacing w:after="0" w:line="240" w:lineRule="auto"/>
                    <w:ind w:right="7"/>
                    <w:jc w:val="right"/>
                    <w:rPr>
                      <w:rFonts w:ascii="Calibri" w:eastAsia="Times New Roman" w:hAnsi="Calibri"/>
                      <w:noProof w:val="0"/>
                      <w:color w:val="000000"/>
                      <w:sz w:val="18"/>
                      <w:szCs w:val="22"/>
                      <w:lang w:eastAsia="en-AU"/>
                    </w:rPr>
                  </w:pPr>
                  <w:r w:rsidRPr="003776C5">
                    <w:rPr>
                      <w:rFonts w:ascii="Calibri" w:eastAsia="Times New Roman" w:hAnsi="Calibri"/>
                      <w:noProof w:val="0"/>
                      <w:color w:val="000000"/>
                      <w:sz w:val="18"/>
                      <w:szCs w:val="22"/>
                      <w:lang w:eastAsia="en-AU"/>
                    </w:rPr>
                    <w:t>25 W</w:t>
                  </w:r>
                </w:p>
              </w:tc>
              <w:tc>
                <w:tcPr>
                  <w:tcW w:w="889" w:type="dxa"/>
                </w:tcPr>
                <w:p w14:paraId="4AAB2A36" w14:textId="77777777" w:rsidR="003776C5" w:rsidRPr="003776C5" w:rsidRDefault="003776C5" w:rsidP="003776C5">
                  <w:pPr>
                    <w:spacing w:after="0" w:line="240" w:lineRule="auto"/>
                    <w:ind w:right="20"/>
                    <w:jc w:val="right"/>
                    <w:rPr>
                      <w:rFonts w:ascii="Calibri" w:eastAsia="Times New Roman" w:hAnsi="Calibri"/>
                      <w:noProof w:val="0"/>
                      <w:color w:val="000000"/>
                      <w:sz w:val="18"/>
                      <w:szCs w:val="22"/>
                      <w:lang w:eastAsia="en-AU"/>
                    </w:rPr>
                  </w:pPr>
                  <w:r w:rsidRPr="003776C5">
                    <w:rPr>
                      <w:rFonts w:ascii="Calibri" w:eastAsia="Times New Roman" w:hAnsi="Calibri"/>
                      <w:noProof w:val="0"/>
                      <w:color w:val="000000"/>
                      <w:sz w:val="18"/>
                      <w:szCs w:val="22"/>
                      <w:lang w:eastAsia="en-AU"/>
                    </w:rPr>
                    <w:t>18 W</w:t>
                  </w:r>
                </w:p>
              </w:tc>
              <w:tc>
                <w:tcPr>
                  <w:tcW w:w="889" w:type="dxa"/>
                </w:tcPr>
                <w:p w14:paraId="237F2632" w14:textId="77777777" w:rsidR="003776C5" w:rsidRPr="003776C5" w:rsidRDefault="003776C5" w:rsidP="003776C5">
                  <w:pPr>
                    <w:spacing w:after="0" w:line="240" w:lineRule="auto"/>
                    <w:ind w:right="-8"/>
                    <w:jc w:val="right"/>
                    <w:rPr>
                      <w:rFonts w:ascii="Calibri" w:eastAsia="Times New Roman" w:hAnsi="Calibri"/>
                      <w:noProof w:val="0"/>
                      <w:color w:val="000000"/>
                      <w:sz w:val="18"/>
                      <w:szCs w:val="22"/>
                      <w:lang w:eastAsia="en-AU"/>
                    </w:rPr>
                  </w:pPr>
                  <w:r w:rsidRPr="003776C5">
                    <w:rPr>
                      <w:rFonts w:ascii="Calibri" w:eastAsia="Times New Roman" w:hAnsi="Calibri"/>
                      <w:noProof w:val="0"/>
                      <w:color w:val="000000"/>
                      <w:sz w:val="18"/>
                      <w:szCs w:val="22"/>
                      <w:lang w:eastAsia="en-AU"/>
                    </w:rPr>
                    <w:t>250 lm</w:t>
                  </w:r>
                </w:p>
              </w:tc>
            </w:tr>
            <w:tr w:rsidR="003776C5" w:rsidRPr="003776C5" w14:paraId="43BA41E2" w14:textId="77777777" w:rsidTr="006B00C9">
              <w:tc>
                <w:tcPr>
                  <w:tcW w:w="913" w:type="dxa"/>
                </w:tcPr>
                <w:p w14:paraId="0C4D1E18" w14:textId="77777777" w:rsidR="003776C5" w:rsidRPr="003776C5" w:rsidRDefault="003776C5" w:rsidP="003776C5">
                  <w:pPr>
                    <w:spacing w:after="0" w:line="240" w:lineRule="auto"/>
                    <w:ind w:right="7"/>
                    <w:jc w:val="right"/>
                    <w:rPr>
                      <w:rFonts w:ascii="Calibri" w:eastAsia="Times New Roman" w:hAnsi="Calibri"/>
                      <w:noProof w:val="0"/>
                      <w:color w:val="000000"/>
                      <w:sz w:val="18"/>
                      <w:szCs w:val="22"/>
                      <w:lang w:eastAsia="en-AU"/>
                    </w:rPr>
                  </w:pPr>
                  <w:r w:rsidRPr="003776C5">
                    <w:rPr>
                      <w:rFonts w:ascii="Calibri" w:eastAsia="Times New Roman" w:hAnsi="Calibri"/>
                      <w:noProof w:val="0"/>
                      <w:color w:val="000000"/>
                      <w:sz w:val="18"/>
                      <w:szCs w:val="22"/>
                      <w:lang w:eastAsia="en-AU"/>
                    </w:rPr>
                    <w:t>30 W</w:t>
                  </w:r>
                </w:p>
              </w:tc>
              <w:tc>
                <w:tcPr>
                  <w:tcW w:w="889" w:type="dxa"/>
                </w:tcPr>
                <w:p w14:paraId="05883100" w14:textId="77777777" w:rsidR="003776C5" w:rsidRPr="003776C5" w:rsidRDefault="003776C5" w:rsidP="003776C5">
                  <w:pPr>
                    <w:spacing w:after="0" w:line="240" w:lineRule="auto"/>
                    <w:ind w:right="20"/>
                    <w:jc w:val="right"/>
                    <w:rPr>
                      <w:rFonts w:ascii="Calibri" w:eastAsia="Times New Roman" w:hAnsi="Calibri"/>
                      <w:noProof w:val="0"/>
                      <w:color w:val="000000"/>
                      <w:sz w:val="18"/>
                      <w:szCs w:val="22"/>
                      <w:lang w:eastAsia="en-AU"/>
                    </w:rPr>
                  </w:pPr>
                  <w:r w:rsidRPr="003776C5">
                    <w:rPr>
                      <w:rFonts w:ascii="Calibri" w:eastAsia="Times New Roman" w:hAnsi="Calibri"/>
                      <w:noProof w:val="0"/>
                      <w:color w:val="000000"/>
                      <w:sz w:val="18"/>
                      <w:szCs w:val="22"/>
                      <w:lang w:eastAsia="en-AU"/>
                    </w:rPr>
                    <w:t>21 W</w:t>
                  </w:r>
                </w:p>
              </w:tc>
              <w:tc>
                <w:tcPr>
                  <w:tcW w:w="889" w:type="dxa"/>
                </w:tcPr>
                <w:p w14:paraId="54CC7BE7" w14:textId="77777777" w:rsidR="003776C5" w:rsidRPr="003776C5" w:rsidRDefault="003776C5" w:rsidP="003776C5">
                  <w:pPr>
                    <w:spacing w:after="0" w:line="240" w:lineRule="auto"/>
                    <w:ind w:right="-8"/>
                    <w:jc w:val="right"/>
                    <w:rPr>
                      <w:rFonts w:ascii="Calibri" w:eastAsia="Times New Roman" w:hAnsi="Calibri"/>
                      <w:noProof w:val="0"/>
                      <w:color w:val="000000"/>
                      <w:sz w:val="18"/>
                      <w:szCs w:val="22"/>
                      <w:lang w:eastAsia="en-AU"/>
                    </w:rPr>
                  </w:pPr>
                  <w:r w:rsidRPr="003776C5">
                    <w:rPr>
                      <w:rFonts w:ascii="Calibri" w:eastAsia="Times New Roman" w:hAnsi="Calibri"/>
                      <w:noProof w:val="0"/>
                      <w:color w:val="000000"/>
                      <w:sz w:val="18"/>
                      <w:szCs w:val="22"/>
                      <w:lang w:eastAsia="en-AU"/>
                    </w:rPr>
                    <w:t>350 lm</w:t>
                  </w:r>
                </w:p>
              </w:tc>
            </w:tr>
            <w:tr w:rsidR="003776C5" w:rsidRPr="003776C5" w14:paraId="19968CA9" w14:textId="77777777" w:rsidTr="006B00C9">
              <w:tc>
                <w:tcPr>
                  <w:tcW w:w="913" w:type="dxa"/>
                </w:tcPr>
                <w:p w14:paraId="5B7E4355" w14:textId="77777777" w:rsidR="003776C5" w:rsidRPr="003776C5" w:rsidRDefault="003776C5" w:rsidP="003776C5">
                  <w:pPr>
                    <w:spacing w:after="0" w:line="240" w:lineRule="auto"/>
                    <w:ind w:right="7"/>
                    <w:jc w:val="right"/>
                    <w:rPr>
                      <w:rFonts w:ascii="Calibri" w:eastAsia="Times New Roman" w:hAnsi="Calibri"/>
                      <w:noProof w:val="0"/>
                      <w:color w:val="000000"/>
                      <w:sz w:val="18"/>
                      <w:szCs w:val="22"/>
                      <w:lang w:eastAsia="en-AU"/>
                    </w:rPr>
                  </w:pPr>
                  <w:r w:rsidRPr="003776C5">
                    <w:rPr>
                      <w:rFonts w:ascii="Calibri" w:eastAsia="Times New Roman" w:hAnsi="Calibri"/>
                      <w:noProof w:val="0"/>
                      <w:color w:val="000000"/>
                      <w:sz w:val="18"/>
                      <w:szCs w:val="22"/>
                      <w:lang w:eastAsia="en-AU"/>
                    </w:rPr>
                    <w:t>40 W</w:t>
                  </w:r>
                </w:p>
              </w:tc>
              <w:tc>
                <w:tcPr>
                  <w:tcW w:w="889" w:type="dxa"/>
                </w:tcPr>
                <w:p w14:paraId="15E9F19E" w14:textId="77777777" w:rsidR="003776C5" w:rsidRPr="003776C5" w:rsidRDefault="003776C5" w:rsidP="003776C5">
                  <w:pPr>
                    <w:spacing w:after="0" w:line="240" w:lineRule="auto"/>
                    <w:ind w:right="20"/>
                    <w:jc w:val="right"/>
                    <w:rPr>
                      <w:rFonts w:ascii="Calibri" w:eastAsia="Times New Roman" w:hAnsi="Calibri"/>
                      <w:noProof w:val="0"/>
                      <w:color w:val="000000"/>
                      <w:sz w:val="18"/>
                      <w:szCs w:val="22"/>
                      <w:lang w:eastAsia="en-AU"/>
                    </w:rPr>
                  </w:pPr>
                  <w:r w:rsidRPr="003776C5">
                    <w:rPr>
                      <w:rFonts w:ascii="Calibri" w:eastAsia="Times New Roman" w:hAnsi="Calibri"/>
                      <w:noProof w:val="0"/>
                      <w:color w:val="000000"/>
                      <w:sz w:val="18"/>
                      <w:szCs w:val="22"/>
                      <w:lang w:eastAsia="en-AU"/>
                    </w:rPr>
                    <w:t>28 W</w:t>
                  </w:r>
                </w:p>
              </w:tc>
              <w:tc>
                <w:tcPr>
                  <w:tcW w:w="889" w:type="dxa"/>
                </w:tcPr>
                <w:p w14:paraId="4AE6F6CA" w14:textId="77777777" w:rsidR="003776C5" w:rsidRPr="003776C5" w:rsidRDefault="003776C5" w:rsidP="003776C5">
                  <w:pPr>
                    <w:spacing w:after="0" w:line="240" w:lineRule="auto"/>
                    <w:ind w:right="-8"/>
                    <w:jc w:val="right"/>
                    <w:rPr>
                      <w:rFonts w:ascii="Calibri" w:eastAsia="Times New Roman" w:hAnsi="Calibri"/>
                      <w:noProof w:val="0"/>
                      <w:color w:val="000000"/>
                      <w:sz w:val="18"/>
                      <w:szCs w:val="22"/>
                      <w:lang w:eastAsia="en-AU"/>
                    </w:rPr>
                  </w:pPr>
                  <w:r w:rsidRPr="003776C5">
                    <w:rPr>
                      <w:rFonts w:ascii="Calibri" w:eastAsia="Times New Roman" w:hAnsi="Calibri"/>
                      <w:noProof w:val="0"/>
                      <w:color w:val="000000"/>
                      <w:sz w:val="18"/>
                      <w:szCs w:val="22"/>
                      <w:lang w:eastAsia="en-AU"/>
                    </w:rPr>
                    <w:t>500 lm</w:t>
                  </w:r>
                </w:p>
              </w:tc>
            </w:tr>
            <w:tr w:rsidR="003776C5" w:rsidRPr="003776C5" w14:paraId="019FC740" w14:textId="77777777" w:rsidTr="006B00C9">
              <w:tc>
                <w:tcPr>
                  <w:tcW w:w="913" w:type="dxa"/>
                </w:tcPr>
                <w:p w14:paraId="3F9EEABD" w14:textId="77777777" w:rsidR="003776C5" w:rsidRPr="003776C5" w:rsidRDefault="003776C5" w:rsidP="003776C5">
                  <w:pPr>
                    <w:spacing w:after="0" w:line="240" w:lineRule="auto"/>
                    <w:ind w:right="7"/>
                    <w:jc w:val="right"/>
                    <w:rPr>
                      <w:rFonts w:ascii="Calibri" w:eastAsia="Times New Roman" w:hAnsi="Calibri"/>
                      <w:noProof w:val="0"/>
                      <w:color w:val="000000"/>
                      <w:sz w:val="18"/>
                      <w:szCs w:val="22"/>
                      <w:lang w:eastAsia="en-AU"/>
                    </w:rPr>
                  </w:pPr>
                  <w:r w:rsidRPr="003776C5">
                    <w:rPr>
                      <w:rFonts w:ascii="Calibri" w:eastAsia="Times New Roman" w:hAnsi="Calibri"/>
                      <w:noProof w:val="0"/>
                      <w:color w:val="000000"/>
                      <w:sz w:val="18"/>
                      <w:szCs w:val="22"/>
                      <w:lang w:eastAsia="en-AU"/>
                    </w:rPr>
                    <w:t>60 W</w:t>
                  </w:r>
                </w:p>
              </w:tc>
              <w:tc>
                <w:tcPr>
                  <w:tcW w:w="889" w:type="dxa"/>
                </w:tcPr>
                <w:p w14:paraId="4EA0291B" w14:textId="77777777" w:rsidR="003776C5" w:rsidRPr="003776C5" w:rsidRDefault="003776C5" w:rsidP="003776C5">
                  <w:pPr>
                    <w:spacing w:after="0" w:line="240" w:lineRule="auto"/>
                    <w:ind w:right="20"/>
                    <w:jc w:val="right"/>
                    <w:rPr>
                      <w:rFonts w:ascii="Calibri" w:eastAsia="Times New Roman" w:hAnsi="Calibri"/>
                      <w:noProof w:val="0"/>
                      <w:color w:val="000000"/>
                      <w:sz w:val="18"/>
                      <w:szCs w:val="22"/>
                      <w:lang w:eastAsia="en-AU"/>
                    </w:rPr>
                  </w:pPr>
                  <w:r w:rsidRPr="003776C5">
                    <w:rPr>
                      <w:rFonts w:ascii="Calibri" w:eastAsia="Times New Roman" w:hAnsi="Calibri"/>
                      <w:noProof w:val="0"/>
                      <w:color w:val="000000"/>
                      <w:sz w:val="18"/>
                      <w:szCs w:val="22"/>
                      <w:lang w:eastAsia="en-AU"/>
                    </w:rPr>
                    <w:t>42 W</w:t>
                  </w:r>
                </w:p>
              </w:tc>
              <w:tc>
                <w:tcPr>
                  <w:tcW w:w="889" w:type="dxa"/>
                </w:tcPr>
                <w:p w14:paraId="7155BF7B" w14:textId="77777777" w:rsidR="003776C5" w:rsidRPr="003776C5" w:rsidRDefault="003776C5" w:rsidP="003776C5">
                  <w:pPr>
                    <w:spacing w:after="0" w:line="240" w:lineRule="auto"/>
                    <w:ind w:right="-8"/>
                    <w:jc w:val="right"/>
                    <w:rPr>
                      <w:rFonts w:ascii="Calibri" w:eastAsia="Times New Roman" w:hAnsi="Calibri"/>
                      <w:noProof w:val="0"/>
                      <w:color w:val="000000"/>
                      <w:sz w:val="18"/>
                      <w:szCs w:val="22"/>
                      <w:lang w:eastAsia="en-AU"/>
                    </w:rPr>
                  </w:pPr>
                  <w:r w:rsidRPr="003776C5">
                    <w:rPr>
                      <w:rFonts w:ascii="Calibri" w:eastAsia="Times New Roman" w:hAnsi="Calibri"/>
                      <w:noProof w:val="0"/>
                      <w:color w:val="000000"/>
                      <w:sz w:val="18"/>
                      <w:szCs w:val="22"/>
                      <w:lang w:eastAsia="en-AU"/>
                    </w:rPr>
                    <w:t>800 lm</w:t>
                  </w:r>
                </w:p>
              </w:tc>
            </w:tr>
            <w:tr w:rsidR="003776C5" w:rsidRPr="003776C5" w14:paraId="0EEDA40B" w14:textId="77777777" w:rsidTr="006B00C9">
              <w:tc>
                <w:tcPr>
                  <w:tcW w:w="913" w:type="dxa"/>
                </w:tcPr>
                <w:p w14:paraId="69AB9593" w14:textId="77777777" w:rsidR="003776C5" w:rsidRPr="003776C5" w:rsidRDefault="003776C5" w:rsidP="003776C5">
                  <w:pPr>
                    <w:spacing w:after="0" w:line="240" w:lineRule="auto"/>
                    <w:ind w:right="7"/>
                    <w:jc w:val="right"/>
                    <w:rPr>
                      <w:rFonts w:ascii="Calibri" w:eastAsia="Times New Roman" w:hAnsi="Calibri"/>
                      <w:noProof w:val="0"/>
                      <w:color w:val="000000"/>
                      <w:sz w:val="18"/>
                      <w:szCs w:val="22"/>
                      <w:lang w:eastAsia="en-AU"/>
                    </w:rPr>
                  </w:pPr>
                  <w:r w:rsidRPr="003776C5">
                    <w:rPr>
                      <w:rFonts w:ascii="Calibri" w:eastAsia="Times New Roman" w:hAnsi="Calibri"/>
                      <w:noProof w:val="0"/>
                      <w:color w:val="000000"/>
                      <w:sz w:val="18"/>
                      <w:szCs w:val="22"/>
                      <w:lang w:eastAsia="en-AU"/>
                    </w:rPr>
                    <w:t>75 W</w:t>
                  </w:r>
                </w:p>
              </w:tc>
              <w:tc>
                <w:tcPr>
                  <w:tcW w:w="889" w:type="dxa"/>
                </w:tcPr>
                <w:p w14:paraId="76961280" w14:textId="77777777" w:rsidR="003776C5" w:rsidRPr="003776C5" w:rsidRDefault="003776C5" w:rsidP="003776C5">
                  <w:pPr>
                    <w:spacing w:after="0" w:line="240" w:lineRule="auto"/>
                    <w:ind w:right="20"/>
                    <w:jc w:val="right"/>
                    <w:rPr>
                      <w:rFonts w:ascii="Calibri" w:eastAsia="Times New Roman" w:hAnsi="Calibri"/>
                      <w:noProof w:val="0"/>
                      <w:color w:val="000000"/>
                      <w:sz w:val="18"/>
                      <w:szCs w:val="22"/>
                      <w:lang w:eastAsia="en-AU"/>
                    </w:rPr>
                  </w:pPr>
                  <w:r w:rsidRPr="003776C5">
                    <w:rPr>
                      <w:rFonts w:ascii="Calibri" w:eastAsia="Times New Roman" w:hAnsi="Calibri"/>
                      <w:noProof w:val="0"/>
                      <w:color w:val="000000"/>
                      <w:sz w:val="18"/>
                      <w:szCs w:val="22"/>
                      <w:lang w:eastAsia="en-AU"/>
                    </w:rPr>
                    <w:t>52 W</w:t>
                  </w:r>
                </w:p>
              </w:tc>
              <w:tc>
                <w:tcPr>
                  <w:tcW w:w="889" w:type="dxa"/>
                </w:tcPr>
                <w:p w14:paraId="7650A598" w14:textId="77777777" w:rsidR="003776C5" w:rsidRPr="003776C5" w:rsidRDefault="003776C5" w:rsidP="003776C5">
                  <w:pPr>
                    <w:spacing w:after="0" w:line="240" w:lineRule="auto"/>
                    <w:ind w:right="-8"/>
                    <w:jc w:val="right"/>
                    <w:rPr>
                      <w:rFonts w:ascii="Calibri" w:eastAsia="Times New Roman" w:hAnsi="Calibri"/>
                      <w:noProof w:val="0"/>
                      <w:color w:val="000000"/>
                      <w:sz w:val="18"/>
                      <w:szCs w:val="22"/>
                      <w:lang w:eastAsia="en-AU"/>
                    </w:rPr>
                  </w:pPr>
                  <w:r w:rsidRPr="003776C5">
                    <w:rPr>
                      <w:rFonts w:ascii="Calibri" w:eastAsia="Times New Roman" w:hAnsi="Calibri"/>
                      <w:noProof w:val="0"/>
                      <w:color w:val="000000"/>
                      <w:sz w:val="18"/>
                      <w:szCs w:val="22"/>
                      <w:lang w:eastAsia="en-AU"/>
                    </w:rPr>
                    <w:t>1000 lm</w:t>
                  </w:r>
                </w:p>
              </w:tc>
            </w:tr>
            <w:tr w:rsidR="003776C5" w:rsidRPr="003776C5" w14:paraId="5182CEB4" w14:textId="77777777" w:rsidTr="006B00C9">
              <w:tc>
                <w:tcPr>
                  <w:tcW w:w="913" w:type="dxa"/>
                </w:tcPr>
                <w:p w14:paraId="4DBAFC28" w14:textId="77777777" w:rsidR="003776C5" w:rsidRPr="003776C5" w:rsidRDefault="003776C5" w:rsidP="003776C5">
                  <w:pPr>
                    <w:spacing w:after="0" w:line="240" w:lineRule="auto"/>
                    <w:ind w:right="7"/>
                    <w:jc w:val="right"/>
                    <w:rPr>
                      <w:rFonts w:ascii="Calibri" w:eastAsia="Times New Roman" w:hAnsi="Calibri"/>
                      <w:noProof w:val="0"/>
                      <w:color w:val="000000"/>
                      <w:sz w:val="18"/>
                      <w:szCs w:val="22"/>
                      <w:lang w:eastAsia="en-AU"/>
                    </w:rPr>
                  </w:pPr>
                  <w:r w:rsidRPr="003776C5">
                    <w:rPr>
                      <w:rFonts w:ascii="Calibri" w:eastAsia="Times New Roman" w:hAnsi="Calibri"/>
                      <w:noProof w:val="0"/>
                      <w:color w:val="000000"/>
                      <w:sz w:val="18"/>
                      <w:szCs w:val="22"/>
                      <w:lang w:eastAsia="en-AU"/>
                    </w:rPr>
                    <w:t>100 W</w:t>
                  </w:r>
                </w:p>
              </w:tc>
              <w:tc>
                <w:tcPr>
                  <w:tcW w:w="889" w:type="dxa"/>
                </w:tcPr>
                <w:p w14:paraId="19687349" w14:textId="77777777" w:rsidR="003776C5" w:rsidRPr="003776C5" w:rsidRDefault="003776C5" w:rsidP="003776C5">
                  <w:pPr>
                    <w:spacing w:after="0" w:line="240" w:lineRule="auto"/>
                    <w:ind w:right="20"/>
                    <w:jc w:val="right"/>
                    <w:rPr>
                      <w:rFonts w:ascii="Calibri" w:eastAsia="Times New Roman" w:hAnsi="Calibri"/>
                      <w:noProof w:val="0"/>
                      <w:color w:val="000000"/>
                      <w:sz w:val="18"/>
                      <w:szCs w:val="22"/>
                      <w:lang w:eastAsia="en-AU"/>
                    </w:rPr>
                  </w:pPr>
                  <w:r w:rsidRPr="003776C5">
                    <w:rPr>
                      <w:rFonts w:ascii="Calibri" w:eastAsia="Times New Roman" w:hAnsi="Calibri"/>
                      <w:noProof w:val="0"/>
                      <w:color w:val="000000"/>
                      <w:sz w:val="18"/>
                      <w:szCs w:val="22"/>
                      <w:lang w:eastAsia="en-AU"/>
                    </w:rPr>
                    <w:t>70 W</w:t>
                  </w:r>
                </w:p>
              </w:tc>
              <w:tc>
                <w:tcPr>
                  <w:tcW w:w="889" w:type="dxa"/>
                </w:tcPr>
                <w:p w14:paraId="571B6872" w14:textId="77777777" w:rsidR="003776C5" w:rsidRPr="003776C5" w:rsidRDefault="003776C5" w:rsidP="003776C5">
                  <w:pPr>
                    <w:spacing w:after="0" w:line="240" w:lineRule="auto"/>
                    <w:ind w:right="-8"/>
                    <w:jc w:val="right"/>
                    <w:rPr>
                      <w:rFonts w:ascii="Calibri" w:eastAsia="Times New Roman" w:hAnsi="Calibri"/>
                      <w:noProof w:val="0"/>
                      <w:color w:val="000000"/>
                      <w:sz w:val="18"/>
                      <w:szCs w:val="22"/>
                      <w:lang w:eastAsia="en-AU"/>
                    </w:rPr>
                  </w:pPr>
                  <w:r w:rsidRPr="003776C5">
                    <w:rPr>
                      <w:rFonts w:ascii="Calibri" w:eastAsia="Times New Roman" w:hAnsi="Calibri"/>
                      <w:noProof w:val="0"/>
                      <w:color w:val="000000"/>
                      <w:sz w:val="18"/>
                      <w:szCs w:val="22"/>
                      <w:lang w:eastAsia="en-AU"/>
                    </w:rPr>
                    <w:t>1500 lm</w:t>
                  </w:r>
                </w:p>
              </w:tc>
            </w:tr>
            <w:tr w:rsidR="003776C5" w:rsidRPr="003776C5" w14:paraId="7F0E6442" w14:textId="77777777" w:rsidTr="006B00C9">
              <w:tc>
                <w:tcPr>
                  <w:tcW w:w="913" w:type="dxa"/>
                </w:tcPr>
                <w:p w14:paraId="2240C1CF" w14:textId="77777777" w:rsidR="003776C5" w:rsidRPr="003776C5" w:rsidRDefault="003776C5" w:rsidP="003776C5">
                  <w:pPr>
                    <w:spacing w:after="0" w:line="240" w:lineRule="auto"/>
                    <w:ind w:right="7"/>
                    <w:jc w:val="right"/>
                    <w:rPr>
                      <w:rFonts w:ascii="Calibri" w:eastAsia="Times New Roman" w:hAnsi="Calibri"/>
                      <w:noProof w:val="0"/>
                      <w:color w:val="000000"/>
                      <w:sz w:val="18"/>
                      <w:szCs w:val="22"/>
                      <w:lang w:eastAsia="en-AU"/>
                    </w:rPr>
                  </w:pPr>
                  <w:r w:rsidRPr="003776C5">
                    <w:rPr>
                      <w:rFonts w:ascii="Calibri" w:eastAsia="Times New Roman" w:hAnsi="Calibri"/>
                      <w:noProof w:val="0"/>
                      <w:color w:val="000000"/>
                      <w:sz w:val="18"/>
                      <w:szCs w:val="22"/>
                      <w:lang w:eastAsia="en-AU"/>
                    </w:rPr>
                    <w:t>125 W</w:t>
                  </w:r>
                </w:p>
              </w:tc>
              <w:tc>
                <w:tcPr>
                  <w:tcW w:w="889" w:type="dxa"/>
                </w:tcPr>
                <w:p w14:paraId="2957E3B0" w14:textId="77777777" w:rsidR="003776C5" w:rsidRPr="003776C5" w:rsidRDefault="003776C5" w:rsidP="003776C5">
                  <w:pPr>
                    <w:spacing w:after="0" w:line="240" w:lineRule="auto"/>
                    <w:ind w:right="20"/>
                    <w:jc w:val="right"/>
                    <w:rPr>
                      <w:rFonts w:ascii="Calibri" w:eastAsia="Times New Roman" w:hAnsi="Calibri"/>
                      <w:noProof w:val="0"/>
                      <w:color w:val="000000"/>
                      <w:sz w:val="18"/>
                      <w:szCs w:val="22"/>
                      <w:lang w:eastAsia="en-AU"/>
                    </w:rPr>
                  </w:pPr>
                  <w:r w:rsidRPr="003776C5">
                    <w:rPr>
                      <w:rFonts w:ascii="Calibri" w:eastAsia="Times New Roman" w:hAnsi="Calibri"/>
                      <w:noProof w:val="0"/>
                      <w:color w:val="000000"/>
                      <w:sz w:val="18"/>
                      <w:szCs w:val="22"/>
                      <w:lang w:eastAsia="en-AU"/>
                    </w:rPr>
                    <w:t>88 W</w:t>
                  </w:r>
                </w:p>
              </w:tc>
              <w:tc>
                <w:tcPr>
                  <w:tcW w:w="889" w:type="dxa"/>
                </w:tcPr>
                <w:p w14:paraId="2BC6A756" w14:textId="77777777" w:rsidR="003776C5" w:rsidRPr="003776C5" w:rsidRDefault="003776C5" w:rsidP="003776C5">
                  <w:pPr>
                    <w:spacing w:after="0" w:line="240" w:lineRule="auto"/>
                    <w:ind w:right="-8"/>
                    <w:jc w:val="right"/>
                    <w:rPr>
                      <w:rFonts w:ascii="Calibri" w:eastAsia="Times New Roman" w:hAnsi="Calibri"/>
                      <w:noProof w:val="0"/>
                      <w:color w:val="000000"/>
                      <w:sz w:val="18"/>
                      <w:szCs w:val="22"/>
                      <w:lang w:eastAsia="en-AU"/>
                    </w:rPr>
                  </w:pPr>
                  <w:r w:rsidRPr="003776C5">
                    <w:rPr>
                      <w:rFonts w:ascii="Calibri" w:eastAsia="Times New Roman" w:hAnsi="Calibri"/>
                      <w:noProof w:val="0"/>
                      <w:color w:val="000000"/>
                      <w:sz w:val="18"/>
                      <w:szCs w:val="22"/>
                      <w:lang w:eastAsia="en-AU"/>
                    </w:rPr>
                    <w:t>2000 lm</w:t>
                  </w:r>
                </w:p>
              </w:tc>
            </w:tr>
            <w:tr w:rsidR="003776C5" w:rsidRPr="003776C5" w14:paraId="48533CEA" w14:textId="77777777" w:rsidTr="006B00C9">
              <w:tc>
                <w:tcPr>
                  <w:tcW w:w="913" w:type="dxa"/>
                </w:tcPr>
                <w:p w14:paraId="662925E5" w14:textId="77777777" w:rsidR="003776C5" w:rsidRPr="003776C5" w:rsidRDefault="003776C5" w:rsidP="003776C5">
                  <w:pPr>
                    <w:spacing w:after="0" w:line="240" w:lineRule="auto"/>
                    <w:ind w:right="7"/>
                    <w:jc w:val="right"/>
                    <w:rPr>
                      <w:rFonts w:ascii="Calibri" w:eastAsia="Times New Roman" w:hAnsi="Calibri"/>
                      <w:noProof w:val="0"/>
                      <w:color w:val="000000"/>
                      <w:sz w:val="18"/>
                      <w:szCs w:val="22"/>
                      <w:lang w:eastAsia="en-AU"/>
                    </w:rPr>
                  </w:pPr>
                  <w:r w:rsidRPr="003776C5">
                    <w:rPr>
                      <w:rFonts w:ascii="Calibri" w:eastAsia="Times New Roman" w:hAnsi="Calibri"/>
                      <w:noProof w:val="0"/>
                      <w:color w:val="000000"/>
                      <w:sz w:val="18"/>
                      <w:szCs w:val="22"/>
                      <w:lang w:eastAsia="en-AU"/>
                    </w:rPr>
                    <w:t>150 W</w:t>
                  </w:r>
                </w:p>
              </w:tc>
              <w:tc>
                <w:tcPr>
                  <w:tcW w:w="889" w:type="dxa"/>
                </w:tcPr>
                <w:p w14:paraId="539FAE03" w14:textId="77777777" w:rsidR="003776C5" w:rsidRPr="003776C5" w:rsidRDefault="003776C5" w:rsidP="003776C5">
                  <w:pPr>
                    <w:spacing w:after="0" w:line="240" w:lineRule="auto"/>
                    <w:ind w:right="20"/>
                    <w:jc w:val="right"/>
                    <w:rPr>
                      <w:rFonts w:ascii="Calibri" w:eastAsia="Times New Roman" w:hAnsi="Calibri"/>
                      <w:noProof w:val="0"/>
                      <w:color w:val="000000"/>
                      <w:sz w:val="18"/>
                      <w:szCs w:val="22"/>
                      <w:lang w:eastAsia="en-AU"/>
                    </w:rPr>
                  </w:pPr>
                  <w:r w:rsidRPr="003776C5">
                    <w:rPr>
                      <w:rFonts w:ascii="Calibri" w:eastAsia="Times New Roman" w:hAnsi="Calibri"/>
                      <w:noProof w:val="0"/>
                      <w:color w:val="000000"/>
                      <w:sz w:val="18"/>
                      <w:szCs w:val="22"/>
                      <w:lang w:eastAsia="en-AU"/>
                    </w:rPr>
                    <w:t>105 W</w:t>
                  </w:r>
                </w:p>
              </w:tc>
              <w:tc>
                <w:tcPr>
                  <w:tcW w:w="889" w:type="dxa"/>
                </w:tcPr>
                <w:p w14:paraId="2FE3918B" w14:textId="77777777" w:rsidR="003776C5" w:rsidRPr="003776C5" w:rsidRDefault="003776C5" w:rsidP="003776C5">
                  <w:pPr>
                    <w:spacing w:after="0" w:line="240" w:lineRule="auto"/>
                    <w:ind w:right="-8"/>
                    <w:jc w:val="right"/>
                    <w:rPr>
                      <w:rFonts w:ascii="Calibri" w:eastAsia="Times New Roman" w:hAnsi="Calibri"/>
                      <w:noProof w:val="0"/>
                      <w:color w:val="000000"/>
                      <w:sz w:val="18"/>
                      <w:szCs w:val="22"/>
                      <w:lang w:eastAsia="en-AU"/>
                    </w:rPr>
                  </w:pPr>
                  <w:r w:rsidRPr="003776C5">
                    <w:rPr>
                      <w:rFonts w:ascii="Calibri" w:eastAsia="Times New Roman" w:hAnsi="Calibri"/>
                      <w:noProof w:val="0"/>
                      <w:color w:val="000000"/>
                      <w:sz w:val="18"/>
                      <w:szCs w:val="22"/>
                      <w:lang w:eastAsia="en-AU"/>
                    </w:rPr>
                    <w:t>2500 lm</w:t>
                  </w:r>
                </w:p>
              </w:tc>
            </w:tr>
            <w:tr w:rsidR="003776C5" w:rsidRPr="003776C5" w14:paraId="58CBEA18" w14:textId="77777777" w:rsidTr="006B00C9">
              <w:tc>
                <w:tcPr>
                  <w:tcW w:w="913" w:type="dxa"/>
                </w:tcPr>
                <w:p w14:paraId="3C54B86C" w14:textId="77777777" w:rsidR="003776C5" w:rsidRPr="003776C5" w:rsidRDefault="003776C5" w:rsidP="003776C5">
                  <w:pPr>
                    <w:spacing w:after="0" w:line="240" w:lineRule="auto"/>
                    <w:ind w:right="7"/>
                    <w:jc w:val="right"/>
                    <w:rPr>
                      <w:rFonts w:ascii="Calibri" w:eastAsia="Times New Roman" w:hAnsi="Calibri"/>
                      <w:noProof w:val="0"/>
                      <w:color w:val="000000"/>
                      <w:sz w:val="18"/>
                      <w:szCs w:val="22"/>
                      <w:lang w:eastAsia="en-AU"/>
                    </w:rPr>
                  </w:pPr>
                  <w:r w:rsidRPr="003776C5">
                    <w:rPr>
                      <w:rFonts w:ascii="Calibri" w:eastAsia="Times New Roman" w:hAnsi="Calibri"/>
                      <w:noProof w:val="0"/>
                      <w:color w:val="000000"/>
                      <w:sz w:val="18"/>
                      <w:szCs w:val="22"/>
                      <w:lang w:eastAsia="en-AU"/>
                    </w:rPr>
                    <w:t>175 W</w:t>
                  </w:r>
                </w:p>
              </w:tc>
              <w:tc>
                <w:tcPr>
                  <w:tcW w:w="889" w:type="dxa"/>
                </w:tcPr>
                <w:p w14:paraId="1933D1CA" w14:textId="77777777" w:rsidR="003776C5" w:rsidRPr="003776C5" w:rsidRDefault="003776C5" w:rsidP="003776C5">
                  <w:pPr>
                    <w:spacing w:after="0" w:line="240" w:lineRule="auto"/>
                    <w:ind w:right="20"/>
                    <w:jc w:val="right"/>
                    <w:rPr>
                      <w:rFonts w:ascii="Calibri" w:eastAsia="Times New Roman" w:hAnsi="Calibri"/>
                      <w:noProof w:val="0"/>
                      <w:color w:val="000000"/>
                      <w:sz w:val="18"/>
                      <w:szCs w:val="22"/>
                      <w:lang w:eastAsia="en-AU"/>
                    </w:rPr>
                  </w:pPr>
                  <w:r w:rsidRPr="003776C5">
                    <w:rPr>
                      <w:rFonts w:ascii="Calibri" w:eastAsia="Times New Roman" w:hAnsi="Calibri"/>
                      <w:noProof w:val="0"/>
                      <w:color w:val="000000"/>
                      <w:sz w:val="18"/>
                      <w:szCs w:val="22"/>
                      <w:lang w:eastAsia="en-AU"/>
                    </w:rPr>
                    <w:t>123 W</w:t>
                  </w:r>
                </w:p>
              </w:tc>
              <w:tc>
                <w:tcPr>
                  <w:tcW w:w="889" w:type="dxa"/>
                </w:tcPr>
                <w:p w14:paraId="740401F4" w14:textId="77777777" w:rsidR="003776C5" w:rsidRPr="003776C5" w:rsidRDefault="003776C5" w:rsidP="003776C5">
                  <w:pPr>
                    <w:spacing w:after="0" w:line="240" w:lineRule="auto"/>
                    <w:ind w:right="-8"/>
                    <w:jc w:val="right"/>
                    <w:rPr>
                      <w:rFonts w:ascii="Calibri" w:eastAsia="Times New Roman" w:hAnsi="Calibri"/>
                      <w:noProof w:val="0"/>
                      <w:color w:val="000000"/>
                      <w:sz w:val="18"/>
                      <w:szCs w:val="22"/>
                      <w:lang w:eastAsia="en-AU"/>
                    </w:rPr>
                  </w:pPr>
                  <w:r w:rsidRPr="003776C5">
                    <w:rPr>
                      <w:rFonts w:ascii="Calibri" w:eastAsia="Times New Roman" w:hAnsi="Calibri"/>
                      <w:noProof w:val="0"/>
                      <w:color w:val="000000"/>
                      <w:sz w:val="18"/>
                      <w:szCs w:val="22"/>
                      <w:lang w:eastAsia="en-AU"/>
                    </w:rPr>
                    <w:t>3000 lm</w:t>
                  </w:r>
                </w:p>
              </w:tc>
            </w:tr>
            <w:tr w:rsidR="003776C5" w:rsidRPr="003776C5" w14:paraId="4A65A3CB" w14:textId="77777777" w:rsidTr="006B00C9">
              <w:tc>
                <w:tcPr>
                  <w:tcW w:w="913" w:type="dxa"/>
                </w:tcPr>
                <w:p w14:paraId="21E08FAF" w14:textId="77777777" w:rsidR="003776C5" w:rsidRPr="003776C5" w:rsidRDefault="003776C5" w:rsidP="003776C5">
                  <w:pPr>
                    <w:spacing w:after="0" w:line="240" w:lineRule="auto"/>
                    <w:ind w:right="7"/>
                    <w:jc w:val="right"/>
                    <w:rPr>
                      <w:rFonts w:ascii="Calibri" w:eastAsia="Times New Roman" w:hAnsi="Calibri"/>
                      <w:noProof w:val="0"/>
                      <w:color w:val="000000"/>
                      <w:sz w:val="18"/>
                      <w:szCs w:val="22"/>
                      <w:lang w:eastAsia="en-AU"/>
                    </w:rPr>
                  </w:pPr>
                  <w:r w:rsidRPr="003776C5">
                    <w:rPr>
                      <w:rFonts w:ascii="Calibri" w:eastAsia="Times New Roman" w:hAnsi="Calibri"/>
                      <w:noProof w:val="0"/>
                      <w:color w:val="000000"/>
                      <w:sz w:val="18"/>
                      <w:szCs w:val="22"/>
                      <w:lang w:eastAsia="en-AU"/>
                    </w:rPr>
                    <w:t>200 W</w:t>
                  </w:r>
                </w:p>
              </w:tc>
              <w:tc>
                <w:tcPr>
                  <w:tcW w:w="889" w:type="dxa"/>
                </w:tcPr>
                <w:p w14:paraId="3EF4F4CE" w14:textId="77777777" w:rsidR="003776C5" w:rsidRPr="003776C5" w:rsidRDefault="003776C5" w:rsidP="003776C5">
                  <w:pPr>
                    <w:spacing w:after="0" w:line="240" w:lineRule="auto"/>
                    <w:ind w:right="20"/>
                    <w:jc w:val="right"/>
                    <w:rPr>
                      <w:rFonts w:ascii="Calibri" w:eastAsia="Times New Roman" w:hAnsi="Calibri"/>
                      <w:noProof w:val="0"/>
                      <w:color w:val="000000"/>
                      <w:sz w:val="18"/>
                      <w:szCs w:val="22"/>
                      <w:lang w:eastAsia="en-AU"/>
                    </w:rPr>
                  </w:pPr>
                  <w:r w:rsidRPr="003776C5">
                    <w:rPr>
                      <w:rFonts w:ascii="Calibri" w:eastAsia="Times New Roman" w:hAnsi="Calibri"/>
                      <w:noProof w:val="0"/>
                      <w:color w:val="000000"/>
                      <w:sz w:val="18"/>
                      <w:szCs w:val="22"/>
                      <w:lang w:eastAsia="en-AU"/>
                    </w:rPr>
                    <w:t>140 W</w:t>
                  </w:r>
                </w:p>
              </w:tc>
              <w:tc>
                <w:tcPr>
                  <w:tcW w:w="889" w:type="dxa"/>
                </w:tcPr>
                <w:p w14:paraId="56606092" w14:textId="77777777" w:rsidR="003776C5" w:rsidRPr="003776C5" w:rsidRDefault="003776C5" w:rsidP="003776C5">
                  <w:pPr>
                    <w:spacing w:after="0" w:line="240" w:lineRule="auto"/>
                    <w:ind w:right="-8"/>
                    <w:jc w:val="right"/>
                    <w:rPr>
                      <w:rFonts w:ascii="Calibri" w:eastAsia="Times New Roman" w:hAnsi="Calibri"/>
                      <w:noProof w:val="0"/>
                      <w:color w:val="000000"/>
                      <w:sz w:val="18"/>
                      <w:szCs w:val="22"/>
                      <w:lang w:eastAsia="en-AU"/>
                    </w:rPr>
                  </w:pPr>
                  <w:r w:rsidRPr="003776C5">
                    <w:rPr>
                      <w:rFonts w:ascii="Calibri" w:eastAsia="Times New Roman" w:hAnsi="Calibri"/>
                      <w:noProof w:val="0"/>
                      <w:color w:val="000000"/>
                      <w:sz w:val="18"/>
                      <w:szCs w:val="22"/>
                      <w:lang w:eastAsia="en-AU"/>
                    </w:rPr>
                    <w:t>3500 lm</w:t>
                  </w:r>
                </w:p>
              </w:tc>
            </w:tr>
          </w:tbl>
          <w:p w14:paraId="38498C05"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788D7D85"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6715521F"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(2) Dimensions of the lamp must comply with equivalent lamp’s requirements in the relevant IEC lamp performance specification Standard</w:t>
            </w:r>
          </w:p>
        </w:tc>
        <w:tc>
          <w:tcPr>
            <w:tcW w:w="2911" w:type="dxa"/>
          </w:tcPr>
          <w:p w14:paraId="37FC646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68A38D0A"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ONLY IF CLAIMING</w:t>
            </w:r>
          </w:p>
          <w:p w14:paraId="6566B47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(1)  Minimum lumen output (as a percentage of GLS lamp equivalences of same wattage) required for claimed equivalent wattage reflector filament lamps of stated lamp shapes</w:t>
            </w:r>
            <w:r w:rsidRPr="003776C5">
              <w:rPr>
                <w:rFonts w:ascii="Calibri" w:eastAsia="Times New Roman" w:hAnsi="Calibri"/>
                <w:noProof w:val="0"/>
                <w:color w:val="000000"/>
                <w:sz w:val="22"/>
                <w:szCs w:val="22"/>
                <w:vertAlign w:val="superscript"/>
                <w:lang w:eastAsia="en-AU"/>
              </w:rPr>
              <w:footnoteReference w:id="30"/>
            </w:r>
          </w:p>
          <w:p w14:paraId="302702E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tbl>
            <w:tblPr>
              <w:tblW w:w="2000" w:type="dxa"/>
              <w:jc w:val="center"/>
              <w:tblLayout w:type="fixed"/>
              <w:tblLook w:val="04A0" w:firstRow="1" w:lastRow="0" w:firstColumn="1" w:lastColumn="0" w:noHBand="0" w:noVBand="1"/>
            </w:tblPr>
            <w:tblGrid>
              <w:gridCol w:w="1240"/>
              <w:gridCol w:w="760"/>
            </w:tblGrid>
            <w:tr w:rsidR="003776C5" w:rsidRPr="003776C5" w14:paraId="3D7B128C" w14:textId="77777777" w:rsidTr="006B00C9">
              <w:trPr>
                <w:trHeight w:val="300"/>
                <w:jc w:val="center"/>
              </w:trPr>
              <w:tc>
                <w:tcPr>
                  <w:tcW w:w="124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63A7AD3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MR11</w:t>
                  </w:r>
                </w:p>
              </w:tc>
              <w:tc>
                <w:tcPr>
                  <w:tcW w:w="760" w:type="dxa"/>
                  <w:tcBorders>
                    <w:top w:val="single" w:sz="8" w:space="0" w:color="auto"/>
                    <w:left w:val="nil"/>
                    <w:bottom w:val="single" w:sz="4" w:space="0" w:color="auto"/>
                    <w:right w:val="single" w:sz="8" w:space="0" w:color="auto"/>
                  </w:tcBorders>
                  <w:shd w:val="clear" w:color="auto" w:fill="auto"/>
                  <w:noWrap/>
                  <w:vAlign w:val="bottom"/>
                  <w:hideMark/>
                </w:tcPr>
                <w:p w14:paraId="32ADDC05" w14:textId="77777777" w:rsidR="003776C5" w:rsidRPr="003776C5" w:rsidRDefault="003776C5" w:rsidP="003776C5">
                  <w:pPr>
                    <w:spacing w:after="0" w:line="240" w:lineRule="auto"/>
                    <w:jc w:val="right"/>
                    <w:rPr>
                      <w:rFonts w:ascii="Calibri" w:eastAsia="Times New Roman" w:hAnsi="Calibri"/>
                      <w:noProof w:val="0"/>
                      <w:color w:val="000000"/>
                      <w:sz w:val="22"/>
                      <w:szCs w:val="22"/>
                      <w:lang w:eastAsia="en-AU"/>
                    </w:rPr>
                  </w:pPr>
                </w:p>
                <w:p w14:paraId="52DE8402" w14:textId="77777777" w:rsidR="003776C5" w:rsidRPr="003776C5" w:rsidRDefault="003776C5" w:rsidP="003776C5">
                  <w:pPr>
                    <w:spacing w:after="0" w:line="240" w:lineRule="auto"/>
                    <w:jc w:val="right"/>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80%</w:t>
                  </w:r>
                </w:p>
              </w:tc>
            </w:tr>
            <w:tr w:rsidR="003776C5" w:rsidRPr="003776C5" w14:paraId="46EB5198" w14:textId="77777777" w:rsidTr="006B00C9">
              <w:trPr>
                <w:trHeight w:val="300"/>
                <w:jc w:val="center"/>
              </w:trPr>
              <w:tc>
                <w:tcPr>
                  <w:tcW w:w="1240" w:type="dxa"/>
                  <w:tcBorders>
                    <w:top w:val="nil"/>
                    <w:left w:val="single" w:sz="8" w:space="0" w:color="auto"/>
                    <w:bottom w:val="single" w:sz="4" w:space="0" w:color="auto"/>
                    <w:right w:val="single" w:sz="4" w:space="0" w:color="auto"/>
                  </w:tcBorders>
                  <w:shd w:val="clear" w:color="auto" w:fill="auto"/>
                  <w:vAlign w:val="bottom"/>
                  <w:hideMark/>
                </w:tcPr>
                <w:p w14:paraId="35836C3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MR16</w:t>
                  </w:r>
                </w:p>
              </w:tc>
              <w:tc>
                <w:tcPr>
                  <w:tcW w:w="760" w:type="dxa"/>
                  <w:tcBorders>
                    <w:top w:val="nil"/>
                    <w:left w:val="nil"/>
                    <w:bottom w:val="single" w:sz="4" w:space="0" w:color="auto"/>
                    <w:right w:val="single" w:sz="8" w:space="0" w:color="auto"/>
                  </w:tcBorders>
                  <w:shd w:val="clear" w:color="auto" w:fill="auto"/>
                  <w:noWrap/>
                  <w:vAlign w:val="bottom"/>
                  <w:hideMark/>
                </w:tcPr>
                <w:p w14:paraId="0DDA336D" w14:textId="77777777" w:rsidR="003776C5" w:rsidRPr="003776C5" w:rsidRDefault="003776C5" w:rsidP="003776C5">
                  <w:pPr>
                    <w:spacing w:after="0" w:line="240" w:lineRule="auto"/>
                    <w:jc w:val="right"/>
                    <w:rPr>
                      <w:rFonts w:ascii="Calibri" w:eastAsia="Times New Roman" w:hAnsi="Calibri"/>
                      <w:noProof w:val="0"/>
                      <w:color w:val="000000"/>
                      <w:sz w:val="22"/>
                      <w:szCs w:val="22"/>
                      <w:lang w:eastAsia="en-AU"/>
                    </w:rPr>
                  </w:pPr>
                </w:p>
                <w:p w14:paraId="06F382BD" w14:textId="77777777" w:rsidR="003776C5" w:rsidRPr="003776C5" w:rsidRDefault="003776C5" w:rsidP="003776C5">
                  <w:pPr>
                    <w:spacing w:after="0" w:line="240" w:lineRule="auto"/>
                    <w:jc w:val="right"/>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80%</w:t>
                  </w:r>
                </w:p>
              </w:tc>
            </w:tr>
            <w:tr w:rsidR="003776C5" w:rsidRPr="003776C5" w14:paraId="1375C540" w14:textId="77777777" w:rsidTr="006B00C9">
              <w:trPr>
                <w:trHeight w:val="300"/>
                <w:jc w:val="center"/>
              </w:trPr>
              <w:tc>
                <w:tcPr>
                  <w:tcW w:w="1240" w:type="dxa"/>
                  <w:tcBorders>
                    <w:top w:val="nil"/>
                    <w:left w:val="single" w:sz="8" w:space="0" w:color="auto"/>
                    <w:bottom w:val="single" w:sz="4" w:space="0" w:color="auto"/>
                    <w:right w:val="single" w:sz="4" w:space="0" w:color="auto"/>
                  </w:tcBorders>
                  <w:shd w:val="clear" w:color="auto" w:fill="auto"/>
                  <w:vAlign w:val="bottom"/>
                  <w:hideMark/>
                </w:tcPr>
                <w:p w14:paraId="4CA6124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AR-111</w:t>
                  </w:r>
                </w:p>
              </w:tc>
              <w:tc>
                <w:tcPr>
                  <w:tcW w:w="760" w:type="dxa"/>
                  <w:tcBorders>
                    <w:top w:val="nil"/>
                    <w:left w:val="nil"/>
                    <w:bottom w:val="single" w:sz="4" w:space="0" w:color="auto"/>
                    <w:right w:val="single" w:sz="8" w:space="0" w:color="auto"/>
                  </w:tcBorders>
                  <w:shd w:val="clear" w:color="auto" w:fill="auto"/>
                  <w:noWrap/>
                  <w:vAlign w:val="bottom"/>
                  <w:hideMark/>
                </w:tcPr>
                <w:p w14:paraId="1A171FE2" w14:textId="77777777" w:rsidR="003776C5" w:rsidRPr="003776C5" w:rsidRDefault="003776C5" w:rsidP="003776C5">
                  <w:pPr>
                    <w:spacing w:after="0" w:line="240" w:lineRule="auto"/>
                    <w:jc w:val="right"/>
                    <w:rPr>
                      <w:rFonts w:ascii="Calibri" w:eastAsia="Times New Roman" w:hAnsi="Calibri"/>
                      <w:noProof w:val="0"/>
                      <w:color w:val="000000"/>
                      <w:sz w:val="22"/>
                      <w:szCs w:val="22"/>
                      <w:lang w:eastAsia="en-AU"/>
                    </w:rPr>
                  </w:pPr>
                </w:p>
                <w:p w14:paraId="042ED388" w14:textId="77777777" w:rsidR="003776C5" w:rsidRPr="003776C5" w:rsidRDefault="003776C5" w:rsidP="003776C5">
                  <w:pPr>
                    <w:spacing w:after="0" w:line="240" w:lineRule="auto"/>
                    <w:jc w:val="right"/>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70%</w:t>
                  </w:r>
                </w:p>
              </w:tc>
            </w:tr>
            <w:tr w:rsidR="003776C5" w:rsidRPr="003776C5" w14:paraId="3BD3C968" w14:textId="77777777" w:rsidTr="006B00C9">
              <w:trPr>
                <w:trHeight w:val="300"/>
                <w:jc w:val="center"/>
              </w:trPr>
              <w:tc>
                <w:tcPr>
                  <w:tcW w:w="1240" w:type="dxa"/>
                  <w:tcBorders>
                    <w:top w:val="nil"/>
                    <w:left w:val="single" w:sz="8" w:space="0" w:color="auto"/>
                    <w:bottom w:val="single" w:sz="4" w:space="0" w:color="auto"/>
                    <w:right w:val="single" w:sz="4" w:space="0" w:color="auto"/>
                  </w:tcBorders>
                  <w:shd w:val="clear" w:color="auto" w:fill="auto"/>
                  <w:vAlign w:val="bottom"/>
                  <w:hideMark/>
                </w:tcPr>
                <w:p w14:paraId="281CEE9C"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R</w:t>
                  </w:r>
                </w:p>
              </w:tc>
              <w:tc>
                <w:tcPr>
                  <w:tcW w:w="760" w:type="dxa"/>
                  <w:tcBorders>
                    <w:top w:val="nil"/>
                    <w:left w:val="nil"/>
                    <w:bottom w:val="single" w:sz="4" w:space="0" w:color="auto"/>
                    <w:right w:val="single" w:sz="8" w:space="0" w:color="auto"/>
                  </w:tcBorders>
                  <w:shd w:val="clear" w:color="auto" w:fill="auto"/>
                  <w:noWrap/>
                  <w:vAlign w:val="bottom"/>
                  <w:hideMark/>
                </w:tcPr>
                <w:p w14:paraId="78FA9FA6" w14:textId="77777777" w:rsidR="003776C5" w:rsidRPr="003776C5" w:rsidRDefault="003776C5" w:rsidP="003776C5">
                  <w:pPr>
                    <w:spacing w:after="0" w:line="240" w:lineRule="auto"/>
                    <w:jc w:val="right"/>
                    <w:rPr>
                      <w:rFonts w:ascii="Calibri" w:eastAsia="Times New Roman" w:hAnsi="Calibri"/>
                      <w:noProof w:val="0"/>
                      <w:color w:val="000000"/>
                      <w:sz w:val="22"/>
                      <w:szCs w:val="22"/>
                      <w:lang w:eastAsia="en-AU"/>
                    </w:rPr>
                  </w:pPr>
                </w:p>
                <w:p w14:paraId="41CBA05C" w14:textId="77777777" w:rsidR="003776C5" w:rsidRPr="003776C5" w:rsidRDefault="003776C5" w:rsidP="003776C5">
                  <w:pPr>
                    <w:spacing w:after="0" w:line="240" w:lineRule="auto"/>
                    <w:jc w:val="right"/>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45%</w:t>
                  </w:r>
                </w:p>
              </w:tc>
            </w:tr>
            <w:tr w:rsidR="003776C5" w:rsidRPr="003776C5" w14:paraId="1D2BA9CF" w14:textId="77777777" w:rsidTr="006B00C9">
              <w:trPr>
                <w:trHeight w:val="300"/>
                <w:jc w:val="center"/>
              </w:trPr>
              <w:tc>
                <w:tcPr>
                  <w:tcW w:w="1240" w:type="dxa"/>
                  <w:tcBorders>
                    <w:top w:val="nil"/>
                    <w:left w:val="single" w:sz="8" w:space="0" w:color="auto"/>
                    <w:bottom w:val="single" w:sz="4" w:space="0" w:color="auto"/>
                    <w:right w:val="single" w:sz="4" w:space="0" w:color="auto"/>
                  </w:tcBorders>
                  <w:shd w:val="clear" w:color="auto" w:fill="auto"/>
                  <w:vAlign w:val="bottom"/>
                  <w:hideMark/>
                </w:tcPr>
                <w:p w14:paraId="46E26868"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PAR</w:t>
                  </w:r>
                </w:p>
              </w:tc>
              <w:tc>
                <w:tcPr>
                  <w:tcW w:w="760" w:type="dxa"/>
                  <w:tcBorders>
                    <w:top w:val="nil"/>
                    <w:left w:val="nil"/>
                    <w:bottom w:val="single" w:sz="4" w:space="0" w:color="auto"/>
                    <w:right w:val="single" w:sz="8" w:space="0" w:color="auto"/>
                  </w:tcBorders>
                  <w:shd w:val="clear" w:color="auto" w:fill="auto"/>
                  <w:noWrap/>
                  <w:vAlign w:val="bottom"/>
                  <w:hideMark/>
                </w:tcPr>
                <w:p w14:paraId="76CC3E83" w14:textId="77777777" w:rsidR="003776C5" w:rsidRPr="003776C5" w:rsidRDefault="003776C5" w:rsidP="003776C5">
                  <w:pPr>
                    <w:spacing w:after="0" w:line="240" w:lineRule="auto"/>
                    <w:jc w:val="right"/>
                    <w:rPr>
                      <w:rFonts w:ascii="Calibri" w:eastAsia="Times New Roman" w:hAnsi="Calibri"/>
                      <w:noProof w:val="0"/>
                      <w:color w:val="000000"/>
                      <w:sz w:val="22"/>
                      <w:szCs w:val="22"/>
                      <w:lang w:eastAsia="en-AU"/>
                    </w:rPr>
                  </w:pPr>
                </w:p>
                <w:p w14:paraId="1487148A" w14:textId="77777777" w:rsidR="003776C5" w:rsidRPr="003776C5" w:rsidRDefault="003776C5" w:rsidP="003776C5">
                  <w:pPr>
                    <w:spacing w:after="0" w:line="240" w:lineRule="auto"/>
                    <w:jc w:val="right"/>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60%</w:t>
                  </w:r>
                </w:p>
              </w:tc>
            </w:tr>
            <w:tr w:rsidR="003776C5" w:rsidRPr="003776C5" w14:paraId="154763B9" w14:textId="77777777" w:rsidTr="006B00C9">
              <w:trPr>
                <w:trHeight w:val="615"/>
                <w:jc w:val="center"/>
              </w:trPr>
              <w:tc>
                <w:tcPr>
                  <w:tcW w:w="1240" w:type="dxa"/>
                  <w:tcBorders>
                    <w:top w:val="nil"/>
                    <w:left w:val="single" w:sz="8" w:space="0" w:color="auto"/>
                    <w:bottom w:val="single" w:sz="8" w:space="0" w:color="auto"/>
                    <w:right w:val="single" w:sz="4" w:space="0" w:color="auto"/>
                  </w:tcBorders>
                  <w:shd w:val="clear" w:color="auto" w:fill="auto"/>
                  <w:vAlign w:val="bottom"/>
                  <w:hideMark/>
                </w:tcPr>
                <w:p w14:paraId="2F1E1C1A"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R7 (forward lumens)</w:t>
                  </w:r>
                </w:p>
              </w:tc>
              <w:tc>
                <w:tcPr>
                  <w:tcW w:w="760" w:type="dxa"/>
                  <w:tcBorders>
                    <w:top w:val="nil"/>
                    <w:left w:val="nil"/>
                    <w:bottom w:val="single" w:sz="8" w:space="0" w:color="auto"/>
                    <w:right w:val="single" w:sz="8" w:space="0" w:color="auto"/>
                  </w:tcBorders>
                  <w:shd w:val="clear" w:color="auto" w:fill="auto"/>
                  <w:noWrap/>
                  <w:vAlign w:val="bottom"/>
                  <w:hideMark/>
                </w:tcPr>
                <w:p w14:paraId="3128EA3D" w14:textId="77777777" w:rsidR="003776C5" w:rsidRPr="003776C5" w:rsidRDefault="003776C5" w:rsidP="003776C5">
                  <w:pPr>
                    <w:spacing w:after="0" w:line="240" w:lineRule="auto"/>
                    <w:jc w:val="right"/>
                    <w:rPr>
                      <w:rFonts w:ascii="Calibri" w:eastAsia="Times New Roman" w:hAnsi="Calibri"/>
                      <w:noProof w:val="0"/>
                      <w:color w:val="000000"/>
                      <w:sz w:val="22"/>
                      <w:szCs w:val="22"/>
                      <w:lang w:eastAsia="en-AU"/>
                    </w:rPr>
                  </w:pPr>
                </w:p>
                <w:p w14:paraId="09AEE301" w14:textId="77777777" w:rsidR="003776C5" w:rsidRPr="003776C5" w:rsidRDefault="003776C5" w:rsidP="003776C5">
                  <w:pPr>
                    <w:spacing w:after="0" w:line="240" w:lineRule="auto"/>
                    <w:jc w:val="right"/>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55%</w:t>
                  </w:r>
                </w:p>
              </w:tc>
            </w:tr>
          </w:tbl>
          <w:p w14:paraId="6EC9792F"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423AFD2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(use linear interpolation between GLS wattage values listed)</w:t>
            </w:r>
          </w:p>
          <w:p w14:paraId="6C0DBAF8"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65CAB015"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(2) Dimensions of the lamp must comply with equivalent lamp’s requirements in the relevant IEC lamp performance specification Standard</w:t>
            </w:r>
          </w:p>
        </w:tc>
        <w:tc>
          <w:tcPr>
            <w:tcW w:w="2896" w:type="dxa"/>
          </w:tcPr>
          <w:p w14:paraId="2BD1F65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30E5145E" w14:textId="77777777" w:rsidR="003776C5" w:rsidRPr="003776C5" w:rsidRDefault="003776C5" w:rsidP="003776C5">
            <w:pPr>
              <w:spacing w:after="0" w:line="240" w:lineRule="auto"/>
              <w:rPr>
                <w:rFonts w:ascii="Calibri" w:eastAsia="Times New Roman" w:hAnsi="Calibri"/>
                <w:noProof w:val="0"/>
                <w:sz w:val="22"/>
                <w:szCs w:val="22"/>
                <w:lang w:eastAsia="en-AU"/>
              </w:rPr>
            </w:pPr>
            <w:r w:rsidRPr="003776C5">
              <w:rPr>
                <w:rFonts w:ascii="Calibri" w:eastAsia="Times New Roman" w:hAnsi="Calibri"/>
                <w:noProof w:val="0"/>
                <w:sz w:val="22"/>
                <w:szCs w:val="22"/>
                <w:lang w:eastAsia="en-AU"/>
              </w:rPr>
              <w:t>ONLY IF CLAIMING</w:t>
            </w:r>
          </w:p>
          <w:p w14:paraId="5F4B3808"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(1) Minimum lumen output required for claimed equivalence to linear fluorescent lamp.</w:t>
            </w:r>
          </w:p>
          <w:p w14:paraId="63B17B99" w14:textId="77777777" w:rsidR="003776C5" w:rsidRPr="003776C5" w:rsidRDefault="003776C5" w:rsidP="003776C5">
            <w:pPr>
              <w:spacing w:after="0" w:line="240" w:lineRule="auto"/>
              <w:rPr>
                <w:rFonts w:ascii="Calibri" w:eastAsia="Calibri" w:hAnsi="Calibri"/>
                <w:noProof w:val="0"/>
                <w:color w:val="000000"/>
                <w:sz w:val="22"/>
                <w:szCs w:val="22"/>
              </w:rPr>
            </w:pPr>
          </w:p>
          <w:p w14:paraId="2ADF7D9E" w14:textId="77777777" w:rsidR="003776C5" w:rsidRPr="003776C5" w:rsidRDefault="003776C5" w:rsidP="003776C5">
            <w:pPr>
              <w:spacing w:after="0" w:line="240" w:lineRule="auto"/>
              <w:rPr>
                <w:rFonts w:ascii="Calibri" w:eastAsia="Calibri" w:hAnsi="Calibri"/>
                <w:noProof w:val="0"/>
                <w:color w:val="000000"/>
                <w:sz w:val="22"/>
                <w:szCs w:val="22"/>
              </w:rPr>
            </w:pPr>
            <w:r w:rsidRPr="003776C5">
              <w:rPr>
                <w:rFonts w:ascii="Calibri" w:eastAsia="Calibri" w:hAnsi="Calibri"/>
                <w:noProof w:val="0"/>
                <w:color w:val="000000"/>
                <w:sz w:val="22"/>
                <w:szCs w:val="22"/>
              </w:rPr>
              <w:t>Bare lamp</w:t>
            </w:r>
            <w:r w:rsidRPr="003776C5">
              <w:rPr>
                <w:rFonts w:ascii="Calibri" w:eastAsia="Calibri" w:hAnsi="Calibri"/>
                <w:noProof w:val="0"/>
                <w:color w:val="000000"/>
                <w:sz w:val="22"/>
                <w:szCs w:val="22"/>
                <w:vertAlign w:val="superscript"/>
              </w:rPr>
              <w:footnoteReference w:id="31"/>
            </w:r>
          </w:p>
          <w:p w14:paraId="5AE2D27D" w14:textId="77777777" w:rsidR="003776C5" w:rsidRPr="003776C5" w:rsidRDefault="003776C5" w:rsidP="003776C5">
            <w:pPr>
              <w:spacing w:after="0" w:line="240" w:lineRule="auto"/>
              <w:jc w:val="right"/>
              <w:rPr>
                <w:rFonts w:ascii="Calibri" w:eastAsia="Calibri" w:hAnsi="Calibri"/>
                <w:noProof w:val="0"/>
                <w:color w:val="000000"/>
                <w:sz w:val="22"/>
                <w:szCs w:val="22"/>
              </w:rPr>
            </w:pPr>
            <w:r w:rsidRPr="003776C5">
              <w:rPr>
                <w:rFonts w:ascii="Calibri" w:eastAsia="Calibri" w:hAnsi="Calibri"/>
                <w:noProof w:val="0"/>
                <w:color w:val="000000"/>
                <w:sz w:val="22"/>
                <w:szCs w:val="22"/>
              </w:rPr>
              <w:t xml:space="preserve"> L ≤ 600mm:   800 lm</w:t>
            </w:r>
          </w:p>
          <w:p w14:paraId="4AB1F92D" w14:textId="77777777" w:rsidR="003776C5" w:rsidRPr="003776C5" w:rsidRDefault="003776C5" w:rsidP="003776C5">
            <w:pPr>
              <w:spacing w:after="0" w:line="240" w:lineRule="auto"/>
              <w:jc w:val="right"/>
              <w:rPr>
                <w:rFonts w:ascii="Calibri" w:eastAsia="Calibri" w:hAnsi="Calibri"/>
                <w:noProof w:val="0"/>
                <w:color w:val="000000"/>
                <w:sz w:val="22"/>
                <w:szCs w:val="22"/>
              </w:rPr>
            </w:pPr>
            <w:r w:rsidRPr="003776C5">
              <w:rPr>
                <w:rFonts w:ascii="Calibri" w:eastAsia="Calibri" w:hAnsi="Calibri"/>
                <w:noProof w:val="0"/>
                <w:color w:val="000000"/>
                <w:sz w:val="22"/>
                <w:szCs w:val="22"/>
              </w:rPr>
              <w:t xml:space="preserve"> </w:t>
            </w:r>
          </w:p>
          <w:p w14:paraId="28B0FF2D" w14:textId="77777777" w:rsidR="003776C5" w:rsidRPr="003776C5" w:rsidRDefault="003776C5" w:rsidP="003776C5">
            <w:pPr>
              <w:spacing w:after="0" w:line="240" w:lineRule="auto"/>
              <w:jc w:val="right"/>
              <w:rPr>
                <w:rFonts w:ascii="Calibri" w:eastAsia="Calibri" w:hAnsi="Calibri"/>
                <w:noProof w:val="0"/>
                <w:color w:val="000000"/>
                <w:sz w:val="22"/>
                <w:szCs w:val="22"/>
              </w:rPr>
            </w:pPr>
            <w:r w:rsidRPr="003776C5">
              <w:rPr>
                <w:rFonts w:ascii="Calibri" w:eastAsia="Calibri" w:hAnsi="Calibri"/>
                <w:noProof w:val="0"/>
                <w:color w:val="000000"/>
                <w:sz w:val="22"/>
                <w:szCs w:val="22"/>
              </w:rPr>
              <w:t>*600 &lt; L ≤ 900mm: 1200 lm</w:t>
            </w:r>
          </w:p>
          <w:p w14:paraId="293A344C" w14:textId="77777777" w:rsidR="003776C5" w:rsidRPr="003776C5" w:rsidRDefault="003776C5" w:rsidP="003776C5">
            <w:pPr>
              <w:spacing w:after="0" w:line="240" w:lineRule="auto"/>
              <w:jc w:val="right"/>
              <w:rPr>
                <w:rFonts w:ascii="Calibri" w:eastAsia="Calibri" w:hAnsi="Calibri"/>
                <w:noProof w:val="0"/>
                <w:color w:val="000000"/>
                <w:sz w:val="22"/>
                <w:szCs w:val="22"/>
              </w:rPr>
            </w:pPr>
          </w:p>
          <w:p w14:paraId="38F4FE02" w14:textId="77777777" w:rsidR="003776C5" w:rsidRPr="003776C5" w:rsidRDefault="003776C5" w:rsidP="003776C5">
            <w:pPr>
              <w:spacing w:after="0" w:line="240" w:lineRule="auto"/>
              <w:jc w:val="right"/>
              <w:rPr>
                <w:rFonts w:ascii="Calibri" w:eastAsia="Calibri" w:hAnsi="Calibri"/>
                <w:noProof w:val="0"/>
                <w:color w:val="000000"/>
                <w:sz w:val="22"/>
                <w:szCs w:val="22"/>
              </w:rPr>
            </w:pPr>
            <w:r w:rsidRPr="003776C5">
              <w:rPr>
                <w:rFonts w:ascii="Calibri" w:eastAsia="Calibri" w:hAnsi="Calibri"/>
                <w:noProof w:val="0"/>
                <w:color w:val="000000"/>
                <w:sz w:val="22"/>
                <w:szCs w:val="22"/>
              </w:rPr>
              <w:t>900 &lt; L ≤ 1200mm:1600 lm</w:t>
            </w:r>
          </w:p>
          <w:p w14:paraId="29C1679F" w14:textId="77777777" w:rsidR="003776C5" w:rsidRPr="003776C5" w:rsidRDefault="003776C5" w:rsidP="003776C5">
            <w:pPr>
              <w:spacing w:after="0" w:line="240" w:lineRule="auto"/>
              <w:jc w:val="right"/>
              <w:rPr>
                <w:rFonts w:ascii="Calibri" w:eastAsia="Calibri" w:hAnsi="Calibri"/>
                <w:noProof w:val="0"/>
                <w:color w:val="000000"/>
                <w:sz w:val="22"/>
                <w:szCs w:val="22"/>
              </w:rPr>
            </w:pPr>
          </w:p>
          <w:p w14:paraId="7BB110E1" w14:textId="77777777" w:rsidR="003776C5" w:rsidRPr="003776C5" w:rsidRDefault="003776C5" w:rsidP="003776C5">
            <w:pPr>
              <w:spacing w:after="0" w:line="240" w:lineRule="auto"/>
              <w:rPr>
                <w:rFonts w:ascii="Calibri" w:eastAsia="Calibri" w:hAnsi="Calibri"/>
                <w:noProof w:val="0"/>
                <w:color w:val="000000"/>
                <w:sz w:val="24"/>
              </w:rPr>
            </w:pPr>
            <w:r w:rsidRPr="003776C5">
              <w:rPr>
                <w:rFonts w:ascii="Calibri" w:eastAsia="Calibri" w:hAnsi="Calibri"/>
                <w:noProof w:val="0"/>
                <w:color w:val="000000"/>
                <w:sz w:val="22"/>
                <w:szCs w:val="22"/>
              </w:rPr>
              <w:t>*1200 &lt; L ≤ 1500mm:2000 lm</w:t>
            </w:r>
            <w:r w:rsidRPr="003776C5">
              <w:rPr>
                <w:rFonts w:ascii="Calibri" w:eastAsia="Calibri" w:hAnsi="Calibri"/>
                <w:noProof w:val="0"/>
                <w:color w:val="000000"/>
                <w:sz w:val="22"/>
                <w:szCs w:val="22"/>
              </w:rPr>
              <w:br/>
            </w:r>
            <w:r w:rsidRPr="003776C5">
              <w:rPr>
                <w:rFonts w:ascii="Calibri" w:eastAsia="Calibri" w:hAnsi="Calibri"/>
                <w:noProof w:val="0"/>
                <w:color w:val="000000"/>
                <w:sz w:val="22"/>
                <w:szCs w:val="22"/>
              </w:rPr>
              <w:br/>
              <w:t>[Based on Design Lights Consortium DLC requirements with * extension]</w:t>
            </w:r>
          </w:p>
          <w:p w14:paraId="52E18AF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319BF52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(2) Dimensions of the lamp must comply with equivalent lamp’s requirements in the relevant IEC lamp performance specification Standard</w:t>
            </w:r>
          </w:p>
        </w:tc>
        <w:tc>
          <w:tcPr>
            <w:tcW w:w="1387" w:type="dxa"/>
            <w:hideMark/>
          </w:tcPr>
          <w:p w14:paraId="4717A198"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709F1D4E"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10 </w:t>
            </w:r>
          </w:p>
          <w:p w14:paraId="2334386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256516BF"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3 (Linear LED)</w:t>
            </w:r>
          </w:p>
        </w:tc>
        <w:tc>
          <w:tcPr>
            <w:tcW w:w="1566" w:type="dxa"/>
            <w:hideMark/>
          </w:tcPr>
          <w:p w14:paraId="322667DE"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066B7842"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(1) Average Luminous flux ≥ the specified minimum light output (lm) of the claimed Equivalent wattage </w:t>
            </w:r>
          </w:p>
          <w:p w14:paraId="63F12FD3"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36C4A62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(2) Dimensions comply with Clause 6 of: </w:t>
            </w:r>
          </w:p>
          <w:p w14:paraId="31278468"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IEC 60630 Ed. 2.5 b:2005</w:t>
            </w:r>
          </w:p>
          <w:p w14:paraId="540F59E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“Maximum lamp outlines for incandescent lamps”</w:t>
            </w:r>
          </w:p>
          <w:p w14:paraId="6BF7ED3E"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215561EE"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Dimensions comply with Clause 1.5.3 of: IEC 60081 Ed. 5.1 b:2002</w:t>
            </w:r>
          </w:p>
          <w:p w14:paraId="639AAB6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“Double-capped fluorescent lamps - Performance specifications</w:t>
            </w:r>
          </w:p>
          <w:p w14:paraId="3FAF1E68"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tc>
        <w:tc>
          <w:tcPr>
            <w:tcW w:w="1418" w:type="dxa"/>
          </w:tcPr>
          <w:p w14:paraId="3C2E6342"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5AA2AEE5"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highlight w:val="yellow"/>
                <w:lang w:eastAsia="en-AU"/>
              </w:rPr>
              <w:t>CIE S025</w:t>
            </w:r>
          </w:p>
          <w:p w14:paraId="2E1C71D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1447249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or</w:t>
            </w:r>
          </w:p>
          <w:p w14:paraId="08544BA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24E78E2E"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LM79 accepted until July 2021</w:t>
            </w:r>
          </w:p>
          <w:p w14:paraId="624630E2"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39CE3474"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or</w:t>
            </w:r>
          </w:p>
          <w:p w14:paraId="36BF24A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5DECE9D6" w14:textId="77777777" w:rsidR="003776C5" w:rsidRPr="003776C5" w:rsidRDefault="003776C5" w:rsidP="003776C5">
            <w:pPr>
              <w:spacing w:after="0" w:line="240" w:lineRule="auto"/>
              <w:rPr>
                <w:rFonts w:ascii="Verdana" w:eastAsia="Calibri" w:hAnsi="Verdana"/>
                <w:noProof w:val="0"/>
                <w:color w:val="121214"/>
                <w:sz w:val="18"/>
                <w:szCs w:val="18"/>
                <w:shd w:val="clear" w:color="auto" w:fill="FCFCFC"/>
              </w:rPr>
            </w:pPr>
            <w:r w:rsidRPr="003776C5">
              <w:rPr>
                <w:rFonts w:ascii="Verdana" w:eastAsia="Calibri" w:hAnsi="Verdana"/>
                <w:noProof w:val="0"/>
                <w:color w:val="121214"/>
                <w:sz w:val="18"/>
                <w:szCs w:val="18"/>
                <w:shd w:val="clear" w:color="auto" w:fill="FCFCFC"/>
              </w:rPr>
              <w:t>EN 13032-4:2015</w:t>
            </w:r>
          </w:p>
          <w:p w14:paraId="64D39D2B" w14:textId="77777777" w:rsidR="003776C5" w:rsidRPr="003776C5" w:rsidRDefault="003776C5" w:rsidP="003776C5">
            <w:pPr>
              <w:spacing w:after="0" w:line="240" w:lineRule="auto"/>
              <w:rPr>
                <w:rFonts w:ascii="Verdana" w:eastAsia="Calibri" w:hAnsi="Verdana"/>
                <w:noProof w:val="0"/>
                <w:color w:val="121214"/>
                <w:sz w:val="18"/>
                <w:szCs w:val="18"/>
                <w:shd w:val="clear" w:color="auto" w:fill="FCFCFC"/>
              </w:rPr>
            </w:pPr>
          </w:p>
          <w:p w14:paraId="25416013" w14:textId="77777777" w:rsidR="003776C5" w:rsidRPr="003776C5" w:rsidRDefault="003776C5" w:rsidP="003776C5">
            <w:pPr>
              <w:spacing w:after="0" w:line="240" w:lineRule="auto"/>
              <w:rPr>
                <w:rFonts w:ascii="Calibri" w:eastAsia="Times New Roman" w:hAnsi="Calibri"/>
                <w:noProof w:val="0"/>
                <w:color w:val="000000"/>
                <w:sz w:val="22"/>
                <w:szCs w:val="22"/>
                <w:highlight w:val="lightGray"/>
                <w:lang w:eastAsia="en-AU"/>
              </w:rPr>
            </w:pPr>
          </w:p>
        </w:tc>
      </w:tr>
      <w:tr w:rsidR="003776C5" w:rsidRPr="003776C5" w14:paraId="497075C7" w14:textId="77777777" w:rsidTr="006B00C9">
        <w:trPr>
          <w:trHeight w:val="730"/>
        </w:trPr>
        <w:tc>
          <w:tcPr>
            <w:tcW w:w="426" w:type="dxa"/>
          </w:tcPr>
          <w:p w14:paraId="68271893"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4</w:t>
            </w:r>
          </w:p>
        </w:tc>
        <w:tc>
          <w:tcPr>
            <w:tcW w:w="1529" w:type="dxa"/>
            <w:shd w:val="clear" w:color="auto" w:fill="auto"/>
          </w:tcPr>
          <w:p w14:paraId="3EE6A156"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30C8233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Light distribution </w:t>
            </w:r>
          </w:p>
        </w:tc>
        <w:tc>
          <w:tcPr>
            <w:tcW w:w="2879" w:type="dxa"/>
            <w:noWrap/>
          </w:tcPr>
          <w:p w14:paraId="08FC50C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ONLY IF CLAIMING to be an ‘omnidirectional’ lamp or replacement for a General Lighting Service (GLS) lamp.</w:t>
            </w:r>
          </w:p>
          <w:p w14:paraId="52B27FB6"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24DA382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Omnidirectional equivalence</w:t>
            </w:r>
          </w:p>
          <w:p w14:paraId="62A9954C"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1ED16FFC" w14:textId="77777777" w:rsidR="003776C5" w:rsidRPr="003776C5" w:rsidRDefault="003776C5" w:rsidP="003776C5">
            <w:pPr>
              <w:spacing w:after="0" w:line="240" w:lineRule="auto"/>
              <w:rPr>
                <w:rFonts w:ascii="Calibri" w:eastAsia="Calibri" w:hAnsi="Calibri"/>
                <w:noProof w:val="0"/>
                <w:sz w:val="22"/>
                <w:szCs w:val="22"/>
                <w:lang w:val="en-GB"/>
              </w:rPr>
            </w:pPr>
            <w:r w:rsidRPr="003776C5">
              <w:rPr>
                <w:rFonts w:ascii="Calibri" w:eastAsia="Calibri" w:hAnsi="Calibri"/>
                <w:noProof w:val="0"/>
                <w:sz w:val="22"/>
                <w:szCs w:val="22"/>
                <w:lang w:val="en-GB"/>
              </w:rPr>
              <w:t xml:space="preserve">No less than 5% of total flux (zonal lumens) shall be emitted in the 130° to 180° zone. </w:t>
            </w:r>
          </w:p>
          <w:p w14:paraId="63C1D52F" w14:textId="77777777" w:rsidR="003776C5" w:rsidRPr="003776C5" w:rsidRDefault="003776C5" w:rsidP="003776C5">
            <w:pPr>
              <w:spacing w:after="0" w:line="240" w:lineRule="auto"/>
              <w:rPr>
                <w:rFonts w:ascii="Calibri" w:eastAsia="Calibri" w:hAnsi="Calibri"/>
                <w:noProof w:val="0"/>
                <w:sz w:val="22"/>
                <w:szCs w:val="22"/>
                <w:lang w:val="en-GB"/>
              </w:rPr>
            </w:pPr>
          </w:p>
          <w:p w14:paraId="1E1C6696" w14:textId="77777777" w:rsidR="003776C5" w:rsidRPr="003776C5" w:rsidRDefault="003776C5" w:rsidP="003776C5">
            <w:pPr>
              <w:spacing w:after="0" w:line="240" w:lineRule="auto"/>
              <w:rPr>
                <w:rFonts w:ascii="Calibri" w:eastAsia="Calibri" w:hAnsi="Calibri"/>
                <w:noProof w:val="0"/>
                <w:sz w:val="22"/>
                <w:szCs w:val="22"/>
                <w:lang w:val="en-GB"/>
              </w:rPr>
            </w:pPr>
            <w:r w:rsidRPr="003776C5">
              <w:rPr>
                <w:rFonts w:ascii="Calibri" w:eastAsia="Calibri" w:hAnsi="Calibri"/>
                <w:noProof w:val="0"/>
                <w:sz w:val="22"/>
                <w:szCs w:val="22"/>
                <w:lang w:val="en-GB"/>
              </w:rPr>
              <w:t>No less than 35% of total flux (zonal lumens) shall be emitted in the 90° to 180° zone.</w:t>
            </w:r>
          </w:p>
          <w:p w14:paraId="42983B4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tc>
        <w:tc>
          <w:tcPr>
            <w:tcW w:w="2925" w:type="dxa"/>
            <w:gridSpan w:val="2"/>
          </w:tcPr>
          <w:p w14:paraId="65278BE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N/A</w:t>
            </w:r>
          </w:p>
        </w:tc>
        <w:tc>
          <w:tcPr>
            <w:tcW w:w="2896" w:type="dxa"/>
          </w:tcPr>
          <w:p w14:paraId="39300194"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N/A</w:t>
            </w:r>
          </w:p>
        </w:tc>
        <w:tc>
          <w:tcPr>
            <w:tcW w:w="1387" w:type="dxa"/>
          </w:tcPr>
          <w:p w14:paraId="01B955A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3E1679D9"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10 </w:t>
            </w:r>
          </w:p>
          <w:p w14:paraId="7F4D3F7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5187B914"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3 (Linear LED)</w:t>
            </w:r>
          </w:p>
        </w:tc>
        <w:tc>
          <w:tcPr>
            <w:tcW w:w="1566" w:type="dxa"/>
          </w:tcPr>
          <w:p w14:paraId="5ED404D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06C98385"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No less than  8 lamps (or 3 for linear LED lamps) meet the specified requirements</w:t>
            </w:r>
          </w:p>
        </w:tc>
        <w:tc>
          <w:tcPr>
            <w:tcW w:w="1418" w:type="dxa"/>
          </w:tcPr>
          <w:p w14:paraId="7BC744A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26A0C0FC"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highlight w:val="yellow"/>
                <w:lang w:eastAsia="en-AU"/>
              </w:rPr>
              <w:t>CIE S025</w:t>
            </w:r>
          </w:p>
          <w:p w14:paraId="00185DFD"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p>
          <w:p w14:paraId="41DA6F9A"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or</w:t>
            </w:r>
          </w:p>
          <w:p w14:paraId="73F845BA"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LM79 accepted until July 2021</w:t>
            </w:r>
          </w:p>
          <w:p w14:paraId="1697F5CC"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5EBD4516"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or</w:t>
            </w:r>
          </w:p>
          <w:p w14:paraId="1E103CC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6FF770D5" w14:textId="77777777" w:rsidR="003776C5" w:rsidRPr="003776C5" w:rsidRDefault="003776C5" w:rsidP="003776C5">
            <w:pPr>
              <w:spacing w:after="0" w:line="240" w:lineRule="auto"/>
              <w:rPr>
                <w:rFonts w:ascii="Verdana" w:eastAsia="Calibri" w:hAnsi="Verdana"/>
                <w:noProof w:val="0"/>
                <w:color w:val="121214"/>
                <w:sz w:val="18"/>
                <w:szCs w:val="18"/>
                <w:shd w:val="clear" w:color="auto" w:fill="FCFCFC"/>
              </w:rPr>
            </w:pPr>
            <w:r w:rsidRPr="003776C5">
              <w:rPr>
                <w:rFonts w:ascii="Verdana" w:eastAsia="Calibri" w:hAnsi="Verdana"/>
                <w:noProof w:val="0"/>
                <w:color w:val="121214"/>
                <w:sz w:val="18"/>
                <w:szCs w:val="18"/>
                <w:shd w:val="clear" w:color="auto" w:fill="FCFCFC"/>
              </w:rPr>
              <w:t>EN 13032-4:2015</w:t>
            </w:r>
          </w:p>
          <w:p w14:paraId="02B0887B"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p>
        </w:tc>
      </w:tr>
    </w:tbl>
    <w:p w14:paraId="7A633BBE" w14:textId="77777777" w:rsidR="003776C5" w:rsidRPr="003776C5" w:rsidRDefault="003776C5" w:rsidP="003776C5">
      <w:pPr>
        <w:spacing w:after="200" w:line="276" w:lineRule="auto"/>
        <w:rPr>
          <w:rFonts w:ascii="Calibri" w:eastAsia="Calibri" w:hAnsi="Calibri"/>
          <w:noProof w:val="0"/>
          <w:sz w:val="22"/>
          <w:szCs w:val="22"/>
        </w:rPr>
      </w:pPr>
    </w:p>
    <w:p w14:paraId="4BF7E0CF" w14:textId="77777777" w:rsidR="003776C5" w:rsidRPr="003776C5" w:rsidRDefault="003776C5" w:rsidP="003776C5">
      <w:pPr>
        <w:spacing w:after="200" w:line="276" w:lineRule="auto"/>
        <w:rPr>
          <w:rFonts w:ascii="Calibri" w:eastAsia="Calibri" w:hAnsi="Calibri"/>
          <w:b/>
          <w:noProof w:val="0"/>
          <w:sz w:val="22"/>
          <w:szCs w:val="22"/>
        </w:rPr>
        <w:sectPr w:rsidR="003776C5" w:rsidRPr="003776C5" w:rsidSect="006B00C9">
          <w:headerReference w:type="default" r:id="rId62"/>
          <w:footerReference w:type="default" r:id="rId63"/>
          <w:pgSz w:w="16838" w:h="11906" w:orient="landscape"/>
          <w:pgMar w:top="993" w:right="1440" w:bottom="993" w:left="1440" w:header="708" w:footer="307" w:gutter="0"/>
          <w:cols w:space="708"/>
          <w:docGrid w:linePitch="360"/>
        </w:sectPr>
      </w:pPr>
      <w:r w:rsidRPr="003776C5">
        <w:rPr>
          <w:rFonts w:ascii="Calibri" w:eastAsia="Calibri" w:hAnsi="Calibri"/>
          <w:b/>
          <w:noProof w:val="0"/>
          <w:sz w:val="22"/>
          <w:szCs w:val="22"/>
        </w:rPr>
        <w:br w:type="textWrapping" w:clear="all"/>
      </w:r>
    </w:p>
    <w:p w14:paraId="7F78378B" w14:textId="77777777" w:rsidR="003776C5" w:rsidRPr="003776C5" w:rsidRDefault="003776C5" w:rsidP="00550A49">
      <w:pPr>
        <w:keepNext/>
        <w:keepLines/>
        <w:spacing w:before="480" w:after="0" w:line="276" w:lineRule="auto"/>
        <w:outlineLvl w:val="0"/>
        <w:rPr>
          <w:rFonts w:ascii="Cambria" w:eastAsia="Times New Roman" w:hAnsi="Cambria"/>
          <w:b/>
          <w:bCs/>
          <w:noProof w:val="0"/>
          <w:color w:val="365F91"/>
          <w:sz w:val="28"/>
          <w:szCs w:val="28"/>
        </w:rPr>
      </w:pPr>
      <w:bookmarkStart w:id="99" w:name="_Toc491942548"/>
      <w:r w:rsidRPr="003776C5">
        <w:rPr>
          <w:rFonts w:ascii="Cambria" w:eastAsia="Times New Roman" w:hAnsi="Cambria"/>
          <w:b/>
          <w:bCs/>
          <w:noProof w:val="0"/>
          <w:color w:val="365F91"/>
          <w:sz w:val="28"/>
          <w:szCs w:val="28"/>
        </w:rPr>
        <w:t>Table 2: Proposed test methods and nominated parameters</w:t>
      </w:r>
      <w:bookmarkEnd w:id="99"/>
    </w:p>
    <w:tbl>
      <w:tblPr>
        <w:tblStyle w:val="TableGrid2"/>
        <w:tblW w:w="13183" w:type="dxa"/>
        <w:tblInd w:w="-459" w:type="dxa"/>
        <w:tblLayout w:type="fixed"/>
        <w:tblLook w:val="04A0" w:firstRow="1" w:lastRow="0" w:firstColumn="1" w:lastColumn="0" w:noHBand="0" w:noVBand="1"/>
        <w:tblDescription w:val="Table setting out test methods and the nominated parameters covered by the test method."/>
      </w:tblPr>
      <w:tblGrid>
        <w:gridCol w:w="993"/>
        <w:gridCol w:w="5953"/>
        <w:gridCol w:w="6237"/>
      </w:tblGrid>
      <w:tr w:rsidR="003776C5" w:rsidRPr="003776C5" w14:paraId="2ED57EBF" w14:textId="77777777" w:rsidTr="003776C5">
        <w:trPr>
          <w:trHeight w:val="608"/>
          <w:tblHeader/>
        </w:trPr>
        <w:tc>
          <w:tcPr>
            <w:tcW w:w="993" w:type="dxa"/>
            <w:shd w:val="clear" w:color="auto" w:fill="548DD4"/>
          </w:tcPr>
          <w:p w14:paraId="41F7C13D" w14:textId="77777777" w:rsidR="003776C5" w:rsidRPr="003776C5" w:rsidRDefault="003776C5" w:rsidP="003776C5">
            <w:pPr>
              <w:spacing w:after="0" w:line="240" w:lineRule="auto"/>
              <w:jc w:val="center"/>
              <w:rPr>
                <w:rFonts w:ascii="Calibri" w:eastAsia="Times New Roman" w:hAnsi="Calibri"/>
                <w:bCs/>
                <w:noProof w:val="0"/>
                <w:color w:val="FFFFFF"/>
                <w:sz w:val="16"/>
                <w:szCs w:val="16"/>
                <w:lang w:eastAsia="en-AU"/>
              </w:rPr>
            </w:pPr>
            <w:r w:rsidRPr="003776C5">
              <w:rPr>
                <w:rFonts w:ascii="Calibri" w:eastAsia="Times New Roman" w:hAnsi="Calibri"/>
                <w:bCs/>
                <w:noProof w:val="0"/>
                <w:color w:val="FFFFFF"/>
                <w:sz w:val="16"/>
                <w:szCs w:val="16"/>
                <w:lang w:eastAsia="en-AU"/>
              </w:rPr>
              <w:t>Ref</w:t>
            </w:r>
          </w:p>
        </w:tc>
        <w:tc>
          <w:tcPr>
            <w:tcW w:w="5953" w:type="dxa"/>
            <w:shd w:val="clear" w:color="auto" w:fill="548DD4"/>
            <w:vAlign w:val="center"/>
          </w:tcPr>
          <w:p w14:paraId="58BD10CF" w14:textId="77777777" w:rsidR="003776C5" w:rsidRPr="003776C5" w:rsidRDefault="003776C5" w:rsidP="003776C5">
            <w:pPr>
              <w:spacing w:after="0" w:line="240" w:lineRule="auto"/>
              <w:jc w:val="center"/>
              <w:rPr>
                <w:rFonts w:ascii="Calibri" w:eastAsia="Times New Roman" w:hAnsi="Calibri"/>
                <w:bCs/>
                <w:noProof w:val="0"/>
                <w:color w:val="FFFFFF"/>
                <w:sz w:val="28"/>
                <w:szCs w:val="28"/>
                <w:lang w:eastAsia="en-AU"/>
              </w:rPr>
            </w:pPr>
            <w:r w:rsidRPr="003776C5">
              <w:rPr>
                <w:rFonts w:ascii="Calibri" w:eastAsia="Times New Roman" w:hAnsi="Calibri"/>
                <w:bCs/>
                <w:noProof w:val="0"/>
                <w:color w:val="FFFFFF"/>
                <w:sz w:val="28"/>
                <w:szCs w:val="28"/>
                <w:lang w:eastAsia="en-AU"/>
              </w:rPr>
              <w:t>Test method</w:t>
            </w:r>
          </w:p>
        </w:tc>
        <w:tc>
          <w:tcPr>
            <w:tcW w:w="6237" w:type="dxa"/>
            <w:shd w:val="clear" w:color="auto" w:fill="548DD4"/>
            <w:vAlign w:val="center"/>
          </w:tcPr>
          <w:p w14:paraId="683AB242" w14:textId="77777777" w:rsidR="003776C5" w:rsidRPr="003776C5" w:rsidRDefault="003776C5" w:rsidP="003776C5">
            <w:pPr>
              <w:spacing w:after="0" w:line="240" w:lineRule="auto"/>
              <w:jc w:val="center"/>
              <w:rPr>
                <w:rFonts w:ascii="Calibri" w:eastAsia="Times New Roman" w:hAnsi="Calibri"/>
                <w:bCs/>
                <w:noProof w:val="0"/>
                <w:color w:val="FFFFFF"/>
                <w:sz w:val="28"/>
                <w:szCs w:val="28"/>
                <w:lang w:eastAsia="en-AU"/>
              </w:rPr>
            </w:pPr>
            <w:r w:rsidRPr="003776C5">
              <w:rPr>
                <w:rFonts w:ascii="Calibri" w:eastAsia="Times New Roman" w:hAnsi="Calibri"/>
                <w:bCs/>
                <w:noProof w:val="0"/>
                <w:color w:val="FFFFFF"/>
                <w:sz w:val="28"/>
                <w:szCs w:val="28"/>
                <w:lang w:eastAsia="en-AU"/>
              </w:rPr>
              <w:t>Attribute</w:t>
            </w:r>
          </w:p>
        </w:tc>
      </w:tr>
      <w:tr w:rsidR="003776C5" w:rsidRPr="003776C5" w14:paraId="460D1169" w14:textId="77777777" w:rsidTr="006B00C9">
        <w:trPr>
          <w:trHeight w:val="294"/>
        </w:trPr>
        <w:tc>
          <w:tcPr>
            <w:tcW w:w="993" w:type="dxa"/>
          </w:tcPr>
          <w:p w14:paraId="4F6C2706"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1</w:t>
            </w:r>
          </w:p>
        </w:tc>
        <w:tc>
          <w:tcPr>
            <w:tcW w:w="5953" w:type="dxa"/>
          </w:tcPr>
          <w:p w14:paraId="0321EF85" w14:textId="77777777" w:rsidR="003776C5" w:rsidRPr="003776C5" w:rsidRDefault="003776C5" w:rsidP="003776C5">
            <w:pPr>
              <w:spacing w:after="0" w:line="240" w:lineRule="auto"/>
              <w:rPr>
                <w:rFonts w:ascii="Calibri" w:eastAsia="Times New Roman" w:hAnsi="Calibri" w:cs="Calibri"/>
                <w:noProof w:val="0"/>
                <w:color w:val="000000"/>
                <w:sz w:val="22"/>
                <w:szCs w:val="22"/>
                <w:lang w:eastAsia="en-AU"/>
              </w:rPr>
            </w:pPr>
            <w:r w:rsidRPr="003776C5">
              <w:rPr>
                <w:rFonts w:ascii="Calibri" w:eastAsia="Times New Roman" w:hAnsi="Calibri" w:cs="Calibri"/>
                <w:noProof w:val="0"/>
                <w:color w:val="000000"/>
                <w:sz w:val="22"/>
                <w:szCs w:val="22"/>
                <w:lang w:eastAsia="en-AU"/>
              </w:rPr>
              <w:t>CIE S025</w:t>
            </w:r>
          </w:p>
          <w:p w14:paraId="47EE68BB" w14:textId="77777777" w:rsidR="003776C5" w:rsidRPr="003776C5" w:rsidRDefault="003776C5" w:rsidP="003776C5">
            <w:pPr>
              <w:spacing w:after="0" w:line="240" w:lineRule="auto"/>
              <w:rPr>
                <w:rFonts w:ascii="Calibri" w:eastAsia="Times New Roman" w:hAnsi="Calibri" w:cs="Calibri"/>
                <w:noProof w:val="0"/>
                <w:color w:val="000000"/>
                <w:sz w:val="22"/>
                <w:szCs w:val="22"/>
                <w:lang w:eastAsia="en-AU"/>
              </w:rPr>
            </w:pPr>
          </w:p>
          <w:p w14:paraId="2034963E" w14:textId="77777777" w:rsidR="003776C5" w:rsidRPr="003776C5" w:rsidRDefault="003776C5" w:rsidP="003776C5">
            <w:pPr>
              <w:spacing w:after="0" w:line="240" w:lineRule="auto"/>
              <w:rPr>
                <w:rFonts w:ascii="Calibri" w:eastAsia="Times New Roman" w:hAnsi="Calibri" w:cs="Calibri"/>
                <w:noProof w:val="0"/>
                <w:color w:val="000000"/>
                <w:sz w:val="18"/>
                <w:szCs w:val="22"/>
                <w:lang w:eastAsia="en-AU"/>
              </w:rPr>
            </w:pPr>
            <w:r w:rsidRPr="003776C5">
              <w:rPr>
                <w:rFonts w:ascii="Calibri" w:eastAsia="Times New Roman" w:hAnsi="Calibri" w:cs="Calibri"/>
                <w:noProof w:val="0"/>
                <w:color w:val="000000"/>
                <w:sz w:val="18"/>
                <w:szCs w:val="22"/>
                <w:lang w:eastAsia="en-AU"/>
              </w:rPr>
              <w:t>(or</w:t>
            </w:r>
          </w:p>
          <w:p w14:paraId="1C749DDF" w14:textId="77777777" w:rsidR="003776C5" w:rsidRPr="003776C5" w:rsidRDefault="003776C5" w:rsidP="003776C5">
            <w:pPr>
              <w:spacing w:after="0" w:line="240" w:lineRule="auto"/>
              <w:rPr>
                <w:rFonts w:ascii="Calibri" w:eastAsia="Times New Roman" w:hAnsi="Calibri" w:cs="Calibri"/>
                <w:noProof w:val="0"/>
                <w:color w:val="000000"/>
                <w:sz w:val="18"/>
                <w:szCs w:val="22"/>
                <w:lang w:eastAsia="en-AU"/>
              </w:rPr>
            </w:pPr>
            <w:r w:rsidRPr="003776C5">
              <w:rPr>
                <w:rFonts w:ascii="Calibri" w:eastAsia="Times New Roman" w:hAnsi="Calibri" w:cs="Calibri"/>
                <w:noProof w:val="0"/>
                <w:color w:val="000000"/>
                <w:sz w:val="18"/>
                <w:szCs w:val="22"/>
                <w:lang w:eastAsia="en-AU"/>
              </w:rPr>
              <w:t>LM79 accepted until July 2021</w:t>
            </w:r>
          </w:p>
          <w:p w14:paraId="40D92338" w14:textId="77777777" w:rsidR="003776C5" w:rsidRPr="003776C5" w:rsidRDefault="003776C5" w:rsidP="003776C5">
            <w:pPr>
              <w:spacing w:after="0" w:line="240" w:lineRule="auto"/>
              <w:rPr>
                <w:rFonts w:ascii="Calibri" w:eastAsia="Times New Roman" w:hAnsi="Calibri" w:cs="Calibri"/>
                <w:noProof w:val="0"/>
                <w:color w:val="000000"/>
                <w:sz w:val="18"/>
                <w:szCs w:val="22"/>
                <w:lang w:eastAsia="en-AU"/>
              </w:rPr>
            </w:pPr>
            <w:r w:rsidRPr="003776C5">
              <w:rPr>
                <w:rFonts w:ascii="Calibri" w:eastAsia="Times New Roman" w:hAnsi="Calibri" w:cs="Calibri"/>
                <w:noProof w:val="0"/>
                <w:color w:val="000000"/>
                <w:sz w:val="18"/>
                <w:szCs w:val="22"/>
                <w:lang w:eastAsia="en-AU"/>
              </w:rPr>
              <w:t>or</w:t>
            </w:r>
          </w:p>
          <w:p w14:paraId="6528DF74" w14:textId="77777777" w:rsidR="003776C5" w:rsidRPr="003776C5" w:rsidRDefault="003776C5" w:rsidP="003776C5">
            <w:pPr>
              <w:spacing w:after="0" w:line="240" w:lineRule="auto"/>
              <w:rPr>
                <w:rFonts w:ascii="Calibri" w:eastAsia="Calibri" w:hAnsi="Calibri" w:cs="Calibri"/>
                <w:noProof w:val="0"/>
                <w:color w:val="121214"/>
                <w:sz w:val="18"/>
                <w:szCs w:val="18"/>
                <w:shd w:val="clear" w:color="auto" w:fill="FCFCFC"/>
              </w:rPr>
            </w:pPr>
            <w:r w:rsidRPr="003776C5">
              <w:rPr>
                <w:rFonts w:ascii="Calibri" w:eastAsia="Calibri" w:hAnsi="Calibri" w:cs="Calibri"/>
                <w:noProof w:val="0"/>
                <w:color w:val="121214"/>
                <w:sz w:val="18"/>
                <w:szCs w:val="18"/>
                <w:shd w:val="clear" w:color="auto" w:fill="FCFCFC"/>
              </w:rPr>
              <w:t>EN 13032-4:2015)</w:t>
            </w:r>
          </w:p>
          <w:p w14:paraId="6C114340" w14:textId="77777777" w:rsidR="003776C5" w:rsidRPr="003776C5" w:rsidRDefault="003776C5" w:rsidP="003776C5">
            <w:pPr>
              <w:spacing w:after="0" w:line="240" w:lineRule="auto"/>
              <w:rPr>
                <w:rFonts w:ascii="Calibri" w:eastAsia="Calibri" w:hAnsi="Calibri" w:cs="Calibri"/>
                <w:noProof w:val="0"/>
                <w:color w:val="121214"/>
                <w:sz w:val="18"/>
                <w:szCs w:val="18"/>
                <w:shd w:val="clear" w:color="auto" w:fill="FCFCFC"/>
              </w:rPr>
            </w:pPr>
          </w:p>
          <w:p w14:paraId="6D4DCD7B" w14:textId="77777777" w:rsidR="003776C5" w:rsidRPr="003776C5" w:rsidRDefault="003776C5" w:rsidP="003776C5">
            <w:pPr>
              <w:spacing w:after="240" w:line="240" w:lineRule="auto"/>
              <w:rPr>
                <w:rFonts w:ascii="Calibri" w:eastAsia="Times New Roman" w:hAnsi="Calibri" w:cs="Calibri"/>
                <w:noProof w:val="0"/>
                <w:color w:val="000000"/>
                <w:sz w:val="22"/>
                <w:szCs w:val="22"/>
                <w:highlight w:val="lightGray"/>
                <w:lang w:eastAsia="en-AU"/>
              </w:rPr>
            </w:pPr>
            <w:r w:rsidRPr="003776C5">
              <w:rPr>
                <w:rFonts w:ascii="Calibri" w:eastAsia="Times New Roman" w:hAnsi="Calibri" w:cs="Calibri"/>
                <w:noProof w:val="0"/>
                <w:color w:val="000000"/>
                <w:sz w:val="22"/>
                <w:szCs w:val="22"/>
                <w:lang w:eastAsia="en-AU"/>
              </w:rPr>
              <w:t>(All refer to CIE S015 &amp; CIE 13.3 for colour measurements)</w:t>
            </w:r>
          </w:p>
        </w:tc>
        <w:tc>
          <w:tcPr>
            <w:tcW w:w="6237" w:type="dxa"/>
          </w:tcPr>
          <w:p w14:paraId="5CD0E2CA" w14:textId="77777777" w:rsidR="003776C5" w:rsidRPr="003776C5" w:rsidRDefault="003776C5" w:rsidP="003776C5">
            <w:pPr>
              <w:numPr>
                <w:ilvl w:val="0"/>
                <w:numId w:val="30"/>
              </w:numPr>
              <w:spacing w:after="0" w:line="276"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Luminous flux</w:t>
            </w:r>
          </w:p>
          <w:p w14:paraId="54994A01" w14:textId="77777777" w:rsidR="003776C5" w:rsidRPr="003776C5" w:rsidRDefault="003776C5" w:rsidP="003776C5">
            <w:pPr>
              <w:numPr>
                <w:ilvl w:val="0"/>
                <w:numId w:val="30"/>
              </w:numPr>
              <w:spacing w:after="0" w:line="276"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Power</w:t>
            </w:r>
          </w:p>
          <w:p w14:paraId="17B8F46A" w14:textId="77777777" w:rsidR="003776C5" w:rsidRPr="003776C5" w:rsidRDefault="003776C5" w:rsidP="003776C5">
            <w:pPr>
              <w:numPr>
                <w:ilvl w:val="0"/>
                <w:numId w:val="30"/>
              </w:numPr>
              <w:spacing w:after="0" w:line="276"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Efficacy</w:t>
            </w:r>
          </w:p>
          <w:p w14:paraId="2D853723" w14:textId="77777777" w:rsidR="003776C5" w:rsidRPr="003776C5" w:rsidRDefault="003776C5" w:rsidP="003776C5">
            <w:pPr>
              <w:numPr>
                <w:ilvl w:val="0"/>
                <w:numId w:val="30"/>
              </w:numPr>
              <w:spacing w:after="0" w:line="276"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Colour Appearance (CCT, x, y)</w:t>
            </w:r>
          </w:p>
          <w:p w14:paraId="6AA10F21" w14:textId="77777777" w:rsidR="003776C5" w:rsidRPr="003776C5" w:rsidRDefault="003776C5" w:rsidP="003776C5">
            <w:pPr>
              <w:numPr>
                <w:ilvl w:val="0"/>
                <w:numId w:val="30"/>
              </w:numPr>
              <w:spacing w:after="0" w:line="276"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Colour Rendering (CRI)</w:t>
            </w:r>
          </w:p>
          <w:p w14:paraId="3FCE67E3" w14:textId="77777777" w:rsidR="003776C5" w:rsidRPr="003776C5" w:rsidRDefault="003776C5" w:rsidP="003776C5">
            <w:pPr>
              <w:numPr>
                <w:ilvl w:val="0"/>
                <w:numId w:val="30"/>
              </w:numPr>
              <w:spacing w:after="0" w:line="276" w:lineRule="auto"/>
              <w:rPr>
                <w:rFonts w:ascii="Calibri" w:eastAsia="Times New Roman" w:hAnsi="Calibri"/>
                <w:noProof w:val="0"/>
                <w:sz w:val="22"/>
                <w:szCs w:val="22"/>
                <w:lang w:eastAsia="en-AU"/>
              </w:rPr>
            </w:pPr>
            <w:r w:rsidRPr="003776C5">
              <w:rPr>
                <w:rFonts w:ascii="Calibri" w:eastAsia="Times New Roman" w:hAnsi="Calibri"/>
                <w:noProof w:val="0"/>
                <w:sz w:val="22"/>
                <w:szCs w:val="22"/>
                <w:lang w:eastAsia="en-AU"/>
              </w:rPr>
              <w:t>Centre beam luminous intensity (directional lamps only)</w:t>
            </w:r>
          </w:p>
          <w:p w14:paraId="6C7455D1" w14:textId="77777777" w:rsidR="003776C5" w:rsidRPr="003776C5" w:rsidRDefault="003776C5" w:rsidP="003776C5">
            <w:pPr>
              <w:numPr>
                <w:ilvl w:val="0"/>
                <w:numId w:val="30"/>
              </w:numPr>
              <w:spacing w:after="0" w:line="276" w:lineRule="auto"/>
              <w:rPr>
                <w:rFonts w:ascii="Calibri" w:eastAsia="Times New Roman" w:hAnsi="Calibri"/>
                <w:noProof w:val="0"/>
                <w:color w:val="000000"/>
                <w:sz w:val="22"/>
                <w:szCs w:val="22"/>
                <w:lang w:eastAsia="en-AU"/>
              </w:rPr>
            </w:pPr>
            <w:r w:rsidRPr="003776C5">
              <w:rPr>
                <w:rFonts w:ascii="Calibri" w:eastAsia="Times New Roman" w:hAnsi="Calibri"/>
                <w:noProof w:val="0"/>
                <w:sz w:val="22"/>
                <w:szCs w:val="22"/>
                <w:lang w:eastAsia="en-AU"/>
              </w:rPr>
              <w:t>Beam Angle (directional lamps only)</w:t>
            </w:r>
          </w:p>
        </w:tc>
      </w:tr>
      <w:tr w:rsidR="003776C5" w:rsidRPr="003776C5" w14:paraId="529DB805" w14:textId="77777777" w:rsidTr="006B00C9">
        <w:trPr>
          <w:trHeight w:val="273"/>
        </w:trPr>
        <w:tc>
          <w:tcPr>
            <w:tcW w:w="993" w:type="dxa"/>
          </w:tcPr>
          <w:p w14:paraId="7E61C4EE"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2</w:t>
            </w:r>
          </w:p>
        </w:tc>
        <w:tc>
          <w:tcPr>
            <w:tcW w:w="5953" w:type="dxa"/>
          </w:tcPr>
          <w:p w14:paraId="07CCCBDC" w14:textId="77777777" w:rsidR="003776C5" w:rsidRPr="003776C5" w:rsidRDefault="003776C5" w:rsidP="003776C5">
            <w:pPr>
              <w:numPr>
                <w:ilvl w:val="0"/>
                <w:numId w:val="31"/>
              </w:numPr>
              <w:spacing w:after="0" w:line="240" w:lineRule="auto"/>
              <w:ind w:left="360"/>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IEC 62612: 2013, Section 11.3: </w:t>
            </w:r>
            <w:r w:rsidRPr="003776C5">
              <w:rPr>
                <w:rFonts w:ascii="Calibri" w:eastAsia="Times New Roman" w:hAnsi="Calibri"/>
                <w:noProof w:val="0"/>
                <w:color w:val="000000"/>
                <w:sz w:val="22"/>
                <w:szCs w:val="22"/>
                <w:lang w:eastAsia="en-AU"/>
              </w:rPr>
              <w:tab/>
            </w:r>
            <w:r w:rsidRPr="003776C5">
              <w:rPr>
                <w:rFonts w:ascii="Calibri" w:eastAsia="Times New Roman" w:hAnsi="Calibri"/>
                <w:noProof w:val="0"/>
                <w:color w:val="000000"/>
                <w:sz w:val="22"/>
                <w:szCs w:val="22"/>
                <w:lang w:eastAsia="en-AU"/>
              </w:rPr>
              <w:tab/>
              <w:t xml:space="preserve">Lamps </w:t>
            </w:r>
          </w:p>
          <w:p w14:paraId="56B571E4"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09DF0FCC" w14:textId="77777777" w:rsidR="003776C5" w:rsidRPr="003776C5" w:rsidRDefault="003776C5" w:rsidP="003776C5">
            <w:pPr>
              <w:numPr>
                <w:ilvl w:val="0"/>
                <w:numId w:val="31"/>
              </w:numPr>
              <w:spacing w:after="0" w:line="240" w:lineRule="auto"/>
              <w:ind w:left="360"/>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IEC 62717: 2014, Section 10.3:</w:t>
            </w:r>
            <w:r w:rsidRPr="003776C5">
              <w:rPr>
                <w:rFonts w:ascii="Calibri" w:eastAsia="Times New Roman" w:hAnsi="Calibri"/>
                <w:noProof w:val="0"/>
                <w:color w:val="000000"/>
                <w:sz w:val="22"/>
                <w:szCs w:val="22"/>
                <w:lang w:eastAsia="en-AU"/>
              </w:rPr>
              <w:tab/>
            </w:r>
            <w:r w:rsidRPr="003776C5">
              <w:rPr>
                <w:rFonts w:ascii="Calibri" w:eastAsia="Times New Roman" w:hAnsi="Calibri"/>
                <w:noProof w:val="0"/>
                <w:color w:val="000000"/>
                <w:sz w:val="22"/>
                <w:szCs w:val="22"/>
                <w:lang w:eastAsia="en-AU"/>
              </w:rPr>
              <w:tab/>
              <w:t xml:space="preserve">Modules </w:t>
            </w:r>
          </w:p>
          <w:p w14:paraId="4D6DC207"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06B953DF" w14:textId="77777777" w:rsidR="003776C5" w:rsidRPr="003776C5" w:rsidRDefault="003776C5" w:rsidP="003776C5">
            <w:pPr>
              <w:numPr>
                <w:ilvl w:val="0"/>
                <w:numId w:val="31"/>
              </w:numPr>
              <w:spacing w:after="0" w:line="240" w:lineRule="auto"/>
              <w:ind w:left="360"/>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IEC 62722.2.1: 2011, Section 10.3.2-4: </w:t>
            </w:r>
            <w:r w:rsidRPr="003776C5">
              <w:rPr>
                <w:rFonts w:ascii="Calibri" w:eastAsia="Times New Roman" w:hAnsi="Calibri"/>
                <w:noProof w:val="0"/>
                <w:color w:val="000000"/>
                <w:sz w:val="22"/>
                <w:szCs w:val="22"/>
                <w:lang w:eastAsia="en-AU"/>
              </w:rPr>
              <w:tab/>
              <w:t xml:space="preserve">Luminaires </w:t>
            </w:r>
          </w:p>
          <w:p w14:paraId="0ED356E0" w14:textId="77777777" w:rsidR="003776C5" w:rsidRPr="003776C5" w:rsidRDefault="003776C5" w:rsidP="003776C5">
            <w:pPr>
              <w:spacing w:after="0" w:line="240" w:lineRule="auto"/>
              <w:rPr>
                <w:rFonts w:ascii="Calibri" w:eastAsia="Times New Roman" w:hAnsi="Calibri"/>
                <w:noProof w:val="0"/>
                <w:color w:val="000000"/>
                <w:sz w:val="22"/>
                <w:szCs w:val="22"/>
                <w:highlight w:val="lightGray"/>
                <w:lang w:eastAsia="en-AU"/>
              </w:rPr>
            </w:pPr>
          </w:p>
        </w:tc>
        <w:tc>
          <w:tcPr>
            <w:tcW w:w="6237" w:type="dxa"/>
          </w:tcPr>
          <w:p w14:paraId="5CB88014" w14:textId="77777777" w:rsidR="003776C5" w:rsidRPr="003776C5" w:rsidRDefault="003776C5" w:rsidP="003776C5">
            <w:pPr>
              <w:spacing w:after="0" w:line="276"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Endurance</w:t>
            </w:r>
          </w:p>
          <w:p w14:paraId="2D165BA7" w14:textId="77777777" w:rsidR="003776C5" w:rsidRPr="003776C5" w:rsidRDefault="003776C5" w:rsidP="003776C5">
            <w:pPr>
              <w:numPr>
                <w:ilvl w:val="0"/>
                <w:numId w:val="33"/>
              </w:numPr>
              <w:spacing w:after="0" w:line="276"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Switching cycles test</w:t>
            </w:r>
          </w:p>
          <w:p w14:paraId="4DC6EE15" w14:textId="77777777" w:rsidR="003776C5" w:rsidRPr="003776C5" w:rsidRDefault="003776C5" w:rsidP="003776C5">
            <w:pPr>
              <w:numPr>
                <w:ilvl w:val="0"/>
                <w:numId w:val="33"/>
              </w:numPr>
              <w:spacing w:after="0" w:line="276"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Temperature cycling test</w:t>
            </w:r>
          </w:p>
          <w:p w14:paraId="63A8825B" w14:textId="77777777" w:rsidR="003776C5" w:rsidRPr="003776C5" w:rsidRDefault="003776C5" w:rsidP="003776C5">
            <w:pPr>
              <w:numPr>
                <w:ilvl w:val="0"/>
                <w:numId w:val="33"/>
              </w:numPr>
              <w:spacing w:after="0" w:line="276"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Accelerated operational life test</w:t>
            </w:r>
          </w:p>
        </w:tc>
      </w:tr>
      <w:tr w:rsidR="003776C5" w:rsidRPr="003776C5" w14:paraId="01FC2E44" w14:textId="77777777" w:rsidTr="006B00C9">
        <w:trPr>
          <w:trHeight w:val="1353"/>
        </w:trPr>
        <w:tc>
          <w:tcPr>
            <w:tcW w:w="993" w:type="dxa"/>
          </w:tcPr>
          <w:p w14:paraId="07A9854A"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3</w:t>
            </w:r>
          </w:p>
        </w:tc>
        <w:tc>
          <w:tcPr>
            <w:tcW w:w="5953" w:type="dxa"/>
          </w:tcPr>
          <w:p w14:paraId="0D6B29D3" w14:textId="77777777" w:rsidR="003776C5" w:rsidRPr="003776C5" w:rsidRDefault="003776C5" w:rsidP="003776C5">
            <w:pPr>
              <w:spacing w:after="0" w:line="240" w:lineRule="auto"/>
              <w:rPr>
                <w:rFonts w:ascii="Calibri" w:eastAsia="Times New Roman" w:hAnsi="Calibri" w:cs="Calibri"/>
                <w:noProof w:val="0"/>
                <w:color w:val="000000"/>
                <w:sz w:val="22"/>
                <w:szCs w:val="22"/>
                <w:lang w:eastAsia="en-AU"/>
              </w:rPr>
            </w:pPr>
            <w:r w:rsidRPr="003776C5">
              <w:rPr>
                <w:rFonts w:ascii="Calibri" w:eastAsia="Times New Roman" w:hAnsi="Calibri" w:cs="Calibri"/>
                <w:noProof w:val="0"/>
                <w:color w:val="000000"/>
                <w:sz w:val="22"/>
                <w:szCs w:val="22"/>
                <w:lang w:eastAsia="en-AU"/>
              </w:rPr>
              <w:t xml:space="preserve">IESNA LM80/TM21 </w:t>
            </w:r>
          </w:p>
          <w:p w14:paraId="63303122" w14:textId="77777777" w:rsidR="003776C5" w:rsidRPr="003776C5" w:rsidRDefault="003776C5" w:rsidP="003776C5">
            <w:pPr>
              <w:spacing w:after="0" w:line="240" w:lineRule="auto"/>
              <w:rPr>
                <w:rFonts w:ascii="Calibri" w:eastAsia="Times New Roman" w:hAnsi="Calibri" w:cs="Calibri"/>
                <w:noProof w:val="0"/>
                <w:color w:val="000000"/>
                <w:sz w:val="22"/>
                <w:szCs w:val="22"/>
                <w:lang w:eastAsia="en-AU"/>
              </w:rPr>
            </w:pPr>
            <w:r w:rsidRPr="003776C5">
              <w:rPr>
                <w:rFonts w:ascii="Calibri" w:eastAsia="Times New Roman" w:hAnsi="Calibri" w:cs="Calibri"/>
                <w:noProof w:val="0"/>
                <w:color w:val="000000"/>
                <w:sz w:val="22"/>
                <w:szCs w:val="22"/>
                <w:lang w:eastAsia="en-AU"/>
              </w:rPr>
              <w:t>&amp;</w:t>
            </w:r>
          </w:p>
          <w:p w14:paraId="4AD9C901" w14:textId="77777777" w:rsidR="003776C5" w:rsidRPr="003776C5" w:rsidRDefault="003776C5" w:rsidP="003776C5">
            <w:pPr>
              <w:spacing w:after="0" w:line="240" w:lineRule="auto"/>
              <w:rPr>
                <w:rFonts w:ascii="Calibri" w:eastAsia="Times New Roman" w:hAnsi="Calibri" w:cs="Calibri"/>
                <w:noProof w:val="0"/>
                <w:color w:val="000000"/>
                <w:sz w:val="22"/>
                <w:szCs w:val="22"/>
                <w:lang w:eastAsia="en-AU"/>
              </w:rPr>
            </w:pPr>
            <w:r w:rsidRPr="003776C5">
              <w:rPr>
                <w:rFonts w:ascii="Calibri" w:eastAsia="Times New Roman" w:hAnsi="Calibri" w:cs="Calibri"/>
                <w:noProof w:val="0"/>
                <w:color w:val="000000"/>
                <w:sz w:val="22"/>
                <w:szCs w:val="22"/>
                <w:lang w:eastAsia="en-AU"/>
              </w:rPr>
              <w:t xml:space="preserve">ISTMT (to IEC 60598.1 Section 12.4.1 or UL 1598 Clause 14) </w:t>
            </w:r>
          </w:p>
          <w:p w14:paraId="20011B89" w14:textId="77777777" w:rsidR="003776C5" w:rsidRPr="003776C5" w:rsidRDefault="003776C5" w:rsidP="003776C5">
            <w:pPr>
              <w:spacing w:after="0" w:line="240" w:lineRule="auto"/>
              <w:rPr>
                <w:rFonts w:ascii="Calibri" w:eastAsia="Times New Roman" w:hAnsi="Calibri" w:cs="Calibri"/>
                <w:noProof w:val="0"/>
                <w:color w:val="000000"/>
                <w:sz w:val="22"/>
                <w:szCs w:val="22"/>
                <w:lang w:eastAsia="en-AU"/>
              </w:rPr>
            </w:pPr>
          </w:p>
          <w:p w14:paraId="658A0705" w14:textId="77777777" w:rsidR="003776C5" w:rsidRPr="003776C5" w:rsidRDefault="003776C5" w:rsidP="003776C5">
            <w:pPr>
              <w:spacing w:after="0" w:line="240" w:lineRule="auto"/>
              <w:rPr>
                <w:rFonts w:ascii="Calibri" w:eastAsia="Times New Roman" w:hAnsi="Calibri" w:cs="Calibri"/>
                <w:noProof w:val="0"/>
                <w:color w:val="000000"/>
                <w:sz w:val="22"/>
                <w:szCs w:val="22"/>
                <w:lang w:eastAsia="en-AU"/>
              </w:rPr>
            </w:pPr>
            <w:r w:rsidRPr="003776C5">
              <w:rPr>
                <w:rFonts w:ascii="Calibri" w:eastAsia="Times New Roman" w:hAnsi="Calibri" w:cs="Calibri"/>
                <w:noProof w:val="0"/>
                <w:color w:val="000000"/>
                <w:sz w:val="18"/>
                <w:szCs w:val="22"/>
                <w:lang w:eastAsia="en-AU"/>
              </w:rPr>
              <w:t>(or IESNA LM84/TM28)</w:t>
            </w:r>
          </w:p>
        </w:tc>
        <w:tc>
          <w:tcPr>
            <w:tcW w:w="6237" w:type="dxa"/>
          </w:tcPr>
          <w:p w14:paraId="7B3C4A1E" w14:textId="77777777" w:rsidR="003776C5" w:rsidRPr="003776C5" w:rsidRDefault="003776C5" w:rsidP="003776C5">
            <w:pPr>
              <w:numPr>
                <w:ilvl w:val="0"/>
                <w:numId w:val="32"/>
              </w:numPr>
              <w:spacing w:after="0" w:line="276"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Lumen maintenance</w:t>
            </w:r>
          </w:p>
          <w:p w14:paraId="52F4520A" w14:textId="77777777" w:rsidR="003776C5" w:rsidRPr="003776C5" w:rsidRDefault="003776C5" w:rsidP="003776C5">
            <w:pPr>
              <w:numPr>
                <w:ilvl w:val="0"/>
                <w:numId w:val="20"/>
              </w:numPr>
              <w:spacing w:after="0" w:line="276" w:lineRule="auto"/>
              <w:ind w:left="360" w:firstLine="0"/>
              <w:rPr>
                <w:rFonts w:ascii="Calibri" w:eastAsia="Times New Roman" w:hAnsi="Calibri"/>
                <w:noProof w:val="0"/>
                <w:color w:val="000000"/>
                <w:sz w:val="22"/>
                <w:szCs w:val="22"/>
                <w:lang w:eastAsia="en-AU"/>
              </w:rPr>
            </w:pPr>
          </w:p>
        </w:tc>
      </w:tr>
      <w:tr w:rsidR="003776C5" w:rsidRPr="003776C5" w14:paraId="72FE90EA" w14:textId="77777777" w:rsidTr="006B00C9">
        <w:trPr>
          <w:trHeight w:val="321"/>
        </w:trPr>
        <w:tc>
          <w:tcPr>
            <w:tcW w:w="993" w:type="dxa"/>
          </w:tcPr>
          <w:p w14:paraId="42879802"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4</w:t>
            </w:r>
          </w:p>
        </w:tc>
        <w:tc>
          <w:tcPr>
            <w:tcW w:w="5953" w:type="dxa"/>
          </w:tcPr>
          <w:p w14:paraId="66DF4C22" w14:textId="77777777" w:rsidR="003776C5" w:rsidRPr="003776C5" w:rsidRDefault="003776C5" w:rsidP="003776C5">
            <w:pPr>
              <w:spacing w:after="240" w:line="240" w:lineRule="auto"/>
              <w:rPr>
                <w:rFonts w:ascii="Calibri" w:eastAsia="Times New Roman" w:hAnsi="Calibri"/>
                <w:noProof w:val="0"/>
                <w:color w:val="000000"/>
                <w:sz w:val="22"/>
                <w:szCs w:val="22"/>
                <w:highlight w:val="lightGray"/>
                <w:lang w:eastAsia="en-AU"/>
              </w:rPr>
            </w:pPr>
            <w:r w:rsidRPr="003776C5">
              <w:rPr>
                <w:rFonts w:ascii="Calibri" w:eastAsia="Times New Roman" w:hAnsi="Calibri"/>
                <w:noProof w:val="0"/>
                <w:color w:val="000000"/>
                <w:sz w:val="22"/>
                <w:szCs w:val="22"/>
                <w:lang w:eastAsia="en-AU"/>
              </w:rPr>
              <w:t>IEC 61000-3-2 (2014)</w:t>
            </w:r>
          </w:p>
        </w:tc>
        <w:tc>
          <w:tcPr>
            <w:tcW w:w="6237" w:type="dxa"/>
          </w:tcPr>
          <w:p w14:paraId="1F78A92B" w14:textId="77777777" w:rsidR="003776C5" w:rsidRPr="003776C5" w:rsidRDefault="003776C5" w:rsidP="003776C5">
            <w:pPr>
              <w:numPr>
                <w:ilvl w:val="0"/>
                <w:numId w:val="33"/>
              </w:numPr>
              <w:spacing w:after="24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Power Factor</w:t>
            </w:r>
          </w:p>
        </w:tc>
      </w:tr>
      <w:tr w:rsidR="003776C5" w:rsidRPr="003776C5" w14:paraId="5CC61493" w14:textId="77777777" w:rsidTr="006B00C9">
        <w:trPr>
          <w:trHeight w:val="315"/>
        </w:trPr>
        <w:tc>
          <w:tcPr>
            <w:tcW w:w="993" w:type="dxa"/>
          </w:tcPr>
          <w:p w14:paraId="2B0A46FD"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5</w:t>
            </w:r>
          </w:p>
        </w:tc>
        <w:tc>
          <w:tcPr>
            <w:tcW w:w="5953" w:type="dxa"/>
          </w:tcPr>
          <w:p w14:paraId="445213A1" w14:textId="77777777" w:rsidR="003776C5" w:rsidRPr="003776C5" w:rsidRDefault="003776C5" w:rsidP="003776C5">
            <w:pPr>
              <w:spacing w:after="240" w:line="240" w:lineRule="auto"/>
              <w:rPr>
                <w:rFonts w:ascii="Calibri" w:eastAsia="Times New Roman" w:hAnsi="Calibri"/>
                <w:noProof w:val="0"/>
                <w:color w:val="000000"/>
                <w:sz w:val="22"/>
                <w:szCs w:val="22"/>
                <w:highlight w:val="lightGray"/>
                <w:lang w:eastAsia="en-AU"/>
              </w:rPr>
            </w:pPr>
            <w:r w:rsidRPr="003776C5">
              <w:rPr>
                <w:rFonts w:ascii="Calibri" w:eastAsia="Times New Roman" w:hAnsi="Calibri"/>
                <w:noProof w:val="0"/>
                <w:color w:val="000000"/>
                <w:sz w:val="22"/>
                <w:szCs w:val="22"/>
                <w:lang w:eastAsia="en-AU"/>
              </w:rPr>
              <w:t>IEC 61000-4-7</w:t>
            </w:r>
          </w:p>
        </w:tc>
        <w:tc>
          <w:tcPr>
            <w:tcW w:w="6237" w:type="dxa"/>
          </w:tcPr>
          <w:p w14:paraId="1BC7D86A" w14:textId="77777777" w:rsidR="003776C5" w:rsidRPr="003776C5" w:rsidRDefault="003776C5" w:rsidP="003776C5">
            <w:pPr>
              <w:numPr>
                <w:ilvl w:val="0"/>
                <w:numId w:val="33"/>
              </w:numPr>
              <w:spacing w:after="24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Harmonics</w:t>
            </w:r>
          </w:p>
        </w:tc>
      </w:tr>
      <w:tr w:rsidR="003776C5" w:rsidRPr="003776C5" w14:paraId="327025E8" w14:textId="77777777" w:rsidTr="006B00C9">
        <w:trPr>
          <w:trHeight w:val="315"/>
        </w:trPr>
        <w:tc>
          <w:tcPr>
            <w:tcW w:w="993" w:type="dxa"/>
          </w:tcPr>
          <w:p w14:paraId="361042D7"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6</w:t>
            </w:r>
          </w:p>
        </w:tc>
        <w:tc>
          <w:tcPr>
            <w:tcW w:w="5953" w:type="dxa"/>
          </w:tcPr>
          <w:p w14:paraId="28E0FA1D"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IEC 62471/CIE S009</w:t>
            </w:r>
          </w:p>
        </w:tc>
        <w:tc>
          <w:tcPr>
            <w:tcW w:w="6237" w:type="dxa"/>
          </w:tcPr>
          <w:p w14:paraId="59E7F35D" w14:textId="77777777" w:rsidR="003776C5" w:rsidRPr="003776C5" w:rsidRDefault="003776C5" w:rsidP="003776C5">
            <w:pPr>
              <w:numPr>
                <w:ilvl w:val="0"/>
                <w:numId w:val="33"/>
              </w:numPr>
              <w:spacing w:after="24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Photo biological Safety</w:t>
            </w:r>
          </w:p>
        </w:tc>
      </w:tr>
      <w:tr w:rsidR="003776C5" w:rsidRPr="003776C5" w14:paraId="22F12E1F" w14:textId="77777777" w:rsidTr="006B00C9">
        <w:trPr>
          <w:trHeight w:val="315"/>
        </w:trPr>
        <w:tc>
          <w:tcPr>
            <w:tcW w:w="993" w:type="dxa"/>
          </w:tcPr>
          <w:p w14:paraId="136AF712"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7</w:t>
            </w:r>
          </w:p>
        </w:tc>
        <w:tc>
          <w:tcPr>
            <w:tcW w:w="5953" w:type="dxa"/>
          </w:tcPr>
          <w:p w14:paraId="09953373"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IEEE 1789</w:t>
            </w:r>
          </w:p>
        </w:tc>
        <w:tc>
          <w:tcPr>
            <w:tcW w:w="6237" w:type="dxa"/>
          </w:tcPr>
          <w:p w14:paraId="3BE38850" w14:textId="77777777" w:rsidR="003776C5" w:rsidRPr="003776C5" w:rsidRDefault="003776C5" w:rsidP="003776C5">
            <w:pPr>
              <w:numPr>
                <w:ilvl w:val="0"/>
                <w:numId w:val="33"/>
              </w:numPr>
              <w:spacing w:after="24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Flicker</w:t>
            </w:r>
          </w:p>
        </w:tc>
      </w:tr>
      <w:tr w:rsidR="003776C5" w:rsidRPr="003776C5" w14:paraId="6F6C49D1" w14:textId="77777777" w:rsidTr="006B00C9">
        <w:trPr>
          <w:trHeight w:val="914"/>
        </w:trPr>
        <w:tc>
          <w:tcPr>
            <w:tcW w:w="993" w:type="dxa"/>
          </w:tcPr>
          <w:p w14:paraId="19831290"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8</w:t>
            </w:r>
          </w:p>
        </w:tc>
        <w:tc>
          <w:tcPr>
            <w:tcW w:w="5953" w:type="dxa"/>
          </w:tcPr>
          <w:p w14:paraId="546BD3BC"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AS/NZS IEC 62301</w:t>
            </w:r>
          </w:p>
          <w:p w14:paraId="47A6C0B1" w14:textId="77777777" w:rsidR="003776C5" w:rsidRPr="003776C5" w:rsidDel="002F1DCA" w:rsidRDefault="003776C5" w:rsidP="003776C5">
            <w:pPr>
              <w:spacing w:after="240" w:line="240" w:lineRule="auto"/>
              <w:rPr>
                <w:rFonts w:ascii="Calibri" w:eastAsia="Times New Roman" w:hAnsi="Calibri"/>
                <w:noProof w:val="0"/>
                <w:color w:val="000000"/>
                <w:sz w:val="22"/>
                <w:szCs w:val="22"/>
                <w:highlight w:val="lightGray"/>
                <w:lang w:eastAsia="en-AU"/>
              </w:rPr>
            </w:pPr>
            <w:r w:rsidRPr="003776C5">
              <w:rPr>
                <w:rFonts w:ascii="Calibri" w:eastAsia="Times New Roman" w:hAnsi="Calibri"/>
                <w:noProof w:val="0"/>
                <w:color w:val="000000"/>
                <w:sz w:val="18"/>
                <w:szCs w:val="22"/>
                <w:lang w:eastAsia="en-AU"/>
              </w:rPr>
              <w:t>(or IEA 4E SSL Task 7 2016 publication)</w:t>
            </w:r>
          </w:p>
        </w:tc>
        <w:tc>
          <w:tcPr>
            <w:tcW w:w="6237" w:type="dxa"/>
          </w:tcPr>
          <w:p w14:paraId="633B27A1" w14:textId="77777777" w:rsidR="003776C5" w:rsidRPr="003776C5" w:rsidRDefault="003776C5" w:rsidP="003776C5">
            <w:pPr>
              <w:numPr>
                <w:ilvl w:val="0"/>
                <w:numId w:val="33"/>
              </w:numPr>
              <w:spacing w:after="24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Standby Power (smart lamps only)</w:t>
            </w:r>
          </w:p>
        </w:tc>
      </w:tr>
      <w:tr w:rsidR="003776C5" w:rsidRPr="003776C5" w14:paraId="5963B2DE" w14:textId="77777777" w:rsidTr="006B00C9">
        <w:trPr>
          <w:trHeight w:val="696"/>
        </w:trPr>
        <w:tc>
          <w:tcPr>
            <w:tcW w:w="993" w:type="dxa"/>
          </w:tcPr>
          <w:p w14:paraId="2858BA35"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9</w:t>
            </w:r>
          </w:p>
        </w:tc>
        <w:tc>
          <w:tcPr>
            <w:tcW w:w="5953" w:type="dxa"/>
          </w:tcPr>
          <w:p w14:paraId="6EEC50A7" w14:textId="77777777" w:rsidR="003776C5" w:rsidRPr="003776C5" w:rsidDel="002F1DCA"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Energy Star Lamps v2, Section 12.9</w:t>
            </w:r>
          </w:p>
        </w:tc>
        <w:tc>
          <w:tcPr>
            <w:tcW w:w="6237" w:type="dxa"/>
          </w:tcPr>
          <w:p w14:paraId="7ADF08DB" w14:textId="77777777" w:rsidR="003776C5" w:rsidRPr="003776C5" w:rsidRDefault="003776C5" w:rsidP="003776C5">
            <w:pPr>
              <w:numPr>
                <w:ilvl w:val="0"/>
                <w:numId w:val="33"/>
              </w:num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Smart Lighting – controlled variations in power consumption (smart lamps only)</w:t>
            </w:r>
          </w:p>
        </w:tc>
      </w:tr>
      <w:tr w:rsidR="003776C5" w:rsidRPr="003776C5" w14:paraId="2287CE75" w14:textId="77777777" w:rsidTr="006B00C9">
        <w:trPr>
          <w:trHeight w:val="280"/>
        </w:trPr>
        <w:tc>
          <w:tcPr>
            <w:tcW w:w="993" w:type="dxa"/>
          </w:tcPr>
          <w:p w14:paraId="60D1CB7C"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10</w:t>
            </w:r>
          </w:p>
        </w:tc>
        <w:tc>
          <w:tcPr>
            <w:tcW w:w="5953" w:type="dxa"/>
          </w:tcPr>
          <w:p w14:paraId="6B782FE8"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To be developed </w:t>
            </w:r>
          </w:p>
          <w:p w14:paraId="7CD2CBA4"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tc>
        <w:tc>
          <w:tcPr>
            <w:tcW w:w="6237" w:type="dxa"/>
          </w:tcPr>
          <w:p w14:paraId="3DDB563A" w14:textId="77777777" w:rsidR="003776C5" w:rsidRPr="003776C5" w:rsidRDefault="003776C5" w:rsidP="003776C5">
            <w:pPr>
              <w:numPr>
                <w:ilvl w:val="0"/>
                <w:numId w:val="33"/>
              </w:numPr>
              <w:spacing w:after="24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Dimmer compatibility</w:t>
            </w:r>
          </w:p>
        </w:tc>
      </w:tr>
      <w:tr w:rsidR="003776C5" w:rsidRPr="003776C5" w14:paraId="318967CA" w14:textId="77777777" w:rsidTr="006B00C9">
        <w:trPr>
          <w:trHeight w:val="451"/>
        </w:trPr>
        <w:tc>
          <w:tcPr>
            <w:tcW w:w="993" w:type="dxa"/>
          </w:tcPr>
          <w:p w14:paraId="4F081ABF"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11</w:t>
            </w:r>
          </w:p>
        </w:tc>
        <w:tc>
          <w:tcPr>
            <w:tcW w:w="5953" w:type="dxa"/>
          </w:tcPr>
          <w:p w14:paraId="04F6ECBA"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To be developed </w:t>
            </w:r>
          </w:p>
          <w:p w14:paraId="0FE45F29" w14:textId="77777777" w:rsidR="003776C5" w:rsidRPr="003776C5" w:rsidRDefault="003776C5" w:rsidP="003776C5">
            <w:pPr>
              <w:spacing w:after="0" w:line="240" w:lineRule="auto"/>
              <w:rPr>
                <w:rFonts w:ascii="Calibri" w:eastAsia="Times New Roman" w:hAnsi="Calibri"/>
                <w:noProof w:val="0"/>
                <w:color w:val="000000"/>
                <w:sz w:val="22"/>
                <w:szCs w:val="22"/>
                <w:highlight w:val="lightGray"/>
                <w:lang w:eastAsia="en-AU"/>
              </w:rPr>
            </w:pPr>
          </w:p>
        </w:tc>
        <w:tc>
          <w:tcPr>
            <w:tcW w:w="6237" w:type="dxa"/>
          </w:tcPr>
          <w:p w14:paraId="4723553A" w14:textId="77777777" w:rsidR="003776C5" w:rsidRPr="003776C5" w:rsidRDefault="003776C5" w:rsidP="003776C5">
            <w:pPr>
              <w:numPr>
                <w:ilvl w:val="0"/>
                <w:numId w:val="33"/>
              </w:numPr>
              <w:spacing w:after="24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ELV converter compatibility</w:t>
            </w:r>
          </w:p>
        </w:tc>
      </w:tr>
    </w:tbl>
    <w:p w14:paraId="7F5F826D" w14:textId="77777777" w:rsidR="003776C5" w:rsidRPr="003776C5" w:rsidRDefault="003776C5" w:rsidP="003776C5">
      <w:pPr>
        <w:spacing w:after="200" w:line="276" w:lineRule="auto"/>
        <w:rPr>
          <w:rFonts w:ascii="Calibri" w:eastAsia="Calibri" w:hAnsi="Calibri"/>
          <w:b/>
          <w:noProof w:val="0"/>
          <w:sz w:val="22"/>
          <w:szCs w:val="22"/>
        </w:rPr>
      </w:pPr>
    </w:p>
    <w:p w14:paraId="0E1B8BD5" w14:textId="77777777" w:rsidR="003776C5" w:rsidRPr="003776C5" w:rsidRDefault="003776C5" w:rsidP="00550A49">
      <w:pPr>
        <w:keepNext/>
        <w:keepLines/>
        <w:spacing w:before="480" w:after="0" w:line="276" w:lineRule="auto"/>
        <w:outlineLvl w:val="0"/>
        <w:rPr>
          <w:rFonts w:ascii="Cambria" w:eastAsia="Times New Roman" w:hAnsi="Cambria"/>
          <w:b/>
          <w:bCs/>
          <w:noProof w:val="0"/>
          <w:color w:val="365F91"/>
          <w:sz w:val="28"/>
          <w:szCs w:val="28"/>
        </w:rPr>
      </w:pPr>
      <w:bookmarkStart w:id="100" w:name="_Toc491942549"/>
      <w:r w:rsidRPr="003776C5">
        <w:rPr>
          <w:rFonts w:ascii="Cambria" w:eastAsia="Times New Roman" w:hAnsi="Cambria"/>
          <w:b/>
          <w:bCs/>
          <w:noProof w:val="0"/>
          <w:color w:val="365F91"/>
          <w:sz w:val="28"/>
          <w:szCs w:val="28"/>
        </w:rPr>
        <w:t>Table 3: Proposed product package marking requirements</w:t>
      </w:r>
      <w:r w:rsidRPr="003776C5">
        <w:rPr>
          <w:rFonts w:ascii="Cambria" w:eastAsia="Times New Roman" w:hAnsi="Cambria"/>
          <w:b/>
          <w:bCs/>
          <w:noProof w:val="0"/>
          <w:color w:val="365F91"/>
          <w:sz w:val="28"/>
          <w:szCs w:val="28"/>
          <w:vertAlign w:val="superscript"/>
        </w:rPr>
        <w:footnoteReference w:id="32"/>
      </w:r>
      <w:r w:rsidRPr="003776C5">
        <w:rPr>
          <w:rFonts w:ascii="Cambria" w:eastAsia="Times New Roman" w:hAnsi="Cambria"/>
          <w:b/>
          <w:bCs/>
          <w:noProof w:val="0"/>
          <w:color w:val="365F91"/>
          <w:sz w:val="28"/>
          <w:szCs w:val="28"/>
          <w:vertAlign w:val="superscript"/>
        </w:rPr>
        <w:footnoteReference w:id="33"/>
      </w:r>
      <w:bookmarkEnd w:id="100"/>
    </w:p>
    <w:tbl>
      <w:tblPr>
        <w:tblW w:w="14913" w:type="dxa"/>
        <w:tblInd w:w="-459" w:type="dxa"/>
        <w:tblLayout w:type="fixed"/>
        <w:tblLook w:val="04A0" w:firstRow="1" w:lastRow="0" w:firstColumn="1" w:lastColumn="0" w:noHBand="0" w:noVBand="1"/>
      </w:tblPr>
      <w:tblGrid>
        <w:gridCol w:w="454"/>
        <w:gridCol w:w="3544"/>
        <w:gridCol w:w="567"/>
        <w:gridCol w:w="567"/>
        <w:gridCol w:w="1163"/>
        <w:gridCol w:w="8618"/>
      </w:tblGrid>
      <w:tr w:rsidR="003776C5" w:rsidRPr="003776C5" w14:paraId="2B00CF7B" w14:textId="77777777" w:rsidTr="006B00C9">
        <w:trPr>
          <w:cantSplit/>
          <w:trHeight w:val="1320"/>
          <w:tblHeader/>
        </w:trPr>
        <w:tc>
          <w:tcPr>
            <w:tcW w:w="454" w:type="dxa"/>
            <w:tcBorders>
              <w:top w:val="single" w:sz="4" w:space="0" w:color="auto"/>
              <w:left w:val="single" w:sz="4" w:space="0" w:color="auto"/>
              <w:bottom w:val="single" w:sz="4" w:space="0" w:color="auto"/>
              <w:right w:val="single" w:sz="4" w:space="0" w:color="auto"/>
            </w:tcBorders>
            <w:shd w:val="clear" w:color="4F81BD" w:fill="4F81BD"/>
            <w:vAlign w:val="center"/>
          </w:tcPr>
          <w:p w14:paraId="51D02426" w14:textId="77777777" w:rsidR="003776C5" w:rsidRPr="003776C5" w:rsidRDefault="003776C5" w:rsidP="003776C5">
            <w:pPr>
              <w:spacing w:after="0" w:line="240" w:lineRule="auto"/>
              <w:jc w:val="center"/>
              <w:rPr>
                <w:rFonts w:ascii="Calibri" w:eastAsia="Times New Roman" w:hAnsi="Calibri"/>
                <w:b/>
                <w:bCs/>
                <w:noProof w:val="0"/>
                <w:color w:val="FFFFFF"/>
                <w:sz w:val="16"/>
                <w:szCs w:val="16"/>
                <w:lang w:eastAsia="en-AU"/>
              </w:rPr>
            </w:pPr>
            <w:r w:rsidRPr="003776C5">
              <w:rPr>
                <w:rFonts w:ascii="Calibri" w:eastAsia="Times New Roman" w:hAnsi="Calibri"/>
                <w:b/>
                <w:bCs/>
                <w:noProof w:val="0"/>
                <w:color w:val="FFFFFF"/>
                <w:sz w:val="16"/>
                <w:szCs w:val="16"/>
                <w:lang w:eastAsia="en-AU"/>
              </w:rPr>
              <w:t>Ref</w:t>
            </w:r>
          </w:p>
        </w:tc>
        <w:tc>
          <w:tcPr>
            <w:tcW w:w="3544" w:type="dxa"/>
            <w:tcBorders>
              <w:top w:val="single" w:sz="4" w:space="0" w:color="auto"/>
              <w:left w:val="single" w:sz="4" w:space="0" w:color="auto"/>
              <w:bottom w:val="single" w:sz="4" w:space="0" w:color="auto"/>
              <w:right w:val="single" w:sz="4" w:space="0" w:color="auto"/>
            </w:tcBorders>
            <w:shd w:val="clear" w:color="4F81BD" w:fill="4F81BD"/>
            <w:vAlign w:val="center"/>
            <w:hideMark/>
          </w:tcPr>
          <w:p w14:paraId="3907A15E" w14:textId="77777777" w:rsidR="003776C5" w:rsidRPr="003776C5" w:rsidRDefault="003776C5" w:rsidP="003776C5">
            <w:pPr>
              <w:spacing w:after="0" w:line="240" w:lineRule="auto"/>
              <w:jc w:val="center"/>
              <w:rPr>
                <w:rFonts w:ascii="Calibri" w:eastAsia="Times New Roman" w:hAnsi="Calibri"/>
                <w:b/>
                <w:bCs/>
                <w:noProof w:val="0"/>
                <w:color w:val="FFFFFF"/>
                <w:sz w:val="28"/>
                <w:szCs w:val="28"/>
                <w:lang w:eastAsia="en-AU"/>
              </w:rPr>
            </w:pPr>
            <w:r w:rsidRPr="003776C5">
              <w:rPr>
                <w:rFonts w:ascii="Calibri" w:eastAsia="Times New Roman" w:hAnsi="Calibri"/>
                <w:b/>
                <w:bCs/>
                <w:noProof w:val="0"/>
                <w:color w:val="FFFFFF"/>
                <w:sz w:val="28"/>
                <w:szCs w:val="28"/>
                <w:lang w:eastAsia="en-AU"/>
              </w:rPr>
              <w:t>Attribute</w:t>
            </w:r>
          </w:p>
        </w:tc>
        <w:tc>
          <w:tcPr>
            <w:tcW w:w="567" w:type="dxa"/>
            <w:tcBorders>
              <w:top w:val="single" w:sz="4" w:space="0" w:color="auto"/>
              <w:left w:val="single" w:sz="4" w:space="0" w:color="auto"/>
              <w:bottom w:val="single" w:sz="4" w:space="0" w:color="auto"/>
              <w:right w:val="single" w:sz="4" w:space="0" w:color="auto"/>
            </w:tcBorders>
            <w:shd w:val="clear" w:color="4F81BD" w:fill="4F81BD"/>
            <w:textDirection w:val="btLr"/>
            <w:vAlign w:val="center"/>
            <w:hideMark/>
          </w:tcPr>
          <w:p w14:paraId="74C66BA3" w14:textId="77777777" w:rsidR="003776C5" w:rsidRPr="003776C5" w:rsidRDefault="003776C5" w:rsidP="003776C5">
            <w:pPr>
              <w:spacing w:after="0" w:line="240" w:lineRule="auto"/>
              <w:ind w:left="113" w:right="113"/>
              <w:jc w:val="center"/>
              <w:rPr>
                <w:rFonts w:ascii="Calibri" w:eastAsia="Times New Roman" w:hAnsi="Calibri"/>
                <w:b/>
                <w:bCs/>
                <w:noProof w:val="0"/>
                <w:color w:val="FFFFFF"/>
                <w:sz w:val="28"/>
                <w:szCs w:val="28"/>
                <w:lang w:eastAsia="en-AU"/>
              </w:rPr>
            </w:pPr>
            <w:r w:rsidRPr="003776C5">
              <w:rPr>
                <w:rFonts w:ascii="Calibri" w:eastAsia="Times New Roman" w:hAnsi="Calibri"/>
                <w:b/>
                <w:bCs/>
                <w:noProof w:val="0"/>
                <w:color w:val="FFFFFF"/>
                <w:sz w:val="28"/>
                <w:szCs w:val="28"/>
                <w:lang w:eastAsia="en-AU"/>
              </w:rPr>
              <w:t>Product</w:t>
            </w:r>
          </w:p>
        </w:tc>
        <w:tc>
          <w:tcPr>
            <w:tcW w:w="567" w:type="dxa"/>
            <w:tcBorders>
              <w:top w:val="single" w:sz="4" w:space="0" w:color="auto"/>
              <w:left w:val="single" w:sz="4" w:space="0" w:color="auto"/>
              <w:bottom w:val="single" w:sz="4" w:space="0" w:color="auto"/>
              <w:right w:val="single" w:sz="4" w:space="0" w:color="auto"/>
            </w:tcBorders>
            <w:shd w:val="clear" w:color="4F81BD" w:fill="4F81BD"/>
            <w:textDirection w:val="btLr"/>
            <w:vAlign w:val="center"/>
            <w:hideMark/>
          </w:tcPr>
          <w:p w14:paraId="7B1C39E8" w14:textId="77777777" w:rsidR="003776C5" w:rsidRPr="003776C5" w:rsidRDefault="003776C5" w:rsidP="003776C5">
            <w:pPr>
              <w:spacing w:after="0" w:line="240" w:lineRule="auto"/>
              <w:ind w:left="113" w:right="113"/>
              <w:jc w:val="center"/>
              <w:rPr>
                <w:rFonts w:ascii="Calibri" w:eastAsia="Times New Roman" w:hAnsi="Calibri"/>
                <w:b/>
                <w:bCs/>
                <w:noProof w:val="0"/>
                <w:color w:val="FFFFFF"/>
                <w:sz w:val="28"/>
                <w:szCs w:val="28"/>
                <w:lang w:eastAsia="en-AU"/>
              </w:rPr>
            </w:pPr>
            <w:r w:rsidRPr="003776C5">
              <w:rPr>
                <w:rFonts w:ascii="Calibri" w:eastAsia="Times New Roman" w:hAnsi="Calibri"/>
                <w:b/>
                <w:bCs/>
                <w:noProof w:val="0"/>
                <w:color w:val="FFFFFF"/>
                <w:sz w:val="28"/>
                <w:szCs w:val="28"/>
                <w:lang w:eastAsia="en-AU"/>
              </w:rPr>
              <w:t>Package</w:t>
            </w:r>
          </w:p>
        </w:tc>
        <w:tc>
          <w:tcPr>
            <w:tcW w:w="1163" w:type="dxa"/>
            <w:tcBorders>
              <w:top w:val="single" w:sz="4" w:space="0" w:color="auto"/>
              <w:left w:val="single" w:sz="4" w:space="0" w:color="auto"/>
              <w:bottom w:val="single" w:sz="4" w:space="0" w:color="auto"/>
              <w:right w:val="single" w:sz="4" w:space="0" w:color="auto"/>
            </w:tcBorders>
            <w:shd w:val="clear" w:color="4F81BD" w:fill="4F81BD"/>
            <w:textDirection w:val="btLr"/>
            <w:vAlign w:val="center"/>
            <w:hideMark/>
          </w:tcPr>
          <w:p w14:paraId="04E6767E" w14:textId="77777777" w:rsidR="003776C5" w:rsidRPr="003776C5" w:rsidRDefault="003776C5" w:rsidP="003776C5">
            <w:pPr>
              <w:spacing w:after="0" w:line="240" w:lineRule="auto"/>
              <w:ind w:left="113" w:right="113"/>
              <w:jc w:val="center"/>
              <w:rPr>
                <w:rFonts w:ascii="Calibri" w:eastAsia="Times New Roman" w:hAnsi="Calibri"/>
                <w:b/>
                <w:bCs/>
                <w:noProof w:val="0"/>
                <w:color w:val="FFFFFF"/>
                <w:sz w:val="28"/>
                <w:szCs w:val="28"/>
                <w:lang w:eastAsia="en-AU"/>
              </w:rPr>
            </w:pPr>
            <w:r w:rsidRPr="003776C5">
              <w:rPr>
                <w:rFonts w:ascii="Calibri" w:eastAsia="Times New Roman" w:hAnsi="Calibri"/>
                <w:b/>
                <w:bCs/>
                <w:noProof w:val="0"/>
                <w:color w:val="FFFFFF"/>
                <w:sz w:val="28"/>
                <w:szCs w:val="28"/>
                <w:lang w:eastAsia="en-AU"/>
              </w:rPr>
              <w:t>Spec Sheet /website</w:t>
            </w:r>
          </w:p>
        </w:tc>
        <w:tc>
          <w:tcPr>
            <w:tcW w:w="8618" w:type="dxa"/>
            <w:tcBorders>
              <w:top w:val="single" w:sz="4" w:space="0" w:color="auto"/>
              <w:left w:val="single" w:sz="4" w:space="0" w:color="auto"/>
              <w:bottom w:val="single" w:sz="4" w:space="0" w:color="auto"/>
              <w:right w:val="single" w:sz="4" w:space="0" w:color="auto"/>
            </w:tcBorders>
            <w:shd w:val="clear" w:color="4F81BD" w:fill="4F81BD"/>
            <w:vAlign w:val="center"/>
            <w:hideMark/>
          </w:tcPr>
          <w:p w14:paraId="185C60F8" w14:textId="77777777" w:rsidR="003776C5" w:rsidRPr="003776C5" w:rsidRDefault="003776C5" w:rsidP="003776C5">
            <w:pPr>
              <w:spacing w:after="0" w:line="240" w:lineRule="auto"/>
              <w:ind w:left="-40" w:firstLine="40"/>
              <w:jc w:val="center"/>
              <w:rPr>
                <w:rFonts w:ascii="Calibri" w:eastAsia="Times New Roman" w:hAnsi="Calibri"/>
                <w:b/>
                <w:bCs/>
                <w:noProof w:val="0"/>
                <w:color w:val="FFFFFF"/>
                <w:sz w:val="28"/>
                <w:szCs w:val="28"/>
                <w:lang w:eastAsia="en-AU"/>
              </w:rPr>
            </w:pPr>
            <w:r w:rsidRPr="003776C5">
              <w:rPr>
                <w:rFonts w:ascii="Calibri" w:eastAsia="Times New Roman" w:hAnsi="Calibri"/>
                <w:b/>
                <w:bCs/>
                <w:noProof w:val="0"/>
                <w:color w:val="FFFFFF"/>
                <w:sz w:val="28"/>
                <w:szCs w:val="28"/>
                <w:lang w:eastAsia="en-AU"/>
              </w:rPr>
              <w:t>Marked Value Criterion</w:t>
            </w:r>
          </w:p>
        </w:tc>
      </w:tr>
      <w:tr w:rsidR="003776C5" w:rsidRPr="003776C5" w14:paraId="1C737646" w14:textId="77777777" w:rsidTr="006B00C9">
        <w:trPr>
          <w:trHeight w:val="499"/>
        </w:trPr>
        <w:tc>
          <w:tcPr>
            <w:tcW w:w="454" w:type="dxa"/>
            <w:tcBorders>
              <w:top w:val="single" w:sz="4" w:space="0" w:color="auto"/>
              <w:left w:val="single" w:sz="4" w:space="0" w:color="auto"/>
              <w:bottom w:val="single" w:sz="4" w:space="0" w:color="auto"/>
              <w:right w:val="single" w:sz="4" w:space="0" w:color="auto"/>
            </w:tcBorders>
            <w:vAlign w:val="center"/>
          </w:tcPr>
          <w:p w14:paraId="59245CCD" w14:textId="77777777" w:rsidR="003776C5" w:rsidRPr="003776C5" w:rsidRDefault="003776C5" w:rsidP="003776C5">
            <w:pPr>
              <w:spacing w:after="0" w:line="240" w:lineRule="auto"/>
              <w:jc w:val="center"/>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090A60" w14:textId="77777777" w:rsidR="003776C5" w:rsidRPr="003776C5" w:rsidRDefault="003776C5" w:rsidP="003776C5">
            <w:pPr>
              <w:spacing w:after="0" w:line="240" w:lineRule="auto"/>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Lumens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39DE215" w14:textId="77777777" w:rsidR="003776C5" w:rsidRPr="003776C5" w:rsidRDefault="003776C5" w:rsidP="003776C5">
            <w:pPr>
              <w:spacing w:after="200" w:line="276" w:lineRule="auto"/>
              <w:jc w:val="center"/>
              <w:rPr>
                <w:rFonts w:ascii="Calibri" w:eastAsia="Times New Roman" w:hAnsi="Calibri"/>
                <w:noProof w:val="0"/>
                <w:color w:val="000000"/>
                <w:sz w:val="24"/>
                <w:lang w:eastAsia="en-AU"/>
              </w:rPr>
            </w:pPr>
          </w:p>
          <w:p w14:paraId="362B5029" w14:textId="75C4902A" w:rsidR="003776C5" w:rsidRPr="003776C5" w:rsidRDefault="0010791E" w:rsidP="0010791E">
            <w:pPr>
              <w:spacing w:after="0" w:line="240" w:lineRule="auto"/>
              <w:jc w:val="center"/>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X</w:t>
            </w:r>
          </w:p>
          <w:p w14:paraId="5FED273E" w14:textId="77777777" w:rsidR="003776C5" w:rsidRPr="003776C5" w:rsidRDefault="003776C5" w:rsidP="003776C5">
            <w:pPr>
              <w:spacing w:after="200" w:line="276" w:lineRule="auto"/>
              <w:jc w:val="center"/>
              <w:rPr>
                <w:rFonts w:ascii="Calibri" w:eastAsia="Times New Roman" w:hAnsi="Calibri"/>
                <w:noProof w:val="0"/>
                <w:color w:val="000000"/>
                <w:sz w:val="24"/>
                <w:lang w:eastAsia="en-AU"/>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8076EAF" w14:textId="77777777" w:rsidR="003776C5" w:rsidRPr="003776C5" w:rsidRDefault="003776C5" w:rsidP="003776C5">
            <w:pPr>
              <w:spacing w:after="0" w:line="240" w:lineRule="auto"/>
              <w:jc w:val="center"/>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X</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402DFE66" w14:textId="77777777" w:rsidR="003776C5" w:rsidRPr="003776C5" w:rsidRDefault="003776C5" w:rsidP="003776C5">
            <w:pPr>
              <w:spacing w:after="0" w:line="240" w:lineRule="auto"/>
              <w:jc w:val="center"/>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X</w:t>
            </w:r>
          </w:p>
        </w:tc>
        <w:tc>
          <w:tcPr>
            <w:tcW w:w="8618" w:type="dxa"/>
            <w:tcBorders>
              <w:top w:val="single" w:sz="4" w:space="0" w:color="auto"/>
              <w:left w:val="nil"/>
              <w:bottom w:val="single" w:sz="4" w:space="0" w:color="auto"/>
              <w:right w:val="single" w:sz="4" w:space="0" w:color="auto"/>
            </w:tcBorders>
            <w:shd w:val="clear" w:color="auto" w:fill="auto"/>
            <w:hideMark/>
          </w:tcPr>
          <w:p w14:paraId="3F856C31" w14:textId="77777777" w:rsidR="003776C5" w:rsidRPr="003776C5" w:rsidRDefault="003776C5" w:rsidP="003776C5">
            <w:pPr>
              <w:spacing w:after="0" w:line="240" w:lineRule="auto"/>
              <w:rPr>
                <w:rFonts w:ascii="Calibri" w:eastAsia="Times New Roman" w:hAnsi="Calibri"/>
                <w:noProof w:val="0"/>
                <w:color w:val="000000"/>
                <w:sz w:val="24"/>
                <w:u w:val="single"/>
                <w:lang w:eastAsia="en-AU"/>
              </w:rPr>
            </w:pPr>
          </w:p>
          <w:p w14:paraId="7C94652B" w14:textId="77777777" w:rsidR="003776C5" w:rsidRPr="003776C5" w:rsidRDefault="003776C5" w:rsidP="003776C5">
            <w:pPr>
              <w:spacing w:after="0" w:line="240" w:lineRule="auto"/>
              <w:rPr>
                <w:rFonts w:ascii="Calibri" w:eastAsia="Times New Roman" w:hAnsi="Calibri"/>
                <w:noProof w:val="0"/>
                <w:color w:val="000000"/>
                <w:sz w:val="24"/>
                <w:u w:val="single"/>
                <w:lang w:eastAsia="en-AU"/>
              </w:rPr>
            </w:pPr>
            <w:r w:rsidRPr="003776C5">
              <w:rPr>
                <w:rFonts w:ascii="Calibri" w:eastAsia="Times New Roman" w:hAnsi="Calibri"/>
                <w:noProof w:val="0"/>
                <w:color w:val="000000"/>
                <w:sz w:val="24"/>
                <w:u w:val="single"/>
                <w:lang w:eastAsia="en-AU"/>
              </w:rPr>
              <w:t xml:space="preserve">Non-directional LED lamps: </w:t>
            </w:r>
          </w:p>
          <w:p w14:paraId="63FA2CDD" w14:textId="77777777" w:rsidR="003776C5" w:rsidRPr="003776C5" w:rsidRDefault="003776C5" w:rsidP="003776C5">
            <w:pPr>
              <w:spacing w:after="0" w:line="240" w:lineRule="auto"/>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The rated luminous flux should preferably</w:t>
            </w:r>
            <w:r w:rsidRPr="003776C5">
              <w:rPr>
                <w:rFonts w:ascii="Calibri" w:eastAsia="Times New Roman" w:hAnsi="Calibri"/>
                <w:noProof w:val="0"/>
                <w:color w:val="000000"/>
                <w:sz w:val="24"/>
                <w:vertAlign w:val="superscript"/>
                <w:lang w:eastAsia="en-AU"/>
              </w:rPr>
              <w:footnoteReference w:id="34"/>
            </w:r>
            <w:r w:rsidRPr="003776C5">
              <w:rPr>
                <w:rFonts w:ascii="Calibri" w:eastAsia="Times New Roman" w:hAnsi="Calibri"/>
                <w:noProof w:val="0"/>
                <w:color w:val="000000"/>
                <w:sz w:val="24"/>
                <w:lang w:eastAsia="en-AU"/>
              </w:rPr>
              <w:t xml:space="preserve"> be one of the following values: 100 lm, 150 lm, 250 lm, 350 lm, 500 lm, 800 lm, 1000 lm, 1500 lm, 2000 lm, 3000 lm.</w:t>
            </w:r>
            <w:r w:rsidRPr="003776C5">
              <w:rPr>
                <w:rFonts w:ascii="Calibri" w:eastAsia="Times New Roman" w:hAnsi="Calibri"/>
                <w:noProof w:val="0"/>
                <w:color w:val="000000"/>
                <w:sz w:val="24"/>
                <w:vertAlign w:val="superscript"/>
                <w:lang w:eastAsia="en-AU"/>
              </w:rPr>
              <w:footnoteReference w:id="35"/>
            </w:r>
          </w:p>
          <w:p w14:paraId="0F97F913" w14:textId="77777777" w:rsidR="003776C5" w:rsidRPr="003776C5" w:rsidRDefault="003776C5" w:rsidP="003776C5">
            <w:pPr>
              <w:spacing w:after="0" w:line="240" w:lineRule="auto"/>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br/>
              <w:t xml:space="preserve">The initial luminous flux of each individual LED lamp in the measured sample shall not be </w:t>
            </w:r>
            <w:r w:rsidRPr="003776C5">
              <w:rPr>
                <w:rFonts w:ascii="Calibri" w:eastAsia="Times New Roman" w:hAnsi="Calibri"/>
                <w:strike/>
                <w:noProof w:val="0"/>
                <w:color w:val="000000"/>
                <w:sz w:val="24"/>
                <w:lang w:eastAsia="en-AU"/>
              </w:rPr>
              <w:t>less than the rated luminous flux by more than 10 %, and not be</w:t>
            </w:r>
            <w:r w:rsidRPr="003776C5">
              <w:rPr>
                <w:rFonts w:ascii="Calibri" w:eastAsia="Times New Roman" w:hAnsi="Calibri"/>
                <w:noProof w:val="0"/>
                <w:color w:val="000000"/>
                <w:sz w:val="24"/>
                <w:lang w:eastAsia="en-AU"/>
              </w:rPr>
              <w:t xml:space="preserve"> </w:t>
            </w:r>
            <w:r w:rsidRPr="003776C5">
              <w:rPr>
                <w:rFonts w:ascii="Calibri" w:eastAsia="Times New Roman" w:hAnsi="Calibri"/>
                <w:noProof w:val="0"/>
                <w:color w:val="000000"/>
                <w:sz w:val="24"/>
                <w:vertAlign w:val="superscript"/>
                <w:lang w:eastAsia="en-AU"/>
              </w:rPr>
              <w:footnoteReference w:id="36"/>
            </w:r>
            <w:r w:rsidRPr="003776C5">
              <w:rPr>
                <w:rFonts w:ascii="Calibri" w:eastAsia="Times New Roman" w:hAnsi="Calibri"/>
                <w:noProof w:val="0"/>
                <w:color w:val="000000"/>
                <w:sz w:val="24"/>
                <w:lang w:eastAsia="en-AU"/>
              </w:rPr>
              <w:t xml:space="preserve">more than the rated luminous flux by more than 10% unless, if the rated value is one of the preferred values listed above, then 20%. </w:t>
            </w:r>
          </w:p>
          <w:p w14:paraId="543AF8C3" w14:textId="77777777" w:rsidR="003776C5" w:rsidRPr="003776C5" w:rsidRDefault="003776C5" w:rsidP="003776C5">
            <w:pPr>
              <w:spacing w:after="0" w:line="240" w:lineRule="auto"/>
              <w:rPr>
                <w:rFonts w:ascii="Calibri" w:eastAsia="Times New Roman" w:hAnsi="Calibri"/>
                <w:noProof w:val="0"/>
                <w:color w:val="000000"/>
                <w:sz w:val="24"/>
                <w:lang w:eastAsia="en-AU"/>
              </w:rPr>
            </w:pPr>
          </w:p>
          <w:p w14:paraId="756626C8" w14:textId="77777777" w:rsidR="003776C5" w:rsidRPr="003776C5" w:rsidRDefault="003776C5" w:rsidP="003776C5">
            <w:pPr>
              <w:spacing w:after="0" w:line="240" w:lineRule="auto"/>
              <w:rPr>
                <w:rFonts w:ascii="Calibri" w:eastAsia="Times New Roman" w:hAnsi="Calibri"/>
                <w:noProof w:val="0"/>
                <w:color w:val="000000"/>
                <w:sz w:val="24"/>
                <w:u w:val="single"/>
                <w:lang w:eastAsia="en-AU"/>
              </w:rPr>
            </w:pPr>
            <w:r w:rsidRPr="003776C5">
              <w:rPr>
                <w:rFonts w:ascii="Calibri" w:eastAsia="Times New Roman" w:hAnsi="Calibri"/>
                <w:noProof w:val="0"/>
                <w:color w:val="000000"/>
                <w:sz w:val="24"/>
                <w:lang w:eastAsia="en-AU"/>
              </w:rPr>
              <w:t xml:space="preserve">The average initial luminous flux of the LED lamps in the measured sample shall not be less than the rated luminous flux by more than 7.5 %. </w:t>
            </w:r>
            <w:r w:rsidRPr="003776C5">
              <w:rPr>
                <w:rFonts w:ascii="Calibri" w:eastAsia="Times New Roman" w:hAnsi="Calibri"/>
                <w:noProof w:val="0"/>
                <w:color w:val="000000"/>
                <w:sz w:val="24"/>
                <w:lang w:eastAsia="en-AU"/>
              </w:rPr>
              <w:br/>
            </w:r>
            <w:r w:rsidRPr="003776C5">
              <w:rPr>
                <w:rFonts w:ascii="Calibri" w:eastAsia="Times New Roman" w:hAnsi="Calibri"/>
                <w:noProof w:val="0"/>
                <w:color w:val="000000"/>
                <w:sz w:val="24"/>
                <w:lang w:eastAsia="en-AU"/>
              </w:rPr>
              <w:br/>
            </w:r>
            <w:r w:rsidRPr="003776C5">
              <w:rPr>
                <w:rFonts w:ascii="Calibri" w:eastAsia="Times New Roman" w:hAnsi="Calibri"/>
                <w:noProof w:val="0"/>
                <w:color w:val="000000"/>
                <w:sz w:val="24"/>
                <w:u w:val="single"/>
                <w:lang w:eastAsia="en-AU"/>
              </w:rPr>
              <w:t xml:space="preserve">Directional lamps: </w:t>
            </w:r>
          </w:p>
          <w:p w14:paraId="6AEAAD9B" w14:textId="77777777" w:rsidR="003776C5" w:rsidRPr="003776C5" w:rsidRDefault="003776C5" w:rsidP="003776C5">
            <w:pPr>
              <w:spacing w:after="0" w:line="240" w:lineRule="auto"/>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 xml:space="preserve">The initial luminous flux of each individual LED lamp/luminaire in the measured sample shall not be less than the rated luminous flux by more than 10 % and not be more than the rated luminous flux by more than 10%. The average initial luminous flux of the LED lamps in the measured sample shall not be less than the rated luminous flux by more than 7.5 %. </w:t>
            </w:r>
            <w:r w:rsidRPr="003776C5">
              <w:rPr>
                <w:rFonts w:ascii="Calibri" w:eastAsia="Times New Roman" w:hAnsi="Calibri"/>
                <w:noProof w:val="0"/>
                <w:color w:val="000000"/>
                <w:sz w:val="24"/>
                <w:lang w:eastAsia="en-AU"/>
              </w:rPr>
              <w:br/>
            </w:r>
            <w:r w:rsidRPr="003776C5">
              <w:rPr>
                <w:rFonts w:ascii="Calibri" w:eastAsia="Times New Roman" w:hAnsi="Calibri"/>
                <w:noProof w:val="0"/>
                <w:color w:val="000000"/>
                <w:sz w:val="24"/>
                <w:lang w:eastAsia="en-AU"/>
              </w:rPr>
              <w:br/>
            </w:r>
            <w:r w:rsidRPr="003776C5">
              <w:rPr>
                <w:rFonts w:ascii="Calibri" w:eastAsia="Times New Roman" w:hAnsi="Calibri"/>
                <w:noProof w:val="0"/>
                <w:color w:val="000000"/>
                <w:sz w:val="24"/>
                <w:u w:val="single"/>
                <w:lang w:eastAsia="en-AU"/>
              </w:rPr>
              <w:t>Luminaires:</w:t>
            </w:r>
            <w:r w:rsidRPr="003776C5">
              <w:rPr>
                <w:rFonts w:ascii="Calibri" w:eastAsia="Times New Roman" w:hAnsi="Calibri"/>
                <w:noProof w:val="0"/>
                <w:color w:val="000000"/>
                <w:sz w:val="24"/>
                <w:lang w:eastAsia="en-AU"/>
              </w:rPr>
              <w:t xml:space="preserve"> </w:t>
            </w:r>
          </w:p>
          <w:p w14:paraId="48130354" w14:textId="77777777" w:rsidR="003776C5" w:rsidRPr="003776C5" w:rsidRDefault="003776C5" w:rsidP="003776C5">
            <w:pPr>
              <w:spacing w:after="0" w:line="240" w:lineRule="auto"/>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 xml:space="preserve">The initial luminous flux of each individual LED luminaire sample shall not be less than the rated luminous flux by more than 10 % and not be more than the rated luminous flux by more than 10%. </w:t>
            </w:r>
          </w:p>
        </w:tc>
      </w:tr>
      <w:tr w:rsidR="003776C5" w:rsidRPr="003776C5" w14:paraId="2DCE02C0" w14:textId="77777777" w:rsidTr="006B00C9">
        <w:trPr>
          <w:trHeight w:val="1491"/>
        </w:trPr>
        <w:tc>
          <w:tcPr>
            <w:tcW w:w="454" w:type="dxa"/>
            <w:tcBorders>
              <w:top w:val="nil"/>
              <w:left w:val="single" w:sz="4" w:space="0" w:color="auto"/>
              <w:bottom w:val="single" w:sz="4" w:space="0" w:color="auto"/>
              <w:right w:val="single" w:sz="4" w:space="0" w:color="auto"/>
            </w:tcBorders>
            <w:vAlign w:val="center"/>
          </w:tcPr>
          <w:p w14:paraId="148D1D38" w14:textId="77777777" w:rsidR="003776C5" w:rsidRPr="003776C5" w:rsidRDefault="003776C5" w:rsidP="003776C5">
            <w:pPr>
              <w:spacing w:after="0" w:line="240" w:lineRule="auto"/>
              <w:jc w:val="center"/>
              <w:rPr>
                <w:rFonts w:ascii="Calibri" w:eastAsia="Calibri" w:hAnsi="Calibri"/>
                <w:noProof w:val="0"/>
                <w:sz w:val="16"/>
                <w:szCs w:val="16"/>
              </w:rPr>
            </w:pPr>
            <w:r w:rsidRPr="003776C5">
              <w:rPr>
                <w:rFonts w:ascii="Calibri" w:eastAsia="Calibri" w:hAnsi="Calibri"/>
                <w:noProof w:val="0"/>
                <w:sz w:val="16"/>
                <w:szCs w:val="16"/>
              </w:rPr>
              <w:t>2</w:t>
            </w:r>
          </w:p>
        </w:tc>
        <w:tc>
          <w:tcPr>
            <w:tcW w:w="3544" w:type="dxa"/>
            <w:tcBorders>
              <w:top w:val="nil"/>
              <w:left w:val="single" w:sz="4" w:space="0" w:color="auto"/>
              <w:bottom w:val="single" w:sz="4" w:space="0" w:color="auto"/>
              <w:right w:val="single" w:sz="4" w:space="0" w:color="auto"/>
            </w:tcBorders>
            <w:shd w:val="clear" w:color="auto" w:fill="auto"/>
            <w:vAlign w:val="center"/>
            <w:hideMark/>
          </w:tcPr>
          <w:p w14:paraId="04A6B341" w14:textId="77777777" w:rsidR="003776C5" w:rsidRPr="003776C5" w:rsidRDefault="003776C5" w:rsidP="003776C5">
            <w:pPr>
              <w:spacing w:after="0" w:line="240" w:lineRule="auto"/>
              <w:rPr>
                <w:rFonts w:ascii="Calibri" w:eastAsia="Times New Roman" w:hAnsi="Calibri"/>
                <w:noProof w:val="0"/>
                <w:color w:val="000000"/>
                <w:sz w:val="24"/>
                <w:lang w:eastAsia="en-AU"/>
              </w:rPr>
            </w:pPr>
            <w:r w:rsidRPr="003776C5">
              <w:rPr>
                <w:rFonts w:ascii="Calibri" w:eastAsia="Calibri" w:hAnsi="Calibri"/>
                <w:noProof w:val="0"/>
                <w:sz w:val="22"/>
                <w:szCs w:val="22"/>
              </w:rPr>
              <w:br w:type="page"/>
            </w:r>
            <w:r w:rsidRPr="003776C5">
              <w:rPr>
                <w:rFonts w:ascii="Calibri" w:eastAsia="Times New Roman" w:hAnsi="Calibri"/>
                <w:noProof w:val="0"/>
                <w:color w:val="000000"/>
                <w:sz w:val="24"/>
                <w:lang w:eastAsia="en-AU"/>
              </w:rPr>
              <w:t>Efficacy (lumens per Watt)</w:t>
            </w:r>
          </w:p>
        </w:tc>
        <w:tc>
          <w:tcPr>
            <w:tcW w:w="567" w:type="dxa"/>
            <w:tcBorders>
              <w:top w:val="nil"/>
              <w:left w:val="nil"/>
              <w:bottom w:val="single" w:sz="4" w:space="0" w:color="auto"/>
              <w:right w:val="single" w:sz="4" w:space="0" w:color="auto"/>
            </w:tcBorders>
            <w:shd w:val="clear" w:color="auto" w:fill="auto"/>
            <w:noWrap/>
            <w:vAlign w:val="center"/>
            <w:hideMark/>
          </w:tcPr>
          <w:p w14:paraId="0A378A26" w14:textId="77777777" w:rsidR="003776C5" w:rsidRPr="003776C5" w:rsidRDefault="003776C5" w:rsidP="003776C5">
            <w:pPr>
              <w:spacing w:after="0" w:line="240" w:lineRule="auto"/>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 </w:t>
            </w:r>
          </w:p>
        </w:tc>
        <w:tc>
          <w:tcPr>
            <w:tcW w:w="567" w:type="dxa"/>
            <w:tcBorders>
              <w:top w:val="nil"/>
              <w:left w:val="nil"/>
              <w:bottom w:val="single" w:sz="4" w:space="0" w:color="auto"/>
              <w:right w:val="single" w:sz="4" w:space="0" w:color="auto"/>
            </w:tcBorders>
            <w:shd w:val="clear" w:color="auto" w:fill="auto"/>
            <w:noWrap/>
            <w:vAlign w:val="center"/>
            <w:hideMark/>
          </w:tcPr>
          <w:p w14:paraId="0FBB9CDD" w14:textId="77777777" w:rsidR="003776C5" w:rsidRPr="003776C5" w:rsidRDefault="003776C5" w:rsidP="003776C5">
            <w:pPr>
              <w:spacing w:after="0" w:line="240" w:lineRule="auto"/>
              <w:jc w:val="center"/>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X</w:t>
            </w:r>
          </w:p>
        </w:tc>
        <w:tc>
          <w:tcPr>
            <w:tcW w:w="1163" w:type="dxa"/>
            <w:tcBorders>
              <w:top w:val="nil"/>
              <w:left w:val="nil"/>
              <w:bottom w:val="single" w:sz="4" w:space="0" w:color="auto"/>
              <w:right w:val="single" w:sz="4" w:space="0" w:color="auto"/>
            </w:tcBorders>
            <w:shd w:val="clear" w:color="auto" w:fill="auto"/>
            <w:noWrap/>
            <w:vAlign w:val="center"/>
            <w:hideMark/>
          </w:tcPr>
          <w:p w14:paraId="2B7D8195" w14:textId="77777777" w:rsidR="003776C5" w:rsidRPr="003776C5" w:rsidRDefault="003776C5" w:rsidP="003776C5">
            <w:pPr>
              <w:spacing w:after="0" w:line="240" w:lineRule="auto"/>
              <w:jc w:val="center"/>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X</w:t>
            </w:r>
          </w:p>
        </w:tc>
        <w:tc>
          <w:tcPr>
            <w:tcW w:w="8618" w:type="dxa"/>
            <w:tcBorders>
              <w:top w:val="single" w:sz="4" w:space="0" w:color="auto"/>
              <w:left w:val="nil"/>
              <w:bottom w:val="single" w:sz="4" w:space="0" w:color="auto"/>
              <w:right w:val="single" w:sz="4" w:space="0" w:color="auto"/>
            </w:tcBorders>
            <w:shd w:val="clear" w:color="auto" w:fill="auto"/>
            <w:hideMark/>
          </w:tcPr>
          <w:p w14:paraId="08E10CEB" w14:textId="77777777" w:rsidR="003776C5" w:rsidRPr="003776C5" w:rsidRDefault="003776C5" w:rsidP="003776C5">
            <w:pPr>
              <w:spacing w:after="0" w:line="240" w:lineRule="auto"/>
              <w:rPr>
                <w:rFonts w:ascii="Calibri" w:eastAsia="Times New Roman" w:hAnsi="Calibri"/>
                <w:noProof w:val="0"/>
                <w:color w:val="000000"/>
                <w:sz w:val="24"/>
                <w:lang w:eastAsia="en-AU"/>
              </w:rPr>
            </w:pPr>
          </w:p>
          <w:p w14:paraId="3CB95A67" w14:textId="77777777" w:rsidR="003776C5" w:rsidRPr="003776C5" w:rsidRDefault="003776C5" w:rsidP="003776C5">
            <w:pPr>
              <w:spacing w:after="0" w:line="240" w:lineRule="auto"/>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 xml:space="preserve">The initial efficacy of each individual LED lamp or luminaire in the measured sample shall be no less than the rated efficacy by more than 10 %. </w:t>
            </w:r>
            <w:r w:rsidRPr="003776C5">
              <w:rPr>
                <w:rFonts w:ascii="Calibri" w:eastAsia="Times New Roman" w:hAnsi="Calibri"/>
                <w:noProof w:val="0"/>
                <w:color w:val="000000"/>
                <w:sz w:val="24"/>
                <w:lang w:eastAsia="en-AU"/>
              </w:rPr>
              <w:br/>
              <w:t xml:space="preserve">The average efficacy of the LED lamps in the measured sample shall be no less than the rated efficacy by more than 7.5 %. </w:t>
            </w:r>
          </w:p>
        </w:tc>
      </w:tr>
      <w:tr w:rsidR="003776C5" w:rsidRPr="003776C5" w14:paraId="64D13CB7" w14:textId="77777777" w:rsidTr="006B00C9">
        <w:trPr>
          <w:trHeight w:val="849"/>
        </w:trPr>
        <w:tc>
          <w:tcPr>
            <w:tcW w:w="454" w:type="dxa"/>
            <w:tcBorders>
              <w:top w:val="nil"/>
              <w:left w:val="single" w:sz="4" w:space="0" w:color="auto"/>
              <w:bottom w:val="single" w:sz="4" w:space="0" w:color="auto"/>
              <w:right w:val="single" w:sz="4" w:space="0" w:color="auto"/>
            </w:tcBorders>
            <w:vAlign w:val="center"/>
          </w:tcPr>
          <w:p w14:paraId="534C57B7" w14:textId="77777777" w:rsidR="003776C5" w:rsidRPr="003776C5" w:rsidRDefault="003776C5" w:rsidP="003776C5">
            <w:pPr>
              <w:spacing w:after="0" w:line="240" w:lineRule="auto"/>
              <w:jc w:val="center"/>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3</w:t>
            </w:r>
          </w:p>
        </w:tc>
        <w:tc>
          <w:tcPr>
            <w:tcW w:w="3544" w:type="dxa"/>
            <w:tcBorders>
              <w:top w:val="nil"/>
              <w:left w:val="single" w:sz="4" w:space="0" w:color="auto"/>
              <w:bottom w:val="single" w:sz="4" w:space="0" w:color="auto"/>
              <w:right w:val="single" w:sz="4" w:space="0" w:color="auto"/>
            </w:tcBorders>
            <w:shd w:val="clear" w:color="auto" w:fill="auto"/>
            <w:vAlign w:val="center"/>
            <w:hideMark/>
          </w:tcPr>
          <w:p w14:paraId="32CDEAC3" w14:textId="77777777" w:rsidR="003776C5" w:rsidRPr="003776C5" w:rsidRDefault="003776C5" w:rsidP="003776C5">
            <w:pPr>
              <w:spacing w:after="0" w:line="240" w:lineRule="auto"/>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Watts (must be in a smaller font than lumens on package)</w:t>
            </w:r>
          </w:p>
        </w:tc>
        <w:tc>
          <w:tcPr>
            <w:tcW w:w="567" w:type="dxa"/>
            <w:tcBorders>
              <w:top w:val="nil"/>
              <w:left w:val="nil"/>
              <w:bottom w:val="single" w:sz="4" w:space="0" w:color="auto"/>
              <w:right w:val="single" w:sz="4" w:space="0" w:color="auto"/>
            </w:tcBorders>
            <w:shd w:val="clear" w:color="auto" w:fill="auto"/>
            <w:noWrap/>
            <w:vAlign w:val="center"/>
            <w:hideMark/>
          </w:tcPr>
          <w:p w14:paraId="20B4082B" w14:textId="77777777" w:rsidR="003776C5" w:rsidRPr="003776C5" w:rsidRDefault="003776C5" w:rsidP="003776C5">
            <w:pPr>
              <w:spacing w:after="0" w:line="240" w:lineRule="auto"/>
              <w:jc w:val="center"/>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X</w:t>
            </w:r>
          </w:p>
        </w:tc>
        <w:tc>
          <w:tcPr>
            <w:tcW w:w="567" w:type="dxa"/>
            <w:tcBorders>
              <w:top w:val="nil"/>
              <w:left w:val="nil"/>
              <w:bottom w:val="single" w:sz="4" w:space="0" w:color="auto"/>
              <w:right w:val="single" w:sz="4" w:space="0" w:color="auto"/>
            </w:tcBorders>
            <w:shd w:val="clear" w:color="auto" w:fill="auto"/>
            <w:noWrap/>
            <w:vAlign w:val="center"/>
            <w:hideMark/>
          </w:tcPr>
          <w:p w14:paraId="35AA1E7B" w14:textId="77777777" w:rsidR="003776C5" w:rsidRPr="003776C5" w:rsidRDefault="003776C5" w:rsidP="003776C5">
            <w:pPr>
              <w:spacing w:after="0" w:line="240" w:lineRule="auto"/>
              <w:jc w:val="center"/>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X</w:t>
            </w:r>
          </w:p>
        </w:tc>
        <w:tc>
          <w:tcPr>
            <w:tcW w:w="1163" w:type="dxa"/>
            <w:tcBorders>
              <w:top w:val="nil"/>
              <w:left w:val="nil"/>
              <w:bottom w:val="single" w:sz="4" w:space="0" w:color="auto"/>
              <w:right w:val="single" w:sz="4" w:space="0" w:color="auto"/>
            </w:tcBorders>
            <w:shd w:val="clear" w:color="auto" w:fill="auto"/>
            <w:noWrap/>
            <w:vAlign w:val="center"/>
            <w:hideMark/>
          </w:tcPr>
          <w:p w14:paraId="5A602BC0" w14:textId="77777777" w:rsidR="003776C5" w:rsidRPr="003776C5" w:rsidRDefault="003776C5" w:rsidP="003776C5">
            <w:pPr>
              <w:spacing w:after="0" w:line="240" w:lineRule="auto"/>
              <w:jc w:val="center"/>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X</w:t>
            </w:r>
          </w:p>
        </w:tc>
        <w:tc>
          <w:tcPr>
            <w:tcW w:w="8618" w:type="dxa"/>
            <w:tcBorders>
              <w:top w:val="single" w:sz="4" w:space="0" w:color="auto"/>
              <w:left w:val="nil"/>
              <w:bottom w:val="single" w:sz="4" w:space="0" w:color="auto"/>
              <w:right w:val="single" w:sz="4" w:space="0" w:color="auto"/>
            </w:tcBorders>
            <w:shd w:val="clear" w:color="auto" w:fill="auto"/>
            <w:hideMark/>
          </w:tcPr>
          <w:p w14:paraId="367B4123" w14:textId="77777777" w:rsidR="003776C5" w:rsidRPr="003776C5" w:rsidRDefault="003776C5" w:rsidP="003776C5">
            <w:pPr>
              <w:spacing w:after="0" w:line="240" w:lineRule="auto"/>
              <w:rPr>
                <w:rFonts w:ascii="Calibri" w:eastAsia="Times New Roman" w:hAnsi="Calibri"/>
                <w:noProof w:val="0"/>
                <w:color w:val="000000"/>
                <w:sz w:val="24"/>
                <w:lang w:eastAsia="en-AU"/>
              </w:rPr>
            </w:pPr>
          </w:p>
          <w:p w14:paraId="317EB422" w14:textId="77777777" w:rsidR="003776C5" w:rsidRPr="003776C5" w:rsidRDefault="003776C5" w:rsidP="003776C5">
            <w:pPr>
              <w:spacing w:after="240" w:line="240" w:lineRule="auto"/>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 xml:space="preserve">The initial power consumed by each individual LED lamp in the measured sample shall not exceed the rated power by more than 10 %. </w:t>
            </w:r>
          </w:p>
        </w:tc>
      </w:tr>
      <w:tr w:rsidR="003776C5" w:rsidRPr="003776C5" w14:paraId="7963B491" w14:textId="77777777" w:rsidTr="006B00C9">
        <w:trPr>
          <w:trHeight w:val="849"/>
        </w:trPr>
        <w:tc>
          <w:tcPr>
            <w:tcW w:w="454" w:type="dxa"/>
            <w:tcBorders>
              <w:top w:val="nil"/>
              <w:left w:val="single" w:sz="4" w:space="0" w:color="auto"/>
              <w:bottom w:val="single" w:sz="4" w:space="0" w:color="auto"/>
              <w:right w:val="single" w:sz="4" w:space="0" w:color="auto"/>
            </w:tcBorders>
            <w:vAlign w:val="center"/>
          </w:tcPr>
          <w:p w14:paraId="4A131371" w14:textId="77777777" w:rsidR="003776C5" w:rsidRPr="003776C5" w:rsidRDefault="003776C5" w:rsidP="003776C5">
            <w:pPr>
              <w:spacing w:after="0" w:line="240" w:lineRule="auto"/>
              <w:jc w:val="center"/>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4</w:t>
            </w:r>
          </w:p>
        </w:tc>
        <w:tc>
          <w:tcPr>
            <w:tcW w:w="3544" w:type="dxa"/>
            <w:tcBorders>
              <w:top w:val="nil"/>
              <w:left w:val="single" w:sz="4" w:space="0" w:color="auto"/>
              <w:bottom w:val="single" w:sz="4" w:space="0" w:color="auto"/>
              <w:right w:val="single" w:sz="4" w:space="0" w:color="auto"/>
            </w:tcBorders>
            <w:shd w:val="clear" w:color="auto" w:fill="auto"/>
            <w:vAlign w:val="center"/>
          </w:tcPr>
          <w:p w14:paraId="58DDC385" w14:textId="77777777" w:rsidR="003776C5" w:rsidRPr="003776C5" w:rsidRDefault="003776C5" w:rsidP="003776C5">
            <w:pPr>
              <w:spacing w:after="0" w:line="240" w:lineRule="auto"/>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Replacement Lamp Equivalence</w:t>
            </w:r>
            <w:r w:rsidRPr="003776C5">
              <w:rPr>
                <w:rFonts w:ascii="Calibri" w:eastAsia="Times New Roman" w:hAnsi="Calibri"/>
                <w:noProof w:val="0"/>
                <w:color w:val="000000"/>
                <w:sz w:val="24"/>
                <w:lang w:eastAsia="en-AU"/>
              </w:rPr>
              <w:br/>
              <w:t>(directional and non-directional lamps)</w:t>
            </w:r>
          </w:p>
        </w:tc>
        <w:tc>
          <w:tcPr>
            <w:tcW w:w="567" w:type="dxa"/>
            <w:tcBorders>
              <w:top w:val="nil"/>
              <w:left w:val="nil"/>
              <w:bottom w:val="single" w:sz="4" w:space="0" w:color="auto"/>
              <w:right w:val="single" w:sz="4" w:space="0" w:color="auto"/>
            </w:tcBorders>
            <w:shd w:val="clear" w:color="auto" w:fill="auto"/>
            <w:noWrap/>
            <w:vAlign w:val="center"/>
          </w:tcPr>
          <w:p w14:paraId="4EA2AD9E" w14:textId="77777777" w:rsidR="003776C5" w:rsidRPr="003776C5" w:rsidRDefault="003776C5" w:rsidP="003776C5">
            <w:pPr>
              <w:spacing w:after="0" w:line="240" w:lineRule="auto"/>
              <w:jc w:val="center"/>
              <w:rPr>
                <w:rFonts w:ascii="Calibri" w:eastAsia="Times New Roman" w:hAnsi="Calibri"/>
                <w:noProof w:val="0"/>
                <w:color w:val="000000"/>
                <w:sz w:val="24"/>
                <w:lang w:eastAsia="en-AU"/>
              </w:rPr>
            </w:pPr>
          </w:p>
        </w:tc>
        <w:tc>
          <w:tcPr>
            <w:tcW w:w="567" w:type="dxa"/>
            <w:tcBorders>
              <w:top w:val="nil"/>
              <w:left w:val="nil"/>
              <w:bottom w:val="single" w:sz="4" w:space="0" w:color="auto"/>
              <w:right w:val="single" w:sz="4" w:space="0" w:color="auto"/>
            </w:tcBorders>
            <w:shd w:val="clear" w:color="auto" w:fill="auto"/>
            <w:noWrap/>
            <w:vAlign w:val="center"/>
          </w:tcPr>
          <w:p w14:paraId="51EB5A3E" w14:textId="77777777" w:rsidR="003776C5" w:rsidRPr="003776C5" w:rsidRDefault="003776C5" w:rsidP="003776C5">
            <w:pPr>
              <w:spacing w:after="0" w:line="240" w:lineRule="auto"/>
              <w:jc w:val="center"/>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X</w:t>
            </w:r>
          </w:p>
        </w:tc>
        <w:tc>
          <w:tcPr>
            <w:tcW w:w="1163" w:type="dxa"/>
            <w:tcBorders>
              <w:top w:val="nil"/>
              <w:left w:val="nil"/>
              <w:bottom w:val="single" w:sz="4" w:space="0" w:color="auto"/>
              <w:right w:val="single" w:sz="4" w:space="0" w:color="auto"/>
            </w:tcBorders>
            <w:shd w:val="clear" w:color="auto" w:fill="auto"/>
            <w:noWrap/>
            <w:vAlign w:val="center"/>
          </w:tcPr>
          <w:p w14:paraId="4CF1E02D" w14:textId="77777777" w:rsidR="003776C5" w:rsidRPr="003776C5" w:rsidRDefault="003776C5" w:rsidP="003776C5">
            <w:pPr>
              <w:spacing w:after="0" w:line="240" w:lineRule="auto"/>
              <w:jc w:val="center"/>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X</w:t>
            </w:r>
          </w:p>
        </w:tc>
        <w:tc>
          <w:tcPr>
            <w:tcW w:w="8618" w:type="dxa"/>
            <w:tcBorders>
              <w:top w:val="single" w:sz="4" w:space="0" w:color="auto"/>
              <w:left w:val="nil"/>
              <w:bottom w:val="single" w:sz="4" w:space="0" w:color="auto"/>
              <w:right w:val="single" w:sz="4" w:space="0" w:color="auto"/>
            </w:tcBorders>
            <w:shd w:val="clear" w:color="auto" w:fill="auto"/>
          </w:tcPr>
          <w:p w14:paraId="76320E83" w14:textId="77777777" w:rsidR="003776C5" w:rsidRPr="003776C5" w:rsidRDefault="003776C5" w:rsidP="003776C5">
            <w:pPr>
              <w:spacing w:after="0" w:line="240" w:lineRule="auto"/>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Statement of equivalence to a filament lamp (if claim made). Minimum lumen output required when claiming as specified in Table 1 above.</w:t>
            </w:r>
          </w:p>
        </w:tc>
      </w:tr>
      <w:tr w:rsidR="003776C5" w:rsidRPr="003776C5" w14:paraId="22B60C4C" w14:textId="77777777" w:rsidTr="006B00C9">
        <w:trPr>
          <w:trHeight w:val="480"/>
        </w:trPr>
        <w:tc>
          <w:tcPr>
            <w:tcW w:w="454" w:type="dxa"/>
            <w:tcBorders>
              <w:top w:val="single" w:sz="4" w:space="0" w:color="auto"/>
              <w:left w:val="single" w:sz="4" w:space="0" w:color="auto"/>
              <w:bottom w:val="single" w:sz="4" w:space="0" w:color="auto"/>
              <w:right w:val="single" w:sz="4" w:space="0" w:color="auto"/>
            </w:tcBorders>
            <w:vAlign w:val="center"/>
          </w:tcPr>
          <w:p w14:paraId="01131DFC" w14:textId="77777777" w:rsidR="003776C5" w:rsidRPr="003776C5" w:rsidRDefault="003776C5" w:rsidP="003776C5">
            <w:pPr>
              <w:spacing w:after="0" w:line="240" w:lineRule="auto"/>
              <w:jc w:val="center"/>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71F109" w14:textId="77777777" w:rsidR="003776C5" w:rsidRPr="003776C5" w:rsidRDefault="003776C5" w:rsidP="003776C5">
            <w:pPr>
              <w:spacing w:after="0" w:line="240" w:lineRule="auto"/>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Rated Lifetime</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F38D1B9" w14:textId="77777777" w:rsidR="003776C5" w:rsidRPr="003776C5" w:rsidRDefault="003776C5" w:rsidP="003776C5">
            <w:pPr>
              <w:spacing w:after="0" w:line="240" w:lineRule="auto"/>
              <w:jc w:val="center"/>
              <w:rPr>
                <w:rFonts w:ascii="Calibri" w:eastAsia="Times New Roman" w:hAnsi="Calibri"/>
                <w:noProof w:val="0"/>
                <w:color w:val="000000"/>
                <w:sz w:val="24"/>
                <w:lang w:eastAsia="en-AU"/>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1D250EB" w14:textId="77777777" w:rsidR="003776C5" w:rsidRPr="003776C5" w:rsidRDefault="003776C5" w:rsidP="003776C5">
            <w:pPr>
              <w:spacing w:after="0" w:line="240" w:lineRule="auto"/>
              <w:jc w:val="center"/>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X</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4C770F60" w14:textId="77777777" w:rsidR="003776C5" w:rsidRPr="003776C5" w:rsidRDefault="003776C5" w:rsidP="003776C5">
            <w:pPr>
              <w:spacing w:after="0" w:line="240" w:lineRule="auto"/>
              <w:jc w:val="center"/>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X</w:t>
            </w:r>
          </w:p>
        </w:tc>
        <w:tc>
          <w:tcPr>
            <w:tcW w:w="8618" w:type="dxa"/>
            <w:tcBorders>
              <w:top w:val="single" w:sz="4" w:space="0" w:color="auto"/>
              <w:left w:val="nil"/>
              <w:bottom w:val="single" w:sz="4" w:space="0" w:color="auto"/>
              <w:right w:val="single" w:sz="4" w:space="0" w:color="auto"/>
            </w:tcBorders>
            <w:shd w:val="clear" w:color="auto" w:fill="auto"/>
            <w:hideMark/>
          </w:tcPr>
          <w:p w14:paraId="0E95C512" w14:textId="77777777" w:rsidR="003776C5" w:rsidRPr="003776C5" w:rsidRDefault="003776C5" w:rsidP="003776C5">
            <w:pPr>
              <w:spacing w:after="0" w:line="240" w:lineRule="auto"/>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Must be equal or above the specified minimum rated life.  May include a qualification for lifetime if used in enclosed luminaires.</w:t>
            </w:r>
          </w:p>
        </w:tc>
      </w:tr>
      <w:tr w:rsidR="003776C5" w:rsidRPr="003776C5" w14:paraId="457B82E5" w14:textId="77777777" w:rsidTr="006B00C9">
        <w:trPr>
          <w:trHeight w:val="600"/>
        </w:trPr>
        <w:tc>
          <w:tcPr>
            <w:tcW w:w="454" w:type="dxa"/>
            <w:tcBorders>
              <w:top w:val="nil"/>
              <w:left w:val="single" w:sz="4" w:space="0" w:color="auto"/>
              <w:bottom w:val="single" w:sz="4" w:space="0" w:color="auto"/>
              <w:right w:val="single" w:sz="4" w:space="0" w:color="auto"/>
            </w:tcBorders>
            <w:vAlign w:val="center"/>
          </w:tcPr>
          <w:p w14:paraId="3D028166" w14:textId="77777777" w:rsidR="003776C5" w:rsidRPr="003776C5" w:rsidRDefault="003776C5" w:rsidP="003776C5">
            <w:pPr>
              <w:spacing w:after="0" w:line="240" w:lineRule="auto"/>
              <w:jc w:val="center"/>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6</w:t>
            </w:r>
          </w:p>
        </w:tc>
        <w:tc>
          <w:tcPr>
            <w:tcW w:w="3544" w:type="dxa"/>
            <w:tcBorders>
              <w:top w:val="nil"/>
              <w:left w:val="single" w:sz="4" w:space="0" w:color="auto"/>
              <w:bottom w:val="single" w:sz="4" w:space="0" w:color="auto"/>
              <w:right w:val="single" w:sz="4" w:space="0" w:color="auto"/>
            </w:tcBorders>
            <w:shd w:val="clear" w:color="auto" w:fill="auto"/>
            <w:vAlign w:val="center"/>
            <w:hideMark/>
          </w:tcPr>
          <w:p w14:paraId="242AEBF7" w14:textId="77777777" w:rsidR="003776C5" w:rsidRPr="003776C5" w:rsidRDefault="003776C5" w:rsidP="003776C5">
            <w:pPr>
              <w:spacing w:after="0" w:line="240" w:lineRule="auto"/>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Correlated colour temperature</w:t>
            </w:r>
          </w:p>
        </w:tc>
        <w:tc>
          <w:tcPr>
            <w:tcW w:w="567" w:type="dxa"/>
            <w:tcBorders>
              <w:top w:val="nil"/>
              <w:left w:val="nil"/>
              <w:bottom w:val="single" w:sz="4" w:space="0" w:color="auto"/>
              <w:right w:val="single" w:sz="4" w:space="0" w:color="auto"/>
            </w:tcBorders>
            <w:shd w:val="clear" w:color="auto" w:fill="auto"/>
            <w:noWrap/>
            <w:vAlign w:val="center"/>
            <w:hideMark/>
          </w:tcPr>
          <w:p w14:paraId="1DAB2844" w14:textId="77777777" w:rsidR="003776C5" w:rsidRPr="003776C5" w:rsidRDefault="003776C5" w:rsidP="003776C5">
            <w:pPr>
              <w:spacing w:after="0" w:line="240" w:lineRule="auto"/>
              <w:jc w:val="center"/>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X</w:t>
            </w:r>
          </w:p>
        </w:tc>
        <w:tc>
          <w:tcPr>
            <w:tcW w:w="567" w:type="dxa"/>
            <w:tcBorders>
              <w:top w:val="nil"/>
              <w:left w:val="nil"/>
              <w:bottom w:val="single" w:sz="4" w:space="0" w:color="auto"/>
              <w:right w:val="single" w:sz="4" w:space="0" w:color="auto"/>
            </w:tcBorders>
            <w:shd w:val="clear" w:color="auto" w:fill="auto"/>
            <w:noWrap/>
            <w:vAlign w:val="center"/>
            <w:hideMark/>
          </w:tcPr>
          <w:p w14:paraId="4A3481C2" w14:textId="77777777" w:rsidR="003776C5" w:rsidRPr="003776C5" w:rsidRDefault="003776C5" w:rsidP="003776C5">
            <w:pPr>
              <w:spacing w:after="0" w:line="240" w:lineRule="auto"/>
              <w:jc w:val="center"/>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X</w:t>
            </w:r>
          </w:p>
        </w:tc>
        <w:tc>
          <w:tcPr>
            <w:tcW w:w="1163" w:type="dxa"/>
            <w:tcBorders>
              <w:top w:val="nil"/>
              <w:left w:val="nil"/>
              <w:bottom w:val="single" w:sz="4" w:space="0" w:color="auto"/>
              <w:right w:val="single" w:sz="4" w:space="0" w:color="auto"/>
            </w:tcBorders>
            <w:shd w:val="clear" w:color="auto" w:fill="auto"/>
            <w:noWrap/>
            <w:vAlign w:val="center"/>
            <w:hideMark/>
          </w:tcPr>
          <w:p w14:paraId="5B62CD23" w14:textId="77777777" w:rsidR="003776C5" w:rsidRPr="003776C5" w:rsidRDefault="003776C5" w:rsidP="003776C5">
            <w:pPr>
              <w:spacing w:after="0" w:line="240" w:lineRule="auto"/>
              <w:jc w:val="center"/>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X</w:t>
            </w:r>
          </w:p>
        </w:tc>
        <w:tc>
          <w:tcPr>
            <w:tcW w:w="8618" w:type="dxa"/>
            <w:tcBorders>
              <w:top w:val="single" w:sz="4" w:space="0" w:color="auto"/>
              <w:left w:val="nil"/>
              <w:bottom w:val="single" w:sz="4" w:space="0" w:color="auto"/>
              <w:right w:val="single" w:sz="4" w:space="0" w:color="auto"/>
            </w:tcBorders>
            <w:shd w:val="clear" w:color="auto" w:fill="auto"/>
            <w:hideMark/>
          </w:tcPr>
          <w:p w14:paraId="78649380" w14:textId="77777777" w:rsidR="003776C5" w:rsidRPr="003776C5" w:rsidRDefault="003776C5" w:rsidP="003776C5">
            <w:pPr>
              <w:spacing w:after="0" w:line="240" w:lineRule="auto"/>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 </w:t>
            </w:r>
          </w:p>
        </w:tc>
      </w:tr>
      <w:tr w:rsidR="003776C5" w:rsidRPr="003776C5" w14:paraId="45E7759F" w14:textId="77777777" w:rsidTr="006B00C9">
        <w:trPr>
          <w:trHeight w:val="600"/>
        </w:trPr>
        <w:tc>
          <w:tcPr>
            <w:tcW w:w="454" w:type="dxa"/>
            <w:tcBorders>
              <w:top w:val="nil"/>
              <w:left w:val="single" w:sz="4" w:space="0" w:color="auto"/>
              <w:bottom w:val="single" w:sz="4" w:space="0" w:color="auto"/>
              <w:right w:val="single" w:sz="4" w:space="0" w:color="auto"/>
            </w:tcBorders>
            <w:vAlign w:val="center"/>
          </w:tcPr>
          <w:p w14:paraId="2E596C86" w14:textId="77777777" w:rsidR="003776C5" w:rsidRPr="003776C5" w:rsidRDefault="003776C5" w:rsidP="003776C5">
            <w:pPr>
              <w:spacing w:after="0" w:line="240" w:lineRule="auto"/>
              <w:jc w:val="center"/>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7</w:t>
            </w:r>
          </w:p>
        </w:tc>
        <w:tc>
          <w:tcPr>
            <w:tcW w:w="3544" w:type="dxa"/>
            <w:tcBorders>
              <w:top w:val="nil"/>
              <w:left w:val="single" w:sz="4" w:space="0" w:color="auto"/>
              <w:bottom w:val="single" w:sz="4" w:space="0" w:color="auto"/>
              <w:right w:val="single" w:sz="4" w:space="0" w:color="auto"/>
            </w:tcBorders>
            <w:shd w:val="clear" w:color="auto" w:fill="auto"/>
            <w:vAlign w:val="center"/>
          </w:tcPr>
          <w:p w14:paraId="37A528A5" w14:textId="77777777" w:rsidR="003776C5" w:rsidRPr="003776C5" w:rsidRDefault="003776C5" w:rsidP="003776C5">
            <w:pPr>
              <w:spacing w:after="0" w:line="240" w:lineRule="auto"/>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 xml:space="preserve">CRI </w:t>
            </w:r>
          </w:p>
        </w:tc>
        <w:tc>
          <w:tcPr>
            <w:tcW w:w="567" w:type="dxa"/>
            <w:tcBorders>
              <w:top w:val="nil"/>
              <w:left w:val="nil"/>
              <w:bottom w:val="single" w:sz="4" w:space="0" w:color="auto"/>
              <w:right w:val="single" w:sz="4" w:space="0" w:color="auto"/>
            </w:tcBorders>
            <w:shd w:val="clear" w:color="auto" w:fill="auto"/>
            <w:noWrap/>
            <w:vAlign w:val="center"/>
          </w:tcPr>
          <w:p w14:paraId="56152538" w14:textId="77777777" w:rsidR="003776C5" w:rsidRPr="003776C5" w:rsidRDefault="003776C5" w:rsidP="003776C5">
            <w:pPr>
              <w:spacing w:after="0" w:line="240" w:lineRule="auto"/>
              <w:jc w:val="center"/>
              <w:rPr>
                <w:rFonts w:ascii="Calibri" w:eastAsia="Times New Roman" w:hAnsi="Calibri"/>
                <w:noProof w:val="0"/>
                <w:color w:val="000000"/>
                <w:sz w:val="24"/>
                <w:lang w:eastAsia="en-AU"/>
              </w:rPr>
            </w:pPr>
          </w:p>
        </w:tc>
        <w:tc>
          <w:tcPr>
            <w:tcW w:w="567" w:type="dxa"/>
            <w:tcBorders>
              <w:top w:val="nil"/>
              <w:left w:val="nil"/>
              <w:bottom w:val="single" w:sz="4" w:space="0" w:color="auto"/>
              <w:right w:val="single" w:sz="4" w:space="0" w:color="auto"/>
            </w:tcBorders>
            <w:shd w:val="clear" w:color="auto" w:fill="auto"/>
            <w:noWrap/>
            <w:vAlign w:val="center"/>
          </w:tcPr>
          <w:p w14:paraId="0441C909" w14:textId="77777777" w:rsidR="003776C5" w:rsidRPr="003776C5" w:rsidRDefault="003776C5" w:rsidP="003776C5">
            <w:pPr>
              <w:spacing w:after="0" w:line="240" w:lineRule="auto"/>
              <w:jc w:val="center"/>
              <w:rPr>
                <w:rFonts w:ascii="Calibri" w:eastAsia="Times New Roman" w:hAnsi="Calibri"/>
                <w:noProof w:val="0"/>
                <w:color w:val="000000"/>
                <w:sz w:val="24"/>
                <w:lang w:eastAsia="en-AU"/>
              </w:rPr>
            </w:pPr>
          </w:p>
        </w:tc>
        <w:tc>
          <w:tcPr>
            <w:tcW w:w="1163" w:type="dxa"/>
            <w:tcBorders>
              <w:top w:val="nil"/>
              <w:left w:val="nil"/>
              <w:bottom w:val="single" w:sz="4" w:space="0" w:color="auto"/>
              <w:right w:val="single" w:sz="4" w:space="0" w:color="auto"/>
            </w:tcBorders>
            <w:shd w:val="clear" w:color="auto" w:fill="auto"/>
            <w:noWrap/>
            <w:vAlign w:val="center"/>
          </w:tcPr>
          <w:p w14:paraId="6ACA2320" w14:textId="77777777" w:rsidR="003776C5" w:rsidRPr="003776C5" w:rsidRDefault="003776C5" w:rsidP="003776C5">
            <w:pPr>
              <w:spacing w:after="0" w:line="240" w:lineRule="auto"/>
              <w:jc w:val="center"/>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X</w:t>
            </w:r>
          </w:p>
        </w:tc>
        <w:tc>
          <w:tcPr>
            <w:tcW w:w="8618" w:type="dxa"/>
            <w:tcBorders>
              <w:top w:val="single" w:sz="4" w:space="0" w:color="auto"/>
              <w:left w:val="nil"/>
              <w:bottom w:val="single" w:sz="4" w:space="0" w:color="auto"/>
              <w:right w:val="single" w:sz="4" w:space="0" w:color="auto"/>
            </w:tcBorders>
            <w:shd w:val="clear" w:color="auto" w:fill="auto"/>
          </w:tcPr>
          <w:p w14:paraId="67B2800E" w14:textId="77777777" w:rsidR="003776C5" w:rsidRPr="003776C5" w:rsidRDefault="003776C5" w:rsidP="003776C5">
            <w:pPr>
              <w:spacing w:after="0" w:line="240" w:lineRule="auto"/>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 xml:space="preserve">Must be greater than rated CRI - 3. </w:t>
            </w:r>
          </w:p>
        </w:tc>
      </w:tr>
      <w:tr w:rsidR="003776C5" w:rsidRPr="003776C5" w14:paraId="7C180F13" w14:textId="77777777" w:rsidTr="006B00C9">
        <w:trPr>
          <w:trHeight w:val="600"/>
        </w:trPr>
        <w:tc>
          <w:tcPr>
            <w:tcW w:w="454" w:type="dxa"/>
            <w:tcBorders>
              <w:top w:val="nil"/>
              <w:left w:val="single" w:sz="4" w:space="0" w:color="auto"/>
              <w:bottom w:val="single" w:sz="4" w:space="0" w:color="auto"/>
              <w:right w:val="single" w:sz="4" w:space="0" w:color="auto"/>
            </w:tcBorders>
            <w:vAlign w:val="center"/>
          </w:tcPr>
          <w:p w14:paraId="5B983B1D" w14:textId="77777777" w:rsidR="003776C5" w:rsidRPr="003776C5" w:rsidRDefault="003776C5" w:rsidP="003776C5">
            <w:pPr>
              <w:spacing w:after="0" w:line="240" w:lineRule="auto"/>
              <w:jc w:val="center"/>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8</w:t>
            </w:r>
          </w:p>
        </w:tc>
        <w:tc>
          <w:tcPr>
            <w:tcW w:w="3544" w:type="dxa"/>
            <w:tcBorders>
              <w:top w:val="nil"/>
              <w:left w:val="single" w:sz="4" w:space="0" w:color="auto"/>
              <w:bottom w:val="single" w:sz="4" w:space="0" w:color="auto"/>
              <w:right w:val="single" w:sz="4" w:space="0" w:color="auto"/>
            </w:tcBorders>
            <w:shd w:val="clear" w:color="auto" w:fill="auto"/>
            <w:vAlign w:val="center"/>
          </w:tcPr>
          <w:p w14:paraId="7A20A604" w14:textId="77777777" w:rsidR="003776C5" w:rsidRPr="003776C5" w:rsidRDefault="003776C5" w:rsidP="003776C5">
            <w:pPr>
              <w:spacing w:after="0" w:line="240" w:lineRule="auto"/>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Beam Angle (for directional lamps &amp; small luminaires)</w:t>
            </w:r>
          </w:p>
        </w:tc>
        <w:tc>
          <w:tcPr>
            <w:tcW w:w="567" w:type="dxa"/>
            <w:tcBorders>
              <w:top w:val="nil"/>
              <w:left w:val="nil"/>
              <w:bottom w:val="single" w:sz="4" w:space="0" w:color="auto"/>
              <w:right w:val="single" w:sz="4" w:space="0" w:color="auto"/>
            </w:tcBorders>
            <w:shd w:val="clear" w:color="auto" w:fill="auto"/>
            <w:noWrap/>
            <w:vAlign w:val="center"/>
          </w:tcPr>
          <w:p w14:paraId="518DE987" w14:textId="77777777" w:rsidR="003776C5" w:rsidRPr="003776C5" w:rsidRDefault="003776C5" w:rsidP="003776C5">
            <w:pPr>
              <w:spacing w:after="0" w:line="240" w:lineRule="auto"/>
              <w:jc w:val="center"/>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X</w:t>
            </w:r>
          </w:p>
        </w:tc>
        <w:tc>
          <w:tcPr>
            <w:tcW w:w="567" w:type="dxa"/>
            <w:tcBorders>
              <w:top w:val="nil"/>
              <w:left w:val="nil"/>
              <w:bottom w:val="single" w:sz="4" w:space="0" w:color="auto"/>
              <w:right w:val="single" w:sz="4" w:space="0" w:color="auto"/>
            </w:tcBorders>
            <w:shd w:val="clear" w:color="auto" w:fill="auto"/>
            <w:noWrap/>
            <w:vAlign w:val="center"/>
          </w:tcPr>
          <w:p w14:paraId="4C44C678" w14:textId="77777777" w:rsidR="003776C5" w:rsidRPr="003776C5" w:rsidRDefault="003776C5" w:rsidP="003776C5">
            <w:pPr>
              <w:spacing w:after="0" w:line="240" w:lineRule="auto"/>
              <w:jc w:val="center"/>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X</w:t>
            </w:r>
          </w:p>
        </w:tc>
        <w:tc>
          <w:tcPr>
            <w:tcW w:w="1163" w:type="dxa"/>
            <w:tcBorders>
              <w:top w:val="nil"/>
              <w:left w:val="nil"/>
              <w:bottom w:val="single" w:sz="4" w:space="0" w:color="auto"/>
              <w:right w:val="single" w:sz="4" w:space="0" w:color="auto"/>
            </w:tcBorders>
            <w:shd w:val="clear" w:color="auto" w:fill="auto"/>
            <w:noWrap/>
            <w:vAlign w:val="center"/>
          </w:tcPr>
          <w:p w14:paraId="057ECF0D" w14:textId="77777777" w:rsidR="003776C5" w:rsidRPr="003776C5" w:rsidRDefault="003776C5" w:rsidP="003776C5">
            <w:pPr>
              <w:spacing w:after="0" w:line="240" w:lineRule="auto"/>
              <w:jc w:val="center"/>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X</w:t>
            </w:r>
          </w:p>
        </w:tc>
        <w:tc>
          <w:tcPr>
            <w:tcW w:w="8618" w:type="dxa"/>
            <w:tcBorders>
              <w:top w:val="single" w:sz="4" w:space="0" w:color="auto"/>
              <w:left w:val="nil"/>
              <w:bottom w:val="single" w:sz="4" w:space="0" w:color="auto"/>
              <w:right w:val="single" w:sz="4" w:space="0" w:color="auto"/>
            </w:tcBorders>
            <w:shd w:val="clear" w:color="auto" w:fill="auto"/>
          </w:tcPr>
          <w:p w14:paraId="6CD9D6F3" w14:textId="77777777" w:rsidR="003776C5" w:rsidRPr="003776C5" w:rsidRDefault="003776C5" w:rsidP="003776C5">
            <w:pPr>
              <w:spacing w:after="0" w:line="240" w:lineRule="auto"/>
              <w:rPr>
                <w:rFonts w:ascii="Calibri" w:eastAsia="Times New Roman" w:hAnsi="Calibri"/>
                <w:noProof w:val="0"/>
                <w:color w:val="000000"/>
                <w:sz w:val="24"/>
                <w:lang w:eastAsia="en-AU"/>
              </w:rPr>
            </w:pPr>
          </w:p>
        </w:tc>
      </w:tr>
      <w:tr w:rsidR="003776C5" w:rsidRPr="003776C5" w14:paraId="4F8DBA78" w14:textId="77777777" w:rsidTr="006B00C9">
        <w:trPr>
          <w:trHeight w:val="600"/>
        </w:trPr>
        <w:tc>
          <w:tcPr>
            <w:tcW w:w="454" w:type="dxa"/>
            <w:tcBorders>
              <w:top w:val="nil"/>
              <w:left w:val="single" w:sz="4" w:space="0" w:color="auto"/>
              <w:bottom w:val="single" w:sz="4" w:space="0" w:color="auto"/>
              <w:right w:val="single" w:sz="4" w:space="0" w:color="auto"/>
            </w:tcBorders>
            <w:vAlign w:val="center"/>
          </w:tcPr>
          <w:p w14:paraId="42075432" w14:textId="77777777" w:rsidR="003776C5" w:rsidRPr="003776C5" w:rsidRDefault="003776C5" w:rsidP="003776C5">
            <w:pPr>
              <w:spacing w:after="0" w:line="240" w:lineRule="auto"/>
              <w:jc w:val="center"/>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9</w:t>
            </w:r>
          </w:p>
        </w:tc>
        <w:tc>
          <w:tcPr>
            <w:tcW w:w="3544" w:type="dxa"/>
            <w:tcBorders>
              <w:top w:val="nil"/>
              <w:left w:val="single" w:sz="4" w:space="0" w:color="auto"/>
              <w:bottom w:val="single" w:sz="4" w:space="0" w:color="auto"/>
              <w:right w:val="single" w:sz="4" w:space="0" w:color="auto"/>
            </w:tcBorders>
            <w:shd w:val="clear" w:color="auto" w:fill="auto"/>
            <w:vAlign w:val="center"/>
          </w:tcPr>
          <w:p w14:paraId="2E35EB97" w14:textId="77777777" w:rsidR="003776C5" w:rsidRPr="003776C5" w:rsidRDefault="003776C5" w:rsidP="003776C5">
            <w:pPr>
              <w:spacing w:after="0" w:line="240" w:lineRule="auto"/>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Dimmable</w:t>
            </w:r>
          </w:p>
        </w:tc>
        <w:tc>
          <w:tcPr>
            <w:tcW w:w="567" w:type="dxa"/>
            <w:tcBorders>
              <w:top w:val="nil"/>
              <w:left w:val="nil"/>
              <w:bottom w:val="single" w:sz="4" w:space="0" w:color="auto"/>
              <w:right w:val="single" w:sz="4" w:space="0" w:color="auto"/>
            </w:tcBorders>
            <w:shd w:val="clear" w:color="auto" w:fill="auto"/>
            <w:noWrap/>
            <w:vAlign w:val="center"/>
          </w:tcPr>
          <w:p w14:paraId="659BC922" w14:textId="77777777" w:rsidR="003776C5" w:rsidRPr="003776C5" w:rsidRDefault="003776C5" w:rsidP="003776C5">
            <w:pPr>
              <w:spacing w:after="0" w:line="240" w:lineRule="auto"/>
              <w:jc w:val="center"/>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X</w:t>
            </w:r>
          </w:p>
        </w:tc>
        <w:tc>
          <w:tcPr>
            <w:tcW w:w="567" w:type="dxa"/>
            <w:tcBorders>
              <w:top w:val="nil"/>
              <w:left w:val="nil"/>
              <w:bottom w:val="single" w:sz="4" w:space="0" w:color="auto"/>
              <w:right w:val="single" w:sz="4" w:space="0" w:color="auto"/>
            </w:tcBorders>
            <w:shd w:val="clear" w:color="auto" w:fill="auto"/>
            <w:noWrap/>
            <w:vAlign w:val="center"/>
          </w:tcPr>
          <w:p w14:paraId="24800FEB" w14:textId="77777777" w:rsidR="003776C5" w:rsidRPr="003776C5" w:rsidRDefault="003776C5" w:rsidP="003776C5">
            <w:pPr>
              <w:spacing w:after="0" w:line="240" w:lineRule="auto"/>
              <w:jc w:val="center"/>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X</w:t>
            </w:r>
          </w:p>
        </w:tc>
        <w:tc>
          <w:tcPr>
            <w:tcW w:w="1163" w:type="dxa"/>
            <w:tcBorders>
              <w:top w:val="nil"/>
              <w:left w:val="nil"/>
              <w:bottom w:val="single" w:sz="4" w:space="0" w:color="auto"/>
              <w:right w:val="single" w:sz="4" w:space="0" w:color="auto"/>
            </w:tcBorders>
            <w:shd w:val="clear" w:color="auto" w:fill="auto"/>
            <w:noWrap/>
            <w:vAlign w:val="center"/>
          </w:tcPr>
          <w:p w14:paraId="5FEF79CB" w14:textId="77777777" w:rsidR="003776C5" w:rsidRPr="003776C5" w:rsidRDefault="003776C5" w:rsidP="003776C5">
            <w:pPr>
              <w:spacing w:after="0" w:line="240" w:lineRule="auto"/>
              <w:jc w:val="center"/>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X</w:t>
            </w:r>
          </w:p>
        </w:tc>
        <w:tc>
          <w:tcPr>
            <w:tcW w:w="8618" w:type="dxa"/>
            <w:tcBorders>
              <w:top w:val="single" w:sz="4" w:space="0" w:color="auto"/>
              <w:left w:val="nil"/>
              <w:bottom w:val="single" w:sz="4" w:space="0" w:color="auto"/>
              <w:right w:val="single" w:sz="4" w:space="0" w:color="auto"/>
            </w:tcBorders>
            <w:shd w:val="clear" w:color="auto" w:fill="auto"/>
          </w:tcPr>
          <w:p w14:paraId="01204F45" w14:textId="77777777" w:rsidR="003776C5" w:rsidRPr="003776C5" w:rsidRDefault="003776C5" w:rsidP="003776C5">
            <w:pPr>
              <w:spacing w:after="0" w:line="240" w:lineRule="auto"/>
              <w:rPr>
                <w:rFonts w:ascii="Calibri" w:eastAsia="Times New Roman" w:hAnsi="Calibri"/>
                <w:noProof w:val="0"/>
                <w:color w:val="000000"/>
                <w:sz w:val="24"/>
                <w:lang w:eastAsia="en-AU"/>
              </w:rPr>
            </w:pPr>
          </w:p>
        </w:tc>
      </w:tr>
      <w:tr w:rsidR="003776C5" w:rsidRPr="003776C5" w14:paraId="662FA963" w14:textId="77777777" w:rsidTr="006B00C9">
        <w:trPr>
          <w:trHeight w:val="600"/>
        </w:trPr>
        <w:tc>
          <w:tcPr>
            <w:tcW w:w="454" w:type="dxa"/>
            <w:tcBorders>
              <w:top w:val="nil"/>
              <w:left w:val="single" w:sz="4" w:space="0" w:color="auto"/>
              <w:bottom w:val="single" w:sz="4" w:space="0" w:color="auto"/>
              <w:right w:val="single" w:sz="4" w:space="0" w:color="auto"/>
            </w:tcBorders>
            <w:vAlign w:val="center"/>
          </w:tcPr>
          <w:p w14:paraId="0B37747A" w14:textId="77777777" w:rsidR="003776C5" w:rsidRPr="003776C5" w:rsidRDefault="003776C5" w:rsidP="003776C5">
            <w:pPr>
              <w:spacing w:after="0" w:line="240" w:lineRule="auto"/>
              <w:jc w:val="center"/>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10</w:t>
            </w:r>
          </w:p>
        </w:tc>
        <w:tc>
          <w:tcPr>
            <w:tcW w:w="3544" w:type="dxa"/>
            <w:tcBorders>
              <w:top w:val="nil"/>
              <w:left w:val="single" w:sz="4" w:space="0" w:color="auto"/>
              <w:bottom w:val="single" w:sz="4" w:space="0" w:color="auto"/>
              <w:right w:val="single" w:sz="4" w:space="0" w:color="auto"/>
            </w:tcBorders>
            <w:shd w:val="clear" w:color="auto" w:fill="auto"/>
            <w:vAlign w:val="center"/>
            <w:hideMark/>
          </w:tcPr>
          <w:p w14:paraId="697C13F5" w14:textId="53929C6F" w:rsidR="003776C5" w:rsidRPr="003776C5" w:rsidRDefault="003776C5" w:rsidP="003776C5">
            <w:pPr>
              <w:spacing w:after="0" w:line="240" w:lineRule="auto"/>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 xml:space="preserve">Dimmer compatibility information and </w:t>
            </w:r>
            <w:r w:rsidR="00046631" w:rsidRPr="003776C5">
              <w:rPr>
                <w:rFonts w:ascii="Calibri" w:eastAsia="Times New Roman" w:hAnsi="Calibri"/>
                <w:noProof w:val="0"/>
                <w:color w:val="000000"/>
                <w:sz w:val="24"/>
                <w:lang w:eastAsia="en-AU"/>
              </w:rPr>
              <w:t>web link</w:t>
            </w:r>
          </w:p>
        </w:tc>
        <w:tc>
          <w:tcPr>
            <w:tcW w:w="567" w:type="dxa"/>
            <w:tcBorders>
              <w:top w:val="nil"/>
              <w:left w:val="nil"/>
              <w:bottom w:val="single" w:sz="4" w:space="0" w:color="auto"/>
              <w:right w:val="single" w:sz="4" w:space="0" w:color="auto"/>
            </w:tcBorders>
            <w:shd w:val="clear" w:color="auto" w:fill="auto"/>
            <w:noWrap/>
            <w:vAlign w:val="center"/>
            <w:hideMark/>
          </w:tcPr>
          <w:p w14:paraId="58167B37" w14:textId="77777777" w:rsidR="003776C5" w:rsidRPr="003776C5" w:rsidRDefault="003776C5" w:rsidP="003776C5">
            <w:pPr>
              <w:spacing w:after="0" w:line="240" w:lineRule="auto"/>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 </w:t>
            </w:r>
          </w:p>
        </w:tc>
        <w:tc>
          <w:tcPr>
            <w:tcW w:w="567" w:type="dxa"/>
            <w:tcBorders>
              <w:top w:val="nil"/>
              <w:left w:val="nil"/>
              <w:bottom w:val="single" w:sz="4" w:space="0" w:color="auto"/>
              <w:right w:val="single" w:sz="4" w:space="0" w:color="auto"/>
            </w:tcBorders>
            <w:shd w:val="clear" w:color="auto" w:fill="auto"/>
            <w:noWrap/>
            <w:vAlign w:val="center"/>
            <w:hideMark/>
          </w:tcPr>
          <w:p w14:paraId="7181C551" w14:textId="77777777" w:rsidR="003776C5" w:rsidRPr="003776C5" w:rsidRDefault="003776C5" w:rsidP="003776C5">
            <w:pPr>
              <w:spacing w:after="0" w:line="240" w:lineRule="auto"/>
              <w:jc w:val="center"/>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 xml:space="preserve">X </w:t>
            </w:r>
          </w:p>
        </w:tc>
        <w:tc>
          <w:tcPr>
            <w:tcW w:w="1163" w:type="dxa"/>
            <w:tcBorders>
              <w:top w:val="nil"/>
              <w:left w:val="nil"/>
              <w:bottom w:val="single" w:sz="4" w:space="0" w:color="auto"/>
              <w:right w:val="single" w:sz="4" w:space="0" w:color="auto"/>
            </w:tcBorders>
            <w:shd w:val="clear" w:color="auto" w:fill="auto"/>
            <w:noWrap/>
            <w:vAlign w:val="center"/>
            <w:hideMark/>
          </w:tcPr>
          <w:p w14:paraId="1A7BBA8D" w14:textId="77777777" w:rsidR="003776C5" w:rsidRPr="003776C5" w:rsidRDefault="003776C5" w:rsidP="003776C5">
            <w:pPr>
              <w:spacing w:after="0" w:line="240" w:lineRule="auto"/>
              <w:jc w:val="center"/>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X</w:t>
            </w:r>
          </w:p>
        </w:tc>
        <w:tc>
          <w:tcPr>
            <w:tcW w:w="8618" w:type="dxa"/>
            <w:tcBorders>
              <w:top w:val="single" w:sz="4" w:space="0" w:color="auto"/>
              <w:left w:val="nil"/>
              <w:bottom w:val="single" w:sz="4" w:space="0" w:color="auto"/>
              <w:right w:val="single" w:sz="4" w:space="0" w:color="auto"/>
            </w:tcBorders>
            <w:shd w:val="clear" w:color="auto" w:fill="auto"/>
            <w:hideMark/>
          </w:tcPr>
          <w:p w14:paraId="17B06C19" w14:textId="77777777" w:rsidR="003776C5" w:rsidRPr="003776C5" w:rsidRDefault="003776C5" w:rsidP="003776C5">
            <w:pPr>
              <w:spacing w:after="0" w:line="240" w:lineRule="auto"/>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 If claim made that product is dimmable</w:t>
            </w:r>
          </w:p>
        </w:tc>
      </w:tr>
      <w:tr w:rsidR="003776C5" w:rsidRPr="003776C5" w14:paraId="6600E463" w14:textId="77777777" w:rsidTr="006B00C9">
        <w:trPr>
          <w:trHeight w:val="600"/>
        </w:trPr>
        <w:tc>
          <w:tcPr>
            <w:tcW w:w="454" w:type="dxa"/>
            <w:tcBorders>
              <w:top w:val="nil"/>
              <w:left w:val="single" w:sz="4" w:space="0" w:color="auto"/>
              <w:bottom w:val="single" w:sz="4" w:space="0" w:color="auto"/>
              <w:right w:val="single" w:sz="4" w:space="0" w:color="auto"/>
            </w:tcBorders>
            <w:vAlign w:val="center"/>
          </w:tcPr>
          <w:p w14:paraId="4D821E8B" w14:textId="77777777" w:rsidR="003776C5" w:rsidRPr="003776C5" w:rsidRDefault="003776C5" w:rsidP="003776C5">
            <w:pPr>
              <w:spacing w:after="0" w:line="240" w:lineRule="auto"/>
              <w:jc w:val="center"/>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11</w:t>
            </w:r>
          </w:p>
        </w:tc>
        <w:tc>
          <w:tcPr>
            <w:tcW w:w="3544" w:type="dxa"/>
            <w:tcBorders>
              <w:top w:val="nil"/>
              <w:left w:val="single" w:sz="4" w:space="0" w:color="auto"/>
              <w:bottom w:val="single" w:sz="4" w:space="0" w:color="auto"/>
              <w:right w:val="single" w:sz="4" w:space="0" w:color="auto"/>
            </w:tcBorders>
            <w:shd w:val="clear" w:color="auto" w:fill="auto"/>
            <w:vAlign w:val="center"/>
            <w:hideMark/>
          </w:tcPr>
          <w:p w14:paraId="13DAA3B3" w14:textId="2522703C" w:rsidR="003776C5" w:rsidRPr="003776C5" w:rsidRDefault="003776C5" w:rsidP="003776C5">
            <w:pPr>
              <w:spacing w:after="0" w:line="240" w:lineRule="auto"/>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 xml:space="preserve">ELVC converter compatibility information and </w:t>
            </w:r>
            <w:r w:rsidR="00046631" w:rsidRPr="003776C5">
              <w:rPr>
                <w:rFonts w:ascii="Calibri" w:eastAsia="Times New Roman" w:hAnsi="Calibri"/>
                <w:noProof w:val="0"/>
                <w:color w:val="000000"/>
                <w:sz w:val="24"/>
                <w:lang w:eastAsia="en-AU"/>
              </w:rPr>
              <w:t>web link</w:t>
            </w:r>
          </w:p>
        </w:tc>
        <w:tc>
          <w:tcPr>
            <w:tcW w:w="567" w:type="dxa"/>
            <w:tcBorders>
              <w:top w:val="nil"/>
              <w:left w:val="nil"/>
              <w:bottom w:val="single" w:sz="4" w:space="0" w:color="auto"/>
              <w:right w:val="single" w:sz="4" w:space="0" w:color="auto"/>
            </w:tcBorders>
            <w:shd w:val="clear" w:color="auto" w:fill="auto"/>
            <w:noWrap/>
            <w:vAlign w:val="center"/>
            <w:hideMark/>
          </w:tcPr>
          <w:p w14:paraId="45C6BE67" w14:textId="77777777" w:rsidR="003776C5" w:rsidRPr="003776C5" w:rsidRDefault="003776C5" w:rsidP="003776C5">
            <w:pPr>
              <w:spacing w:after="0" w:line="240" w:lineRule="auto"/>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 </w:t>
            </w:r>
          </w:p>
        </w:tc>
        <w:tc>
          <w:tcPr>
            <w:tcW w:w="567" w:type="dxa"/>
            <w:tcBorders>
              <w:top w:val="nil"/>
              <w:left w:val="nil"/>
              <w:bottom w:val="single" w:sz="4" w:space="0" w:color="auto"/>
              <w:right w:val="single" w:sz="4" w:space="0" w:color="auto"/>
            </w:tcBorders>
            <w:shd w:val="clear" w:color="auto" w:fill="auto"/>
            <w:noWrap/>
            <w:vAlign w:val="center"/>
            <w:hideMark/>
          </w:tcPr>
          <w:p w14:paraId="74834DFB" w14:textId="77777777" w:rsidR="003776C5" w:rsidRPr="003776C5" w:rsidRDefault="003776C5" w:rsidP="003776C5">
            <w:pPr>
              <w:spacing w:after="0" w:line="240" w:lineRule="auto"/>
              <w:jc w:val="center"/>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 xml:space="preserve">X </w:t>
            </w:r>
          </w:p>
        </w:tc>
        <w:tc>
          <w:tcPr>
            <w:tcW w:w="1163" w:type="dxa"/>
            <w:tcBorders>
              <w:top w:val="nil"/>
              <w:left w:val="nil"/>
              <w:bottom w:val="single" w:sz="4" w:space="0" w:color="auto"/>
              <w:right w:val="single" w:sz="4" w:space="0" w:color="auto"/>
            </w:tcBorders>
            <w:shd w:val="clear" w:color="auto" w:fill="auto"/>
            <w:noWrap/>
            <w:vAlign w:val="center"/>
            <w:hideMark/>
          </w:tcPr>
          <w:p w14:paraId="6C538AD8" w14:textId="77777777" w:rsidR="003776C5" w:rsidRPr="003776C5" w:rsidRDefault="003776C5" w:rsidP="003776C5">
            <w:pPr>
              <w:spacing w:after="0" w:line="240" w:lineRule="auto"/>
              <w:jc w:val="center"/>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X</w:t>
            </w:r>
          </w:p>
        </w:tc>
        <w:tc>
          <w:tcPr>
            <w:tcW w:w="8618" w:type="dxa"/>
            <w:tcBorders>
              <w:top w:val="single" w:sz="4" w:space="0" w:color="auto"/>
              <w:left w:val="nil"/>
              <w:bottom w:val="single" w:sz="4" w:space="0" w:color="auto"/>
              <w:right w:val="single" w:sz="4" w:space="0" w:color="auto"/>
            </w:tcBorders>
            <w:shd w:val="clear" w:color="auto" w:fill="auto"/>
            <w:hideMark/>
          </w:tcPr>
          <w:p w14:paraId="5C0279A0" w14:textId="77777777" w:rsidR="003776C5" w:rsidRPr="003776C5" w:rsidRDefault="003776C5" w:rsidP="003776C5">
            <w:pPr>
              <w:spacing w:after="0" w:line="240" w:lineRule="auto"/>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 For ELV products only</w:t>
            </w:r>
          </w:p>
        </w:tc>
      </w:tr>
      <w:tr w:rsidR="003776C5" w:rsidRPr="003776C5" w14:paraId="578C7CAB" w14:textId="77777777" w:rsidTr="006B00C9">
        <w:trPr>
          <w:trHeight w:val="600"/>
        </w:trPr>
        <w:tc>
          <w:tcPr>
            <w:tcW w:w="454" w:type="dxa"/>
            <w:tcBorders>
              <w:top w:val="nil"/>
              <w:left w:val="single" w:sz="4" w:space="0" w:color="auto"/>
              <w:bottom w:val="single" w:sz="4" w:space="0" w:color="auto"/>
              <w:right w:val="single" w:sz="4" w:space="0" w:color="auto"/>
            </w:tcBorders>
            <w:vAlign w:val="center"/>
          </w:tcPr>
          <w:p w14:paraId="4B468E12" w14:textId="77777777" w:rsidR="003776C5" w:rsidRPr="003776C5" w:rsidRDefault="003776C5" w:rsidP="003776C5">
            <w:pPr>
              <w:spacing w:after="0" w:line="240" w:lineRule="auto"/>
              <w:jc w:val="center"/>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12</w:t>
            </w:r>
          </w:p>
        </w:tc>
        <w:tc>
          <w:tcPr>
            <w:tcW w:w="3544" w:type="dxa"/>
            <w:tcBorders>
              <w:top w:val="nil"/>
              <w:left w:val="single" w:sz="4" w:space="0" w:color="auto"/>
              <w:bottom w:val="single" w:sz="4" w:space="0" w:color="auto"/>
              <w:right w:val="single" w:sz="4" w:space="0" w:color="auto"/>
            </w:tcBorders>
            <w:shd w:val="clear" w:color="auto" w:fill="auto"/>
            <w:vAlign w:val="center"/>
          </w:tcPr>
          <w:p w14:paraId="6CC515CA" w14:textId="17BC6FAE" w:rsidR="003776C5" w:rsidRPr="003776C5" w:rsidRDefault="003776C5" w:rsidP="003776C5">
            <w:pPr>
              <w:spacing w:after="0" w:line="240" w:lineRule="auto"/>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 xml:space="preserve">Ballast compatibility information and </w:t>
            </w:r>
            <w:r w:rsidR="00046631" w:rsidRPr="003776C5">
              <w:rPr>
                <w:rFonts w:ascii="Calibri" w:eastAsia="Times New Roman" w:hAnsi="Calibri"/>
                <w:noProof w:val="0"/>
                <w:color w:val="000000"/>
                <w:sz w:val="24"/>
                <w:lang w:eastAsia="en-AU"/>
              </w:rPr>
              <w:t>web link</w:t>
            </w:r>
            <w:r w:rsidRPr="003776C5">
              <w:rPr>
                <w:rFonts w:ascii="Calibri" w:eastAsia="Times New Roman" w:hAnsi="Calibri"/>
                <w:noProof w:val="0"/>
                <w:color w:val="000000"/>
                <w:sz w:val="24"/>
                <w:lang w:eastAsia="en-AU"/>
              </w:rPr>
              <w:t xml:space="preserve"> (for Linear LED lamps)</w:t>
            </w:r>
          </w:p>
        </w:tc>
        <w:tc>
          <w:tcPr>
            <w:tcW w:w="567" w:type="dxa"/>
            <w:tcBorders>
              <w:top w:val="nil"/>
              <w:left w:val="nil"/>
              <w:bottom w:val="single" w:sz="4" w:space="0" w:color="auto"/>
              <w:right w:val="single" w:sz="4" w:space="0" w:color="auto"/>
            </w:tcBorders>
            <w:shd w:val="clear" w:color="auto" w:fill="auto"/>
            <w:noWrap/>
            <w:vAlign w:val="center"/>
          </w:tcPr>
          <w:p w14:paraId="5FE1CAA3" w14:textId="77777777" w:rsidR="003776C5" w:rsidRPr="003776C5" w:rsidRDefault="003776C5" w:rsidP="003776C5">
            <w:pPr>
              <w:spacing w:after="0" w:line="240" w:lineRule="auto"/>
              <w:jc w:val="center"/>
              <w:rPr>
                <w:rFonts w:ascii="Calibri" w:eastAsia="Times New Roman" w:hAnsi="Calibri"/>
                <w:noProof w:val="0"/>
                <w:color w:val="000000"/>
                <w:sz w:val="24"/>
                <w:lang w:eastAsia="en-AU"/>
              </w:rPr>
            </w:pPr>
          </w:p>
        </w:tc>
        <w:tc>
          <w:tcPr>
            <w:tcW w:w="567" w:type="dxa"/>
            <w:tcBorders>
              <w:top w:val="nil"/>
              <w:left w:val="nil"/>
              <w:bottom w:val="single" w:sz="4" w:space="0" w:color="auto"/>
              <w:right w:val="single" w:sz="4" w:space="0" w:color="auto"/>
            </w:tcBorders>
            <w:shd w:val="clear" w:color="auto" w:fill="auto"/>
            <w:noWrap/>
            <w:vAlign w:val="center"/>
          </w:tcPr>
          <w:p w14:paraId="7427AA8D" w14:textId="77777777" w:rsidR="003776C5" w:rsidRPr="003776C5" w:rsidRDefault="003776C5" w:rsidP="003776C5">
            <w:pPr>
              <w:spacing w:after="0" w:line="240" w:lineRule="auto"/>
              <w:jc w:val="center"/>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X</w:t>
            </w:r>
          </w:p>
        </w:tc>
        <w:tc>
          <w:tcPr>
            <w:tcW w:w="1163" w:type="dxa"/>
            <w:tcBorders>
              <w:top w:val="nil"/>
              <w:left w:val="nil"/>
              <w:bottom w:val="single" w:sz="4" w:space="0" w:color="auto"/>
              <w:right w:val="single" w:sz="4" w:space="0" w:color="auto"/>
            </w:tcBorders>
            <w:shd w:val="clear" w:color="auto" w:fill="auto"/>
            <w:noWrap/>
            <w:vAlign w:val="center"/>
          </w:tcPr>
          <w:p w14:paraId="30C6CD2C" w14:textId="77777777" w:rsidR="003776C5" w:rsidRPr="003776C5" w:rsidRDefault="003776C5" w:rsidP="003776C5">
            <w:pPr>
              <w:spacing w:after="0" w:line="240" w:lineRule="auto"/>
              <w:jc w:val="center"/>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X</w:t>
            </w:r>
          </w:p>
        </w:tc>
        <w:tc>
          <w:tcPr>
            <w:tcW w:w="8618" w:type="dxa"/>
            <w:tcBorders>
              <w:top w:val="single" w:sz="4" w:space="0" w:color="auto"/>
              <w:left w:val="nil"/>
              <w:bottom w:val="single" w:sz="4" w:space="0" w:color="auto"/>
              <w:right w:val="single" w:sz="4" w:space="0" w:color="auto"/>
            </w:tcBorders>
            <w:shd w:val="clear" w:color="auto" w:fill="auto"/>
          </w:tcPr>
          <w:p w14:paraId="55B9E4D4" w14:textId="77777777" w:rsidR="003776C5" w:rsidRPr="003776C5" w:rsidRDefault="003776C5" w:rsidP="003776C5">
            <w:pPr>
              <w:spacing w:after="0" w:line="240" w:lineRule="auto"/>
              <w:rPr>
                <w:rFonts w:ascii="Calibri" w:eastAsia="Times New Roman" w:hAnsi="Calibri"/>
                <w:noProof w:val="0"/>
                <w:color w:val="000000"/>
                <w:sz w:val="24"/>
                <w:lang w:eastAsia="en-AU"/>
              </w:rPr>
            </w:pPr>
          </w:p>
        </w:tc>
      </w:tr>
      <w:tr w:rsidR="003776C5" w:rsidRPr="003776C5" w14:paraId="496CAB4C" w14:textId="77777777" w:rsidTr="006B00C9">
        <w:trPr>
          <w:trHeight w:val="600"/>
        </w:trPr>
        <w:tc>
          <w:tcPr>
            <w:tcW w:w="454" w:type="dxa"/>
            <w:tcBorders>
              <w:top w:val="nil"/>
              <w:left w:val="single" w:sz="4" w:space="0" w:color="auto"/>
              <w:bottom w:val="single" w:sz="4" w:space="0" w:color="auto"/>
              <w:right w:val="single" w:sz="4" w:space="0" w:color="auto"/>
            </w:tcBorders>
            <w:vAlign w:val="center"/>
          </w:tcPr>
          <w:p w14:paraId="43979C4A" w14:textId="77777777" w:rsidR="003776C5" w:rsidRPr="003776C5" w:rsidRDefault="003776C5" w:rsidP="003776C5">
            <w:pPr>
              <w:spacing w:after="0" w:line="240" w:lineRule="auto"/>
              <w:jc w:val="center"/>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13</w:t>
            </w:r>
          </w:p>
        </w:tc>
        <w:tc>
          <w:tcPr>
            <w:tcW w:w="3544" w:type="dxa"/>
            <w:tcBorders>
              <w:top w:val="nil"/>
              <w:left w:val="single" w:sz="4" w:space="0" w:color="auto"/>
              <w:bottom w:val="single" w:sz="4" w:space="0" w:color="auto"/>
              <w:right w:val="single" w:sz="4" w:space="0" w:color="auto"/>
            </w:tcBorders>
            <w:shd w:val="clear" w:color="auto" w:fill="auto"/>
            <w:vAlign w:val="center"/>
            <w:hideMark/>
          </w:tcPr>
          <w:p w14:paraId="2A539980" w14:textId="77777777" w:rsidR="003776C5" w:rsidRPr="003776C5" w:rsidRDefault="003776C5" w:rsidP="003776C5">
            <w:pPr>
              <w:spacing w:after="0" w:line="240" w:lineRule="auto"/>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Website link for disposal information</w:t>
            </w:r>
          </w:p>
        </w:tc>
        <w:tc>
          <w:tcPr>
            <w:tcW w:w="567" w:type="dxa"/>
            <w:tcBorders>
              <w:top w:val="nil"/>
              <w:left w:val="nil"/>
              <w:bottom w:val="single" w:sz="4" w:space="0" w:color="auto"/>
              <w:right w:val="single" w:sz="4" w:space="0" w:color="auto"/>
            </w:tcBorders>
            <w:shd w:val="clear" w:color="auto" w:fill="auto"/>
            <w:noWrap/>
            <w:vAlign w:val="center"/>
            <w:hideMark/>
          </w:tcPr>
          <w:p w14:paraId="64349C70" w14:textId="77777777" w:rsidR="003776C5" w:rsidRPr="003776C5" w:rsidRDefault="003776C5" w:rsidP="003776C5">
            <w:pPr>
              <w:spacing w:after="0" w:line="240" w:lineRule="auto"/>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 </w:t>
            </w:r>
          </w:p>
        </w:tc>
        <w:tc>
          <w:tcPr>
            <w:tcW w:w="567" w:type="dxa"/>
            <w:tcBorders>
              <w:top w:val="nil"/>
              <w:left w:val="nil"/>
              <w:bottom w:val="single" w:sz="4" w:space="0" w:color="auto"/>
              <w:right w:val="single" w:sz="4" w:space="0" w:color="auto"/>
            </w:tcBorders>
            <w:shd w:val="clear" w:color="auto" w:fill="auto"/>
            <w:noWrap/>
            <w:vAlign w:val="center"/>
            <w:hideMark/>
          </w:tcPr>
          <w:p w14:paraId="516265D4" w14:textId="77777777" w:rsidR="003776C5" w:rsidRPr="003776C5" w:rsidRDefault="003776C5" w:rsidP="003776C5">
            <w:pPr>
              <w:spacing w:after="0" w:line="240" w:lineRule="auto"/>
              <w:jc w:val="center"/>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X </w:t>
            </w:r>
          </w:p>
        </w:tc>
        <w:tc>
          <w:tcPr>
            <w:tcW w:w="1163" w:type="dxa"/>
            <w:tcBorders>
              <w:top w:val="nil"/>
              <w:left w:val="nil"/>
              <w:bottom w:val="single" w:sz="4" w:space="0" w:color="auto"/>
              <w:right w:val="single" w:sz="4" w:space="0" w:color="auto"/>
            </w:tcBorders>
            <w:shd w:val="clear" w:color="auto" w:fill="auto"/>
            <w:noWrap/>
            <w:vAlign w:val="center"/>
            <w:hideMark/>
          </w:tcPr>
          <w:p w14:paraId="46E95A7F" w14:textId="77777777" w:rsidR="003776C5" w:rsidRPr="003776C5" w:rsidRDefault="003776C5" w:rsidP="003776C5">
            <w:pPr>
              <w:spacing w:after="0" w:line="240" w:lineRule="auto"/>
              <w:jc w:val="center"/>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X</w:t>
            </w:r>
          </w:p>
        </w:tc>
        <w:tc>
          <w:tcPr>
            <w:tcW w:w="8618" w:type="dxa"/>
            <w:tcBorders>
              <w:top w:val="single" w:sz="4" w:space="0" w:color="auto"/>
              <w:left w:val="nil"/>
              <w:bottom w:val="single" w:sz="4" w:space="0" w:color="auto"/>
              <w:right w:val="single" w:sz="4" w:space="0" w:color="auto"/>
            </w:tcBorders>
            <w:shd w:val="clear" w:color="auto" w:fill="auto"/>
            <w:hideMark/>
          </w:tcPr>
          <w:p w14:paraId="014183DF" w14:textId="77777777" w:rsidR="003776C5" w:rsidRPr="003776C5" w:rsidRDefault="003776C5" w:rsidP="003776C5">
            <w:pPr>
              <w:spacing w:after="0" w:line="240" w:lineRule="auto"/>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 </w:t>
            </w:r>
          </w:p>
        </w:tc>
      </w:tr>
      <w:tr w:rsidR="003776C5" w:rsidRPr="003776C5" w14:paraId="5297BF3C" w14:textId="77777777" w:rsidTr="006B00C9">
        <w:trPr>
          <w:trHeight w:val="600"/>
        </w:trPr>
        <w:tc>
          <w:tcPr>
            <w:tcW w:w="454" w:type="dxa"/>
            <w:tcBorders>
              <w:top w:val="nil"/>
              <w:left w:val="single" w:sz="4" w:space="0" w:color="auto"/>
              <w:bottom w:val="single" w:sz="4" w:space="0" w:color="auto"/>
              <w:right w:val="single" w:sz="4" w:space="0" w:color="auto"/>
            </w:tcBorders>
            <w:vAlign w:val="center"/>
          </w:tcPr>
          <w:p w14:paraId="68F45FAB" w14:textId="77777777" w:rsidR="003776C5" w:rsidRPr="003776C5" w:rsidRDefault="003776C5" w:rsidP="003776C5">
            <w:pPr>
              <w:spacing w:after="0" w:line="240" w:lineRule="auto"/>
              <w:jc w:val="center"/>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14</w:t>
            </w:r>
          </w:p>
        </w:tc>
        <w:tc>
          <w:tcPr>
            <w:tcW w:w="3544" w:type="dxa"/>
            <w:tcBorders>
              <w:top w:val="nil"/>
              <w:left w:val="single" w:sz="4" w:space="0" w:color="auto"/>
              <w:bottom w:val="single" w:sz="4" w:space="0" w:color="auto"/>
              <w:right w:val="single" w:sz="4" w:space="0" w:color="auto"/>
            </w:tcBorders>
            <w:shd w:val="clear" w:color="auto" w:fill="auto"/>
            <w:vAlign w:val="center"/>
            <w:hideMark/>
          </w:tcPr>
          <w:p w14:paraId="02071F5B" w14:textId="77777777" w:rsidR="003776C5" w:rsidRPr="003776C5" w:rsidRDefault="003776C5" w:rsidP="003776C5">
            <w:pPr>
              <w:spacing w:after="0" w:line="240" w:lineRule="auto"/>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Standby energy use</w:t>
            </w:r>
          </w:p>
        </w:tc>
        <w:tc>
          <w:tcPr>
            <w:tcW w:w="567" w:type="dxa"/>
            <w:tcBorders>
              <w:top w:val="nil"/>
              <w:left w:val="nil"/>
              <w:bottom w:val="single" w:sz="4" w:space="0" w:color="auto"/>
              <w:right w:val="single" w:sz="4" w:space="0" w:color="auto"/>
            </w:tcBorders>
            <w:shd w:val="clear" w:color="auto" w:fill="auto"/>
            <w:noWrap/>
            <w:vAlign w:val="center"/>
            <w:hideMark/>
          </w:tcPr>
          <w:p w14:paraId="664A9FAD" w14:textId="77777777" w:rsidR="003776C5" w:rsidRPr="003776C5" w:rsidRDefault="003776C5" w:rsidP="003776C5">
            <w:pPr>
              <w:spacing w:after="0" w:line="240" w:lineRule="auto"/>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 </w:t>
            </w:r>
          </w:p>
        </w:tc>
        <w:tc>
          <w:tcPr>
            <w:tcW w:w="567" w:type="dxa"/>
            <w:tcBorders>
              <w:top w:val="nil"/>
              <w:left w:val="nil"/>
              <w:bottom w:val="single" w:sz="4" w:space="0" w:color="auto"/>
              <w:right w:val="single" w:sz="4" w:space="0" w:color="auto"/>
            </w:tcBorders>
            <w:shd w:val="clear" w:color="auto" w:fill="auto"/>
            <w:noWrap/>
            <w:vAlign w:val="center"/>
            <w:hideMark/>
          </w:tcPr>
          <w:p w14:paraId="57DCA3D6" w14:textId="77777777" w:rsidR="003776C5" w:rsidRPr="003776C5" w:rsidRDefault="003776C5" w:rsidP="003776C5">
            <w:pPr>
              <w:spacing w:after="0" w:line="240" w:lineRule="auto"/>
              <w:jc w:val="center"/>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X</w:t>
            </w:r>
          </w:p>
        </w:tc>
        <w:tc>
          <w:tcPr>
            <w:tcW w:w="1163" w:type="dxa"/>
            <w:tcBorders>
              <w:top w:val="nil"/>
              <w:left w:val="nil"/>
              <w:bottom w:val="single" w:sz="4" w:space="0" w:color="auto"/>
              <w:right w:val="single" w:sz="4" w:space="0" w:color="auto"/>
            </w:tcBorders>
            <w:shd w:val="clear" w:color="auto" w:fill="auto"/>
            <w:noWrap/>
            <w:vAlign w:val="center"/>
            <w:hideMark/>
          </w:tcPr>
          <w:p w14:paraId="4686407A" w14:textId="77777777" w:rsidR="003776C5" w:rsidRPr="003776C5" w:rsidRDefault="003776C5" w:rsidP="003776C5">
            <w:pPr>
              <w:spacing w:after="0" w:line="240" w:lineRule="auto"/>
              <w:jc w:val="center"/>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X</w:t>
            </w:r>
          </w:p>
        </w:tc>
        <w:tc>
          <w:tcPr>
            <w:tcW w:w="8618" w:type="dxa"/>
            <w:tcBorders>
              <w:top w:val="single" w:sz="4" w:space="0" w:color="auto"/>
              <w:left w:val="nil"/>
              <w:bottom w:val="single" w:sz="4" w:space="0" w:color="auto"/>
              <w:right w:val="single" w:sz="4" w:space="0" w:color="auto"/>
            </w:tcBorders>
            <w:shd w:val="clear" w:color="auto" w:fill="auto"/>
            <w:hideMark/>
          </w:tcPr>
          <w:p w14:paraId="27646C34" w14:textId="77777777" w:rsidR="003776C5" w:rsidRPr="003776C5" w:rsidRDefault="003776C5" w:rsidP="003776C5">
            <w:pPr>
              <w:spacing w:after="0" w:line="240" w:lineRule="auto"/>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 Only for products with a standby mode</w:t>
            </w:r>
          </w:p>
        </w:tc>
      </w:tr>
      <w:tr w:rsidR="003776C5" w:rsidRPr="003776C5" w14:paraId="3EE0611E" w14:textId="77777777" w:rsidTr="006B00C9">
        <w:trPr>
          <w:trHeight w:val="600"/>
        </w:trPr>
        <w:tc>
          <w:tcPr>
            <w:tcW w:w="454" w:type="dxa"/>
            <w:tcBorders>
              <w:top w:val="nil"/>
              <w:left w:val="single" w:sz="4" w:space="0" w:color="auto"/>
              <w:bottom w:val="single" w:sz="4" w:space="0" w:color="auto"/>
              <w:right w:val="single" w:sz="4" w:space="0" w:color="auto"/>
            </w:tcBorders>
            <w:vAlign w:val="center"/>
          </w:tcPr>
          <w:p w14:paraId="2290516B" w14:textId="77777777" w:rsidR="003776C5" w:rsidRPr="003776C5" w:rsidRDefault="003776C5" w:rsidP="003776C5">
            <w:pPr>
              <w:spacing w:after="0" w:line="240" w:lineRule="auto"/>
              <w:jc w:val="center"/>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15</w:t>
            </w:r>
          </w:p>
        </w:tc>
        <w:tc>
          <w:tcPr>
            <w:tcW w:w="3544" w:type="dxa"/>
            <w:tcBorders>
              <w:top w:val="nil"/>
              <w:left w:val="single" w:sz="4" w:space="0" w:color="auto"/>
              <w:bottom w:val="single" w:sz="4" w:space="0" w:color="auto"/>
              <w:right w:val="single" w:sz="4" w:space="0" w:color="auto"/>
            </w:tcBorders>
            <w:shd w:val="clear" w:color="auto" w:fill="auto"/>
            <w:vAlign w:val="center"/>
          </w:tcPr>
          <w:p w14:paraId="15902993" w14:textId="77777777" w:rsidR="003776C5" w:rsidRPr="003776C5" w:rsidRDefault="003776C5" w:rsidP="003776C5">
            <w:pPr>
              <w:spacing w:after="0" w:line="240" w:lineRule="auto"/>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Photo biological Safety</w:t>
            </w:r>
          </w:p>
        </w:tc>
        <w:tc>
          <w:tcPr>
            <w:tcW w:w="567" w:type="dxa"/>
            <w:tcBorders>
              <w:top w:val="nil"/>
              <w:left w:val="nil"/>
              <w:bottom w:val="single" w:sz="4" w:space="0" w:color="auto"/>
              <w:right w:val="single" w:sz="4" w:space="0" w:color="auto"/>
            </w:tcBorders>
            <w:shd w:val="clear" w:color="auto" w:fill="auto"/>
            <w:noWrap/>
            <w:vAlign w:val="center"/>
          </w:tcPr>
          <w:p w14:paraId="5697AC9D" w14:textId="77777777" w:rsidR="003776C5" w:rsidRPr="003776C5" w:rsidRDefault="003776C5" w:rsidP="003776C5">
            <w:pPr>
              <w:spacing w:after="0" w:line="240" w:lineRule="auto"/>
              <w:rPr>
                <w:rFonts w:ascii="Calibri" w:eastAsia="Times New Roman" w:hAnsi="Calibri"/>
                <w:noProof w:val="0"/>
                <w:color w:val="000000"/>
                <w:sz w:val="24"/>
                <w:lang w:eastAsia="en-AU"/>
              </w:rPr>
            </w:pPr>
          </w:p>
        </w:tc>
        <w:tc>
          <w:tcPr>
            <w:tcW w:w="567" w:type="dxa"/>
            <w:tcBorders>
              <w:top w:val="nil"/>
              <w:left w:val="nil"/>
              <w:bottom w:val="single" w:sz="4" w:space="0" w:color="auto"/>
              <w:right w:val="single" w:sz="4" w:space="0" w:color="auto"/>
            </w:tcBorders>
            <w:shd w:val="clear" w:color="auto" w:fill="auto"/>
            <w:noWrap/>
            <w:vAlign w:val="center"/>
          </w:tcPr>
          <w:p w14:paraId="13C5F66E" w14:textId="77777777" w:rsidR="003776C5" w:rsidRPr="003776C5" w:rsidRDefault="003776C5" w:rsidP="003776C5">
            <w:pPr>
              <w:spacing w:after="0" w:line="240" w:lineRule="auto"/>
              <w:jc w:val="center"/>
              <w:rPr>
                <w:rFonts w:ascii="Calibri" w:eastAsia="Times New Roman" w:hAnsi="Calibri"/>
                <w:noProof w:val="0"/>
                <w:color w:val="000000"/>
                <w:sz w:val="24"/>
                <w:lang w:eastAsia="en-AU"/>
              </w:rPr>
            </w:pPr>
          </w:p>
        </w:tc>
        <w:tc>
          <w:tcPr>
            <w:tcW w:w="1163" w:type="dxa"/>
            <w:tcBorders>
              <w:top w:val="nil"/>
              <w:left w:val="nil"/>
              <w:bottom w:val="single" w:sz="4" w:space="0" w:color="auto"/>
              <w:right w:val="single" w:sz="4" w:space="0" w:color="auto"/>
            </w:tcBorders>
            <w:shd w:val="clear" w:color="auto" w:fill="auto"/>
            <w:noWrap/>
            <w:vAlign w:val="center"/>
          </w:tcPr>
          <w:p w14:paraId="2C8B82F3" w14:textId="77777777" w:rsidR="003776C5" w:rsidRPr="003776C5" w:rsidRDefault="003776C5" w:rsidP="003776C5">
            <w:pPr>
              <w:spacing w:after="0" w:line="240" w:lineRule="auto"/>
              <w:jc w:val="center"/>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X</w:t>
            </w:r>
          </w:p>
        </w:tc>
        <w:tc>
          <w:tcPr>
            <w:tcW w:w="8618" w:type="dxa"/>
            <w:tcBorders>
              <w:top w:val="single" w:sz="4" w:space="0" w:color="auto"/>
              <w:left w:val="nil"/>
              <w:bottom w:val="single" w:sz="4" w:space="0" w:color="auto"/>
              <w:right w:val="single" w:sz="4" w:space="0" w:color="auto"/>
            </w:tcBorders>
            <w:shd w:val="clear" w:color="auto" w:fill="auto"/>
          </w:tcPr>
          <w:p w14:paraId="7F2B6576" w14:textId="77777777" w:rsidR="003776C5" w:rsidRPr="003776C5" w:rsidRDefault="003776C5" w:rsidP="003776C5">
            <w:pPr>
              <w:spacing w:after="0" w:line="240" w:lineRule="auto"/>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Blue light and UV risk categories.  Spec sheet/website only required if above RG0.</w:t>
            </w:r>
          </w:p>
        </w:tc>
      </w:tr>
      <w:tr w:rsidR="003776C5" w:rsidRPr="003776C5" w14:paraId="1D7AA5BE" w14:textId="77777777" w:rsidTr="006B00C9">
        <w:trPr>
          <w:trHeight w:val="600"/>
        </w:trPr>
        <w:tc>
          <w:tcPr>
            <w:tcW w:w="454" w:type="dxa"/>
            <w:tcBorders>
              <w:top w:val="single" w:sz="4" w:space="0" w:color="auto"/>
              <w:left w:val="single" w:sz="4" w:space="0" w:color="auto"/>
              <w:bottom w:val="single" w:sz="4" w:space="0" w:color="auto"/>
              <w:right w:val="single" w:sz="4" w:space="0" w:color="auto"/>
            </w:tcBorders>
            <w:vAlign w:val="center"/>
          </w:tcPr>
          <w:p w14:paraId="40FAA27A" w14:textId="77777777" w:rsidR="003776C5" w:rsidRPr="003776C5" w:rsidRDefault="003776C5" w:rsidP="003776C5">
            <w:pPr>
              <w:spacing w:after="0" w:line="240" w:lineRule="auto"/>
              <w:jc w:val="center"/>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16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7EF58" w14:textId="77777777" w:rsidR="003776C5" w:rsidRPr="003776C5" w:rsidRDefault="003776C5" w:rsidP="003776C5">
            <w:pPr>
              <w:spacing w:after="0" w:line="240" w:lineRule="auto"/>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Product identification number/code as used for product registration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5F8AD" w14:textId="77777777" w:rsidR="003776C5" w:rsidRPr="003776C5" w:rsidRDefault="003776C5" w:rsidP="003776C5">
            <w:pPr>
              <w:spacing w:after="0" w:line="240" w:lineRule="auto"/>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212C3" w14:textId="77777777" w:rsidR="003776C5" w:rsidRPr="003776C5" w:rsidRDefault="003776C5" w:rsidP="003776C5">
            <w:pPr>
              <w:spacing w:after="0" w:line="240" w:lineRule="auto"/>
              <w:jc w:val="center"/>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X</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69DE1" w14:textId="77777777" w:rsidR="003776C5" w:rsidRPr="003776C5" w:rsidRDefault="003776C5" w:rsidP="003776C5">
            <w:pPr>
              <w:spacing w:after="0" w:line="240" w:lineRule="auto"/>
              <w:jc w:val="center"/>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X</w:t>
            </w:r>
          </w:p>
        </w:tc>
        <w:tc>
          <w:tcPr>
            <w:tcW w:w="8618" w:type="dxa"/>
            <w:tcBorders>
              <w:top w:val="single" w:sz="4" w:space="0" w:color="auto"/>
              <w:left w:val="single" w:sz="4" w:space="0" w:color="auto"/>
              <w:bottom w:val="single" w:sz="4" w:space="0" w:color="auto"/>
              <w:right w:val="single" w:sz="4" w:space="0" w:color="auto"/>
            </w:tcBorders>
            <w:shd w:val="clear" w:color="auto" w:fill="auto"/>
            <w:hideMark/>
          </w:tcPr>
          <w:p w14:paraId="62B38ED0" w14:textId="77777777" w:rsidR="003776C5" w:rsidRPr="003776C5" w:rsidRDefault="003776C5" w:rsidP="003776C5">
            <w:pPr>
              <w:spacing w:after="0" w:line="240" w:lineRule="auto"/>
              <w:rPr>
                <w:rFonts w:ascii="Calibri" w:eastAsia="Times New Roman" w:hAnsi="Calibri"/>
                <w:noProof w:val="0"/>
                <w:color w:val="000000"/>
                <w:sz w:val="24"/>
                <w:lang w:eastAsia="en-AU"/>
              </w:rPr>
            </w:pPr>
            <w:r w:rsidRPr="003776C5">
              <w:rPr>
                <w:rFonts w:ascii="Calibri" w:eastAsia="Times New Roman" w:hAnsi="Calibri"/>
                <w:noProof w:val="0"/>
                <w:color w:val="000000"/>
                <w:sz w:val="24"/>
                <w:lang w:eastAsia="en-AU"/>
              </w:rPr>
              <w:t> </w:t>
            </w:r>
          </w:p>
        </w:tc>
      </w:tr>
    </w:tbl>
    <w:p w14:paraId="05353E3F" w14:textId="77777777" w:rsidR="003776C5" w:rsidRPr="003776C5" w:rsidRDefault="003776C5" w:rsidP="00550A49">
      <w:pPr>
        <w:keepNext/>
        <w:keepLines/>
        <w:spacing w:before="480" w:after="0" w:line="276" w:lineRule="auto"/>
        <w:outlineLvl w:val="0"/>
        <w:rPr>
          <w:rFonts w:ascii="Cambria" w:eastAsia="Times New Roman" w:hAnsi="Cambria"/>
          <w:b/>
          <w:bCs/>
          <w:noProof w:val="0"/>
          <w:color w:val="365F91"/>
          <w:sz w:val="28"/>
          <w:szCs w:val="28"/>
        </w:rPr>
      </w:pPr>
      <w:bookmarkStart w:id="101" w:name="_Toc491942550"/>
      <w:r w:rsidRPr="003776C5">
        <w:rPr>
          <w:rFonts w:ascii="Cambria" w:eastAsia="Times New Roman" w:hAnsi="Cambria"/>
          <w:b/>
          <w:bCs/>
          <w:noProof w:val="0"/>
          <w:color w:val="365F91"/>
          <w:sz w:val="28"/>
          <w:szCs w:val="28"/>
        </w:rPr>
        <w:t>Table 4: Proposed test conditions</w:t>
      </w:r>
      <w:bookmarkEnd w:id="101"/>
    </w:p>
    <w:tbl>
      <w:tblPr>
        <w:tblStyle w:val="TableGrid2"/>
        <w:tblW w:w="14771" w:type="dxa"/>
        <w:tblInd w:w="-459" w:type="dxa"/>
        <w:tblLayout w:type="fixed"/>
        <w:tblLook w:val="04A0" w:firstRow="1" w:lastRow="0" w:firstColumn="1" w:lastColumn="0" w:noHBand="0" w:noVBand="1"/>
        <w:tblDescription w:val="Table setting out relevant attributes and proposed test conditions for that attribute."/>
      </w:tblPr>
      <w:tblGrid>
        <w:gridCol w:w="596"/>
        <w:gridCol w:w="6204"/>
        <w:gridCol w:w="7971"/>
      </w:tblGrid>
      <w:tr w:rsidR="003776C5" w:rsidRPr="003776C5" w14:paraId="001F8874" w14:textId="77777777" w:rsidTr="003776C5">
        <w:trPr>
          <w:trHeight w:val="608"/>
          <w:tblHeader/>
        </w:trPr>
        <w:tc>
          <w:tcPr>
            <w:tcW w:w="596" w:type="dxa"/>
            <w:shd w:val="clear" w:color="auto" w:fill="548DD4"/>
          </w:tcPr>
          <w:p w14:paraId="66A1B0A8" w14:textId="77777777" w:rsidR="003776C5" w:rsidRPr="003776C5" w:rsidRDefault="003776C5" w:rsidP="003776C5">
            <w:pPr>
              <w:spacing w:after="0" w:line="240" w:lineRule="auto"/>
              <w:jc w:val="center"/>
              <w:rPr>
                <w:rFonts w:ascii="Calibri" w:eastAsia="Times New Roman" w:hAnsi="Calibri"/>
                <w:bCs/>
                <w:noProof w:val="0"/>
                <w:color w:val="FFFFFF"/>
                <w:sz w:val="16"/>
                <w:szCs w:val="16"/>
                <w:lang w:eastAsia="en-AU"/>
              </w:rPr>
            </w:pPr>
            <w:r w:rsidRPr="003776C5">
              <w:rPr>
                <w:rFonts w:ascii="Calibri" w:eastAsia="Times New Roman" w:hAnsi="Calibri"/>
                <w:bCs/>
                <w:noProof w:val="0"/>
                <w:color w:val="FFFFFF"/>
                <w:sz w:val="16"/>
                <w:szCs w:val="16"/>
                <w:lang w:eastAsia="en-AU"/>
              </w:rPr>
              <w:t>Ref</w:t>
            </w:r>
          </w:p>
        </w:tc>
        <w:tc>
          <w:tcPr>
            <w:tcW w:w="6204" w:type="dxa"/>
            <w:shd w:val="clear" w:color="auto" w:fill="548DD4"/>
            <w:vAlign w:val="center"/>
            <w:hideMark/>
          </w:tcPr>
          <w:p w14:paraId="6402F897" w14:textId="77777777" w:rsidR="003776C5" w:rsidRPr="003776C5" w:rsidRDefault="003776C5" w:rsidP="003776C5">
            <w:pPr>
              <w:spacing w:after="0" w:line="240" w:lineRule="auto"/>
              <w:jc w:val="center"/>
              <w:rPr>
                <w:rFonts w:ascii="Calibri" w:eastAsia="Times New Roman" w:hAnsi="Calibri"/>
                <w:bCs/>
                <w:noProof w:val="0"/>
                <w:color w:val="FFFFFF"/>
                <w:sz w:val="28"/>
                <w:szCs w:val="28"/>
                <w:lang w:eastAsia="en-AU"/>
              </w:rPr>
            </w:pPr>
            <w:r w:rsidRPr="003776C5">
              <w:rPr>
                <w:rFonts w:ascii="Calibri" w:eastAsia="Times New Roman" w:hAnsi="Calibri"/>
                <w:bCs/>
                <w:noProof w:val="0"/>
                <w:color w:val="FFFFFF"/>
                <w:sz w:val="28"/>
                <w:szCs w:val="28"/>
                <w:lang w:eastAsia="en-AU"/>
              </w:rPr>
              <w:t>Attribute</w:t>
            </w:r>
          </w:p>
        </w:tc>
        <w:tc>
          <w:tcPr>
            <w:tcW w:w="7971" w:type="dxa"/>
            <w:shd w:val="clear" w:color="auto" w:fill="548DD4"/>
            <w:vAlign w:val="center"/>
          </w:tcPr>
          <w:p w14:paraId="6107B7B5" w14:textId="77777777" w:rsidR="003776C5" w:rsidRPr="003776C5" w:rsidRDefault="003776C5" w:rsidP="003776C5">
            <w:pPr>
              <w:spacing w:after="0" w:line="240" w:lineRule="auto"/>
              <w:jc w:val="center"/>
              <w:rPr>
                <w:rFonts w:ascii="Calibri" w:eastAsia="Times New Roman" w:hAnsi="Calibri"/>
                <w:bCs/>
                <w:noProof w:val="0"/>
                <w:color w:val="FFFFFF"/>
                <w:sz w:val="28"/>
                <w:szCs w:val="28"/>
                <w:lang w:eastAsia="en-AU"/>
              </w:rPr>
            </w:pPr>
            <w:r w:rsidRPr="003776C5">
              <w:rPr>
                <w:rFonts w:ascii="Calibri" w:eastAsia="Times New Roman" w:hAnsi="Calibri"/>
                <w:bCs/>
                <w:noProof w:val="0"/>
                <w:color w:val="FFFFFF"/>
                <w:sz w:val="28"/>
                <w:szCs w:val="28"/>
                <w:lang w:eastAsia="en-AU"/>
              </w:rPr>
              <w:t>Test method</w:t>
            </w:r>
          </w:p>
        </w:tc>
      </w:tr>
      <w:tr w:rsidR="003776C5" w:rsidRPr="003776C5" w14:paraId="25534A89" w14:textId="77777777" w:rsidTr="006B00C9">
        <w:trPr>
          <w:trHeight w:val="294"/>
        </w:trPr>
        <w:tc>
          <w:tcPr>
            <w:tcW w:w="596" w:type="dxa"/>
          </w:tcPr>
          <w:p w14:paraId="54C27A9E"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1</w:t>
            </w:r>
          </w:p>
        </w:tc>
        <w:tc>
          <w:tcPr>
            <w:tcW w:w="6204" w:type="dxa"/>
            <w:hideMark/>
          </w:tcPr>
          <w:p w14:paraId="43E6ED3F"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Efficacy </w:t>
            </w:r>
          </w:p>
        </w:tc>
        <w:tc>
          <w:tcPr>
            <w:tcW w:w="7971" w:type="dxa"/>
          </w:tcPr>
          <w:p w14:paraId="0D2856B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CIE S025</w:t>
            </w:r>
          </w:p>
          <w:p w14:paraId="5F927EBE"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or</w:t>
            </w:r>
          </w:p>
          <w:p w14:paraId="121532F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LM79 accepted until July 2021</w:t>
            </w:r>
          </w:p>
          <w:p w14:paraId="524FFAF3"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or</w:t>
            </w:r>
          </w:p>
          <w:p w14:paraId="615B2D58" w14:textId="77777777" w:rsidR="003776C5" w:rsidRPr="003776C5" w:rsidRDefault="003776C5" w:rsidP="003776C5">
            <w:pPr>
              <w:spacing w:after="0" w:line="240" w:lineRule="auto"/>
              <w:rPr>
                <w:rFonts w:ascii="Verdana" w:eastAsia="Calibri" w:hAnsi="Verdana"/>
                <w:noProof w:val="0"/>
                <w:color w:val="121214"/>
                <w:sz w:val="18"/>
                <w:szCs w:val="18"/>
                <w:shd w:val="clear" w:color="auto" w:fill="FCFCFC"/>
              </w:rPr>
            </w:pPr>
            <w:r w:rsidRPr="003776C5">
              <w:rPr>
                <w:rFonts w:ascii="Verdana" w:eastAsia="Calibri" w:hAnsi="Verdana"/>
                <w:noProof w:val="0"/>
                <w:color w:val="121214"/>
                <w:sz w:val="18"/>
                <w:szCs w:val="18"/>
                <w:shd w:val="clear" w:color="auto" w:fill="FCFCFC"/>
              </w:rPr>
              <w:t>EN 13032-4:2015</w:t>
            </w:r>
          </w:p>
          <w:p w14:paraId="01E7667C" w14:textId="77777777" w:rsidR="003776C5" w:rsidRPr="003776C5" w:rsidRDefault="003776C5" w:rsidP="003776C5">
            <w:pPr>
              <w:spacing w:after="240" w:line="240" w:lineRule="auto"/>
              <w:rPr>
                <w:rFonts w:ascii="Calibri" w:eastAsia="Times New Roman" w:hAnsi="Calibri"/>
                <w:noProof w:val="0"/>
                <w:color w:val="000000"/>
                <w:sz w:val="22"/>
                <w:szCs w:val="22"/>
                <w:highlight w:val="lightGray"/>
                <w:lang w:eastAsia="en-AU"/>
              </w:rPr>
            </w:pPr>
          </w:p>
        </w:tc>
      </w:tr>
      <w:tr w:rsidR="003776C5" w:rsidRPr="003776C5" w14:paraId="22E7AD0E" w14:textId="77777777" w:rsidTr="006B00C9">
        <w:trPr>
          <w:trHeight w:val="273"/>
        </w:trPr>
        <w:tc>
          <w:tcPr>
            <w:tcW w:w="596" w:type="dxa"/>
          </w:tcPr>
          <w:p w14:paraId="075F390D"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2</w:t>
            </w:r>
          </w:p>
        </w:tc>
        <w:tc>
          <w:tcPr>
            <w:tcW w:w="6204" w:type="dxa"/>
            <w:hideMark/>
          </w:tcPr>
          <w:p w14:paraId="6B1C5294"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Replacement Lamp Equivalence</w:t>
            </w:r>
          </w:p>
        </w:tc>
        <w:tc>
          <w:tcPr>
            <w:tcW w:w="7971" w:type="dxa"/>
          </w:tcPr>
          <w:p w14:paraId="3898F413"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CIE S025</w:t>
            </w:r>
          </w:p>
          <w:p w14:paraId="5ED83D9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or</w:t>
            </w:r>
          </w:p>
          <w:p w14:paraId="28BEB427"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LM79 accepted until July 2021</w:t>
            </w:r>
          </w:p>
          <w:p w14:paraId="3711F2C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or</w:t>
            </w:r>
          </w:p>
          <w:p w14:paraId="469C192E" w14:textId="77777777" w:rsidR="003776C5" w:rsidRPr="003776C5" w:rsidRDefault="003776C5" w:rsidP="003776C5">
            <w:pPr>
              <w:spacing w:after="0" w:line="240" w:lineRule="auto"/>
              <w:rPr>
                <w:rFonts w:ascii="Verdana" w:eastAsia="Calibri" w:hAnsi="Verdana"/>
                <w:noProof w:val="0"/>
                <w:color w:val="121214"/>
                <w:sz w:val="18"/>
                <w:szCs w:val="18"/>
                <w:shd w:val="clear" w:color="auto" w:fill="FCFCFC"/>
              </w:rPr>
            </w:pPr>
            <w:r w:rsidRPr="003776C5">
              <w:rPr>
                <w:rFonts w:ascii="Verdana" w:eastAsia="Calibri" w:hAnsi="Verdana"/>
                <w:noProof w:val="0"/>
                <w:color w:val="121214"/>
                <w:sz w:val="18"/>
                <w:szCs w:val="18"/>
                <w:shd w:val="clear" w:color="auto" w:fill="FCFCFC"/>
              </w:rPr>
              <w:t>EN 13032-4:2015</w:t>
            </w:r>
          </w:p>
          <w:p w14:paraId="6D7EE5D4"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3843FA57" w14:textId="77777777" w:rsidR="003776C5" w:rsidRPr="003776C5" w:rsidRDefault="003776C5" w:rsidP="003776C5">
            <w:pPr>
              <w:spacing w:after="0" w:line="240" w:lineRule="auto"/>
              <w:rPr>
                <w:rFonts w:ascii="Calibri" w:eastAsia="Times New Roman" w:hAnsi="Calibri"/>
                <w:noProof w:val="0"/>
                <w:color w:val="000000"/>
                <w:sz w:val="22"/>
                <w:szCs w:val="22"/>
                <w:highlight w:val="lightGray"/>
                <w:lang w:eastAsia="en-AU"/>
              </w:rPr>
            </w:pPr>
          </w:p>
        </w:tc>
      </w:tr>
      <w:tr w:rsidR="003776C5" w:rsidRPr="003776C5" w14:paraId="6FDD6218" w14:textId="77777777" w:rsidTr="006B00C9">
        <w:trPr>
          <w:trHeight w:val="914"/>
        </w:trPr>
        <w:tc>
          <w:tcPr>
            <w:tcW w:w="596" w:type="dxa"/>
          </w:tcPr>
          <w:p w14:paraId="2CE6B692"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3</w:t>
            </w:r>
          </w:p>
        </w:tc>
        <w:tc>
          <w:tcPr>
            <w:tcW w:w="6204" w:type="dxa"/>
            <w:hideMark/>
          </w:tcPr>
          <w:p w14:paraId="29F6D9A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Standby Power (smart lamps only)</w:t>
            </w:r>
          </w:p>
        </w:tc>
        <w:tc>
          <w:tcPr>
            <w:tcW w:w="7971" w:type="dxa"/>
          </w:tcPr>
          <w:p w14:paraId="7E07C01D"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AS/NZS IEC 62301</w:t>
            </w:r>
          </w:p>
          <w:p w14:paraId="0A621572" w14:textId="77777777" w:rsidR="003776C5" w:rsidRPr="003776C5" w:rsidDel="002F1DCA" w:rsidRDefault="003776C5" w:rsidP="003776C5">
            <w:pPr>
              <w:spacing w:after="240" w:line="240" w:lineRule="auto"/>
              <w:rPr>
                <w:rFonts w:ascii="Calibri" w:eastAsia="Times New Roman" w:hAnsi="Calibri"/>
                <w:noProof w:val="0"/>
                <w:color w:val="000000"/>
                <w:sz w:val="22"/>
                <w:szCs w:val="22"/>
                <w:highlight w:val="lightGray"/>
                <w:lang w:eastAsia="en-AU"/>
              </w:rPr>
            </w:pPr>
            <w:r w:rsidRPr="003776C5">
              <w:rPr>
                <w:rFonts w:ascii="Calibri" w:eastAsia="Times New Roman" w:hAnsi="Calibri"/>
                <w:noProof w:val="0"/>
                <w:color w:val="000000"/>
                <w:sz w:val="22"/>
                <w:szCs w:val="22"/>
                <w:lang w:eastAsia="en-AU"/>
              </w:rPr>
              <w:t>(or IEA 4E SSL Task 7 2016 publication)</w:t>
            </w:r>
          </w:p>
        </w:tc>
      </w:tr>
      <w:tr w:rsidR="003776C5" w:rsidRPr="003776C5" w14:paraId="011FDF39" w14:textId="77777777" w:rsidTr="006B00C9">
        <w:trPr>
          <w:trHeight w:val="696"/>
        </w:trPr>
        <w:tc>
          <w:tcPr>
            <w:tcW w:w="596" w:type="dxa"/>
          </w:tcPr>
          <w:p w14:paraId="1B092EF4"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4</w:t>
            </w:r>
          </w:p>
        </w:tc>
        <w:tc>
          <w:tcPr>
            <w:tcW w:w="6204" w:type="dxa"/>
            <w:hideMark/>
          </w:tcPr>
          <w:p w14:paraId="4A5B0069"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Smart Lighting – controlled variations in power consumption</w:t>
            </w:r>
          </w:p>
          <w:p w14:paraId="202B97B6"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(smart lamps only)</w:t>
            </w:r>
          </w:p>
        </w:tc>
        <w:tc>
          <w:tcPr>
            <w:tcW w:w="7971" w:type="dxa"/>
          </w:tcPr>
          <w:p w14:paraId="4367D33F" w14:textId="77777777" w:rsidR="003776C5" w:rsidRPr="003776C5" w:rsidDel="002F1DCA"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Energy Star Lamps v2 Section 12.9</w:t>
            </w:r>
          </w:p>
        </w:tc>
      </w:tr>
      <w:tr w:rsidR="003776C5" w:rsidRPr="003776C5" w14:paraId="2F56C4BE" w14:textId="77777777" w:rsidTr="006B00C9">
        <w:trPr>
          <w:trHeight w:val="473"/>
        </w:trPr>
        <w:tc>
          <w:tcPr>
            <w:tcW w:w="596" w:type="dxa"/>
          </w:tcPr>
          <w:p w14:paraId="3EC33E30"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5</w:t>
            </w:r>
          </w:p>
        </w:tc>
        <w:tc>
          <w:tcPr>
            <w:tcW w:w="6204" w:type="dxa"/>
            <w:hideMark/>
          </w:tcPr>
          <w:p w14:paraId="63357EE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Colour Appearance</w:t>
            </w:r>
          </w:p>
        </w:tc>
        <w:tc>
          <w:tcPr>
            <w:tcW w:w="7971" w:type="dxa"/>
          </w:tcPr>
          <w:p w14:paraId="1652ED9E"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CIE S025</w:t>
            </w:r>
          </w:p>
          <w:p w14:paraId="06727DA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or</w:t>
            </w:r>
          </w:p>
          <w:p w14:paraId="714A1194"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LM79 accepted until July 2021</w:t>
            </w:r>
          </w:p>
          <w:p w14:paraId="41914C48"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or</w:t>
            </w:r>
          </w:p>
          <w:p w14:paraId="7E28472F" w14:textId="77777777" w:rsidR="003776C5" w:rsidRPr="003776C5" w:rsidRDefault="003776C5" w:rsidP="003776C5">
            <w:pPr>
              <w:spacing w:after="0" w:line="240" w:lineRule="auto"/>
              <w:rPr>
                <w:rFonts w:ascii="Verdana" w:eastAsia="Calibri" w:hAnsi="Verdana"/>
                <w:noProof w:val="0"/>
                <w:color w:val="121214"/>
                <w:sz w:val="18"/>
                <w:szCs w:val="18"/>
                <w:shd w:val="clear" w:color="auto" w:fill="FCFCFC"/>
              </w:rPr>
            </w:pPr>
            <w:r w:rsidRPr="003776C5">
              <w:rPr>
                <w:rFonts w:ascii="Verdana" w:eastAsia="Calibri" w:hAnsi="Verdana"/>
                <w:noProof w:val="0"/>
                <w:color w:val="121214"/>
                <w:sz w:val="18"/>
                <w:szCs w:val="18"/>
                <w:shd w:val="clear" w:color="auto" w:fill="FCFCFC"/>
              </w:rPr>
              <w:t>EN 13032-4:2015</w:t>
            </w:r>
          </w:p>
          <w:p w14:paraId="6A3FDEE4" w14:textId="77777777" w:rsidR="003776C5" w:rsidRPr="003776C5" w:rsidRDefault="003776C5" w:rsidP="003776C5">
            <w:pPr>
              <w:spacing w:after="0" w:line="240" w:lineRule="auto"/>
              <w:rPr>
                <w:rFonts w:ascii="Calibri" w:eastAsia="Calibri" w:hAnsi="Calibri"/>
                <w:noProof w:val="0"/>
                <w:color w:val="000000"/>
                <w:sz w:val="22"/>
                <w:szCs w:val="22"/>
              </w:rPr>
            </w:pPr>
            <w:r w:rsidRPr="003776C5">
              <w:rPr>
                <w:rFonts w:ascii="Calibri" w:eastAsia="Times New Roman" w:hAnsi="Calibri"/>
                <w:noProof w:val="0"/>
                <w:color w:val="000000"/>
                <w:sz w:val="22"/>
                <w:szCs w:val="22"/>
                <w:lang w:eastAsia="en-AU"/>
              </w:rPr>
              <w:t>(All refer to CIE S015)</w:t>
            </w:r>
          </w:p>
        </w:tc>
      </w:tr>
      <w:tr w:rsidR="003776C5" w:rsidRPr="003776C5" w14:paraId="67849A42" w14:textId="77777777" w:rsidTr="006B00C9">
        <w:trPr>
          <w:trHeight w:val="345"/>
        </w:trPr>
        <w:tc>
          <w:tcPr>
            <w:tcW w:w="596" w:type="dxa"/>
          </w:tcPr>
          <w:p w14:paraId="2EC686CA"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6</w:t>
            </w:r>
          </w:p>
        </w:tc>
        <w:tc>
          <w:tcPr>
            <w:tcW w:w="6204" w:type="dxa"/>
            <w:hideMark/>
          </w:tcPr>
          <w:p w14:paraId="112DBE17"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Colour Rendering</w:t>
            </w:r>
          </w:p>
        </w:tc>
        <w:tc>
          <w:tcPr>
            <w:tcW w:w="7971" w:type="dxa"/>
          </w:tcPr>
          <w:p w14:paraId="22E22F8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CIE S025 </w:t>
            </w:r>
          </w:p>
          <w:p w14:paraId="5A4535B6"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or</w:t>
            </w:r>
          </w:p>
          <w:p w14:paraId="2C2A7CC2"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LM79 accepted until July 2021</w:t>
            </w:r>
          </w:p>
          <w:p w14:paraId="7500D8B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or</w:t>
            </w:r>
          </w:p>
          <w:p w14:paraId="3C8603AC" w14:textId="77777777" w:rsidR="003776C5" w:rsidRPr="003776C5" w:rsidRDefault="003776C5" w:rsidP="003776C5">
            <w:pPr>
              <w:spacing w:after="0" w:line="240" w:lineRule="auto"/>
              <w:rPr>
                <w:rFonts w:ascii="Verdana" w:eastAsia="Calibri" w:hAnsi="Verdana"/>
                <w:noProof w:val="0"/>
                <w:color w:val="121214"/>
                <w:sz w:val="18"/>
                <w:szCs w:val="18"/>
                <w:shd w:val="clear" w:color="auto" w:fill="FCFCFC"/>
              </w:rPr>
            </w:pPr>
            <w:r w:rsidRPr="003776C5">
              <w:rPr>
                <w:rFonts w:ascii="Verdana" w:eastAsia="Calibri" w:hAnsi="Verdana"/>
                <w:noProof w:val="0"/>
                <w:color w:val="121214"/>
                <w:sz w:val="18"/>
                <w:szCs w:val="18"/>
                <w:shd w:val="clear" w:color="auto" w:fill="FCFCFC"/>
              </w:rPr>
              <w:t>EN 13032-4:2015</w:t>
            </w:r>
          </w:p>
          <w:p w14:paraId="7C47C39C"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(All refer to CIE 13.3)</w:t>
            </w:r>
          </w:p>
          <w:p w14:paraId="6828279D" w14:textId="77777777" w:rsidR="003776C5" w:rsidRPr="003776C5" w:rsidRDefault="003776C5" w:rsidP="003776C5">
            <w:pPr>
              <w:spacing w:after="0" w:line="240" w:lineRule="auto"/>
              <w:rPr>
                <w:rFonts w:ascii="Calibri" w:eastAsia="Times New Roman" w:hAnsi="Calibri"/>
                <w:noProof w:val="0"/>
                <w:color w:val="000000"/>
                <w:sz w:val="22"/>
                <w:szCs w:val="22"/>
                <w:highlight w:val="lightGray"/>
                <w:lang w:eastAsia="en-AU"/>
              </w:rPr>
            </w:pPr>
          </w:p>
        </w:tc>
      </w:tr>
      <w:tr w:rsidR="003776C5" w:rsidRPr="003776C5" w14:paraId="64F8157B" w14:textId="77777777" w:rsidTr="006B00C9">
        <w:trPr>
          <w:trHeight w:val="1353"/>
        </w:trPr>
        <w:tc>
          <w:tcPr>
            <w:tcW w:w="596" w:type="dxa"/>
          </w:tcPr>
          <w:p w14:paraId="651EC937"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7</w:t>
            </w:r>
          </w:p>
        </w:tc>
        <w:tc>
          <w:tcPr>
            <w:tcW w:w="6204" w:type="dxa"/>
            <w:hideMark/>
          </w:tcPr>
          <w:p w14:paraId="691A2AC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Lumen maintenance</w:t>
            </w:r>
          </w:p>
        </w:tc>
        <w:tc>
          <w:tcPr>
            <w:tcW w:w="7971" w:type="dxa"/>
          </w:tcPr>
          <w:p w14:paraId="2BE71DE8"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IESNA LM80/TM21 </w:t>
            </w:r>
          </w:p>
          <w:p w14:paraId="5C73276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&amp;</w:t>
            </w:r>
          </w:p>
          <w:p w14:paraId="48BC216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ISTMT (IEC 60598.1 Section 12.4.1 or UL 1598 Clause 14) </w:t>
            </w:r>
          </w:p>
          <w:p w14:paraId="745ACEC6"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Or</w:t>
            </w:r>
          </w:p>
          <w:p w14:paraId="5ABB7804"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IESNA LM84/TM28</w:t>
            </w:r>
          </w:p>
        </w:tc>
      </w:tr>
      <w:tr w:rsidR="003776C5" w:rsidRPr="003776C5" w14:paraId="77B31E1C" w14:textId="77777777" w:rsidTr="006B00C9">
        <w:trPr>
          <w:trHeight w:val="321"/>
        </w:trPr>
        <w:tc>
          <w:tcPr>
            <w:tcW w:w="596" w:type="dxa"/>
          </w:tcPr>
          <w:p w14:paraId="1C5CFC55"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8</w:t>
            </w:r>
          </w:p>
        </w:tc>
        <w:tc>
          <w:tcPr>
            <w:tcW w:w="6204" w:type="dxa"/>
            <w:hideMark/>
          </w:tcPr>
          <w:p w14:paraId="36490AE4"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Power Factor</w:t>
            </w:r>
          </w:p>
        </w:tc>
        <w:tc>
          <w:tcPr>
            <w:tcW w:w="7971" w:type="dxa"/>
          </w:tcPr>
          <w:p w14:paraId="2B33A7A5" w14:textId="77777777" w:rsidR="003776C5" w:rsidRPr="003776C5" w:rsidRDefault="003776C5" w:rsidP="003776C5">
            <w:pPr>
              <w:spacing w:after="240" w:line="240" w:lineRule="auto"/>
              <w:rPr>
                <w:rFonts w:ascii="Calibri" w:eastAsia="Times New Roman" w:hAnsi="Calibri"/>
                <w:noProof w:val="0"/>
                <w:color w:val="000000"/>
                <w:sz w:val="22"/>
                <w:szCs w:val="22"/>
                <w:highlight w:val="lightGray"/>
                <w:lang w:eastAsia="en-AU"/>
              </w:rPr>
            </w:pPr>
            <w:r w:rsidRPr="003776C5">
              <w:rPr>
                <w:rFonts w:ascii="Calibri" w:eastAsia="Times New Roman" w:hAnsi="Calibri"/>
                <w:noProof w:val="0"/>
                <w:color w:val="000000"/>
                <w:sz w:val="22"/>
                <w:szCs w:val="22"/>
                <w:lang w:eastAsia="en-AU"/>
              </w:rPr>
              <w:t>IEC 61000-3-2 (2014)</w:t>
            </w:r>
          </w:p>
        </w:tc>
      </w:tr>
      <w:tr w:rsidR="003776C5" w:rsidRPr="003776C5" w14:paraId="078B0EE2" w14:textId="77777777" w:rsidTr="006B00C9">
        <w:trPr>
          <w:trHeight w:val="315"/>
        </w:trPr>
        <w:tc>
          <w:tcPr>
            <w:tcW w:w="596" w:type="dxa"/>
          </w:tcPr>
          <w:p w14:paraId="2D9708B7"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9</w:t>
            </w:r>
          </w:p>
        </w:tc>
        <w:tc>
          <w:tcPr>
            <w:tcW w:w="6204" w:type="dxa"/>
            <w:hideMark/>
          </w:tcPr>
          <w:p w14:paraId="163627B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Harmonics</w:t>
            </w:r>
          </w:p>
        </w:tc>
        <w:tc>
          <w:tcPr>
            <w:tcW w:w="7971" w:type="dxa"/>
          </w:tcPr>
          <w:p w14:paraId="369EDCD8" w14:textId="77777777" w:rsidR="003776C5" w:rsidRPr="003776C5" w:rsidRDefault="003776C5" w:rsidP="003776C5">
            <w:pPr>
              <w:spacing w:after="240" w:line="240" w:lineRule="auto"/>
              <w:rPr>
                <w:rFonts w:ascii="Calibri" w:eastAsia="Times New Roman" w:hAnsi="Calibri"/>
                <w:noProof w:val="0"/>
                <w:color w:val="000000"/>
                <w:sz w:val="22"/>
                <w:szCs w:val="22"/>
                <w:highlight w:val="lightGray"/>
                <w:lang w:eastAsia="en-AU"/>
              </w:rPr>
            </w:pPr>
            <w:r w:rsidRPr="003776C5">
              <w:rPr>
                <w:rFonts w:ascii="Calibri" w:eastAsia="Times New Roman" w:hAnsi="Calibri"/>
                <w:noProof w:val="0"/>
                <w:color w:val="000000"/>
                <w:sz w:val="22"/>
                <w:szCs w:val="22"/>
                <w:lang w:eastAsia="en-AU"/>
              </w:rPr>
              <w:t>IEC 61000-4-7</w:t>
            </w:r>
          </w:p>
        </w:tc>
      </w:tr>
      <w:tr w:rsidR="003776C5" w:rsidRPr="003776C5" w14:paraId="509320A9" w14:textId="77777777" w:rsidTr="006B00C9">
        <w:trPr>
          <w:trHeight w:val="280"/>
        </w:trPr>
        <w:tc>
          <w:tcPr>
            <w:tcW w:w="596" w:type="dxa"/>
          </w:tcPr>
          <w:p w14:paraId="7CC6A15B"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10</w:t>
            </w:r>
          </w:p>
        </w:tc>
        <w:tc>
          <w:tcPr>
            <w:tcW w:w="6204" w:type="dxa"/>
            <w:hideMark/>
          </w:tcPr>
          <w:p w14:paraId="6B29152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Dimmer compatibility</w:t>
            </w:r>
          </w:p>
        </w:tc>
        <w:tc>
          <w:tcPr>
            <w:tcW w:w="7971" w:type="dxa"/>
          </w:tcPr>
          <w:p w14:paraId="221E0F3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To be developed </w:t>
            </w:r>
          </w:p>
          <w:p w14:paraId="763B009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tc>
      </w:tr>
      <w:tr w:rsidR="003776C5" w:rsidRPr="003776C5" w14:paraId="181CD84D" w14:textId="77777777" w:rsidTr="006B00C9">
        <w:trPr>
          <w:trHeight w:val="451"/>
        </w:trPr>
        <w:tc>
          <w:tcPr>
            <w:tcW w:w="596" w:type="dxa"/>
          </w:tcPr>
          <w:p w14:paraId="3758D208"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11</w:t>
            </w:r>
          </w:p>
        </w:tc>
        <w:tc>
          <w:tcPr>
            <w:tcW w:w="6204" w:type="dxa"/>
            <w:hideMark/>
          </w:tcPr>
          <w:p w14:paraId="657E403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ELV converter compatibility</w:t>
            </w:r>
          </w:p>
        </w:tc>
        <w:tc>
          <w:tcPr>
            <w:tcW w:w="7971" w:type="dxa"/>
          </w:tcPr>
          <w:p w14:paraId="377175F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To be developed </w:t>
            </w:r>
          </w:p>
          <w:p w14:paraId="16C82AC0" w14:textId="77777777" w:rsidR="003776C5" w:rsidRPr="003776C5" w:rsidRDefault="003776C5" w:rsidP="003776C5">
            <w:pPr>
              <w:spacing w:after="0" w:line="240" w:lineRule="auto"/>
              <w:rPr>
                <w:rFonts w:ascii="Calibri" w:eastAsia="Times New Roman" w:hAnsi="Calibri"/>
                <w:noProof w:val="0"/>
                <w:color w:val="000000"/>
                <w:sz w:val="22"/>
                <w:szCs w:val="22"/>
                <w:highlight w:val="lightGray"/>
                <w:lang w:eastAsia="en-AU"/>
              </w:rPr>
            </w:pPr>
          </w:p>
        </w:tc>
      </w:tr>
      <w:tr w:rsidR="003776C5" w:rsidRPr="003776C5" w14:paraId="5F23EA38" w14:textId="77777777" w:rsidTr="006B00C9">
        <w:trPr>
          <w:trHeight w:val="473"/>
        </w:trPr>
        <w:tc>
          <w:tcPr>
            <w:tcW w:w="596" w:type="dxa"/>
          </w:tcPr>
          <w:p w14:paraId="25A2BF91"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12</w:t>
            </w:r>
          </w:p>
        </w:tc>
        <w:tc>
          <w:tcPr>
            <w:tcW w:w="6204" w:type="dxa"/>
            <w:hideMark/>
          </w:tcPr>
          <w:p w14:paraId="6F9BDCF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Photo biological Safety</w:t>
            </w:r>
          </w:p>
        </w:tc>
        <w:tc>
          <w:tcPr>
            <w:tcW w:w="7971" w:type="dxa"/>
          </w:tcPr>
          <w:p w14:paraId="4979C268" w14:textId="77777777" w:rsidR="003776C5" w:rsidRPr="003776C5" w:rsidRDefault="003776C5" w:rsidP="003776C5">
            <w:pPr>
              <w:spacing w:after="0" w:line="240" w:lineRule="auto"/>
              <w:rPr>
                <w:rFonts w:ascii="Calibri" w:eastAsia="Times New Roman" w:hAnsi="Calibri"/>
                <w:noProof w:val="0"/>
                <w:color w:val="000000"/>
                <w:sz w:val="22"/>
                <w:szCs w:val="22"/>
                <w:highlight w:val="lightGray"/>
                <w:lang w:eastAsia="en-AU"/>
              </w:rPr>
            </w:pPr>
            <w:r w:rsidRPr="003776C5">
              <w:rPr>
                <w:rFonts w:ascii="Calibri" w:eastAsia="Times New Roman" w:hAnsi="Calibri"/>
                <w:noProof w:val="0"/>
                <w:color w:val="000000"/>
                <w:sz w:val="22"/>
                <w:szCs w:val="22"/>
                <w:lang w:eastAsia="en-AU"/>
              </w:rPr>
              <w:t>IEC 62471/CIE S009</w:t>
            </w:r>
          </w:p>
        </w:tc>
      </w:tr>
      <w:tr w:rsidR="003776C5" w:rsidRPr="003776C5" w14:paraId="7AC62AE5" w14:textId="77777777" w:rsidTr="006B00C9">
        <w:trPr>
          <w:trHeight w:val="410"/>
        </w:trPr>
        <w:tc>
          <w:tcPr>
            <w:tcW w:w="596" w:type="dxa"/>
          </w:tcPr>
          <w:p w14:paraId="7FDD4965"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13</w:t>
            </w:r>
          </w:p>
        </w:tc>
        <w:tc>
          <w:tcPr>
            <w:tcW w:w="6204" w:type="dxa"/>
            <w:hideMark/>
          </w:tcPr>
          <w:p w14:paraId="6755ACD6"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Endurance</w:t>
            </w:r>
            <w:r w:rsidRPr="003776C5">
              <w:rPr>
                <w:rFonts w:ascii="Calibri" w:eastAsia="Times New Roman" w:hAnsi="Calibri"/>
                <w:noProof w:val="0"/>
                <w:color w:val="000000"/>
                <w:sz w:val="22"/>
                <w:szCs w:val="22"/>
                <w:lang w:eastAsia="en-AU"/>
              </w:rPr>
              <w:tab/>
            </w:r>
            <w:r w:rsidRPr="003776C5">
              <w:rPr>
                <w:rFonts w:ascii="Calibri" w:eastAsia="Times New Roman" w:hAnsi="Calibri"/>
                <w:noProof w:val="0"/>
                <w:color w:val="000000"/>
                <w:sz w:val="22"/>
                <w:szCs w:val="22"/>
                <w:lang w:eastAsia="en-AU"/>
              </w:rPr>
              <w:tab/>
            </w:r>
            <w:r w:rsidRPr="003776C5">
              <w:rPr>
                <w:rFonts w:ascii="Calibri" w:eastAsia="Times New Roman" w:hAnsi="Calibri"/>
                <w:noProof w:val="0"/>
                <w:color w:val="000000"/>
                <w:sz w:val="22"/>
                <w:szCs w:val="22"/>
                <w:lang w:eastAsia="en-AU"/>
              </w:rPr>
              <w:tab/>
            </w:r>
            <w:r w:rsidRPr="003776C5">
              <w:rPr>
                <w:rFonts w:ascii="Calibri" w:eastAsia="Times New Roman" w:hAnsi="Calibri"/>
                <w:noProof w:val="0"/>
                <w:color w:val="000000"/>
                <w:sz w:val="22"/>
                <w:szCs w:val="22"/>
                <w:lang w:eastAsia="en-AU"/>
              </w:rPr>
              <w:tab/>
            </w:r>
            <w:r w:rsidRPr="003776C5">
              <w:rPr>
                <w:rFonts w:ascii="Calibri" w:eastAsia="Times New Roman" w:hAnsi="Calibri"/>
                <w:noProof w:val="0"/>
                <w:color w:val="000000"/>
                <w:sz w:val="22"/>
                <w:szCs w:val="22"/>
                <w:lang w:eastAsia="en-AU"/>
              </w:rPr>
              <w:tab/>
            </w:r>
          </w:p>
          <w:p w14:paraId="5CD48567" w14:textId="77777777" w:rsidR="003776C5" w:rsidRPr="003776C5" w:rsidRDefault="003776C5" w:rsidP="003776C5">
            <w:pPr>
              <w:spacing w:after="0" w:line="240" w:lineRule="auto"/>
              <w:jc w:val="right"/>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Lamps</w:t>
            </w:r>
          </w:p>
          <w:p w14:paraId="600E9D54" w14:textId="77777777" w:rsidR="003776C5" w:rsidRPr="003776C5" w:rsidRDefault="003776C5" w:rsidP="003776C5">
            <w:pPr>
              <w:spacing w:after="0" w:line="240" w:lineRule="auto"/>
              <w:jc w:val="right"/>
              <w:rPr>
                <w:rFonts w:ascii="Calibri" w:eastAsia="Times New Roman" w:hAnsi="Calibri"/>
                <w:noProof w:val="0"/>
                <w:color w:val="000000"/>
                <w:sz w:val="22"/>
                <w:szCs w:val="22"/>
                <w:lang w:eastAsia="en-AU"/>
              </w:rPr>
            </w:pPr>
          </w:p>
          <w:p w14:paraId="2BB68259" w14:textId="77777777" w:rsidR="003776C5" w:rsidRPr="003776C5" w:rsidRDefault="003776C5" w:rsidP="003776C5">
            <w:pPr>
              <w:spacing w:after="0" w:line="240" w:lineRule="auto"/>
              <w:jc w:val="right"/>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ab/>
            </w:r>
            <w:r w:rsidRPr="003776C5">
              <w:rPr>
                <w:rFonts w:ascii="Calibri" w:eastAsia="Times New Roman" w:hAnsi="Calibri"/>
                <w:noProof w:val="0"/>
                <w:color w:val="000000"/>
                <w:sz w:val="22"/>
                <w:szCs w:val="22"/>
                <w:lang w:eastAsia="en-AU"/>
              </w:rPr>
              <w:tab/>
            </w:r>
            <w:r w:rsidRPr="003776C5">
              <w:rPr>
                <w:rFonts w:ascii="Calibri" w:eastAsia="Times New Roman" w:hAnsi="Calibri"/>
                <w:noProof w:val="0"/>
                <w:color w:val="000000"/>
                <w:sz w:val="22"/>
                <w:szCs w:val="22"/>
                <w:lang w:eastAsia="en-AU"/>
              </w:rPr>
              <w:tab/>
            </w:r>
            <w:r w:rsidRPr="003776C5">
              <w:rPr>
                <w:rFonts w:ascii="Calibri" w:eastAsia="Times New Roman" w:hAnsi="Calibri"/>
                <w:noProof w:val="0"/>
                <w:color w:val="000000"/>
                <w:sz w:val="22"/>
                <w:szCs w:val="22"/>
                <w:lang w:eastAsia="en-AU"/>
              </w:rPr>
              <w:tab/>
            </w:r>
            <w:r w:rsidRPr="003776C5">
              <w:rPr>
                <w:rFonts w:ascii="Calibri" w:eastAsia="Times New Roman" w:hAnsi="Calibri"/>
                <w:noProof w:val="0"/>
                <w:color w:val="000000"/>
                <w:sz w:val="22"/>
                <w:szCs w:val="22"/>
                <w:lang w:eastAsia="en-AU"/>
              </w:rPr>
              <w:tab/>
              <w:t xml:space="preserve">Modules/packages </w:t>
            </w:r>
          </w:p>
          <w:p w14:paraId="13B35A37" w14:textId="77777777" w:rsidR="003776C5" w:rsidRPr="003776C5" w:rsidRDefault="003776C5" w:rsidP="003776C5">
            <w:pPr>
              <w:spacing w:after="0" w:line="240" w:lineRule="auto"/>
              <w:jc w:val="right"/>
              <w:rPr>
                <w:rFonts w:ascii="Calibri" w:eastAsia="Times New Roman" w:hAnsi="Calibri"/>
                <w:noProof w:val="0"/>
                <w:color w:val="000000"/>
                <w:sz w:val="22"/>
                <w:szCs w:val="22"/>
                <w:lang w:eastAsia="en-AU"/>
              </w:rPr>
            </w:pPr>
          </w:p>
          <w:p w14:paraId="6298A733" w14:textId="77777777" w:rsidR="003776C5" w:rsidRPr="003776C5" w:rsidRDefault="003776C5" w:rsidP="003776C5">
            <w:pPr>
              <w:spacing w:after="0" w:line="240" w:lineRule="auto"/>
              <w:jc w:val="right"/>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ab/>
            </w:r>
            <w:r w:rsidRPr="003776C5">
              <w:rPr>
                <w:rFonts w:ascii="Calibri" w:eastAsia="Times New Roman" w:hAnsi="Calibri"/>
                <w:noProof w:val="0"/>
                <w:color w:val="000000"/>
                <w:sz w:val="22"/>
                <w:szCs w:val="22"/>
                <w:lang w:eastAsia="en-AU"/>
              </w:rPr>
              <w:tab/>
            </w:r>
            <w:r w:rsidRPr="003776C5">
              <w:rPr>
                <w:rFonts w:ascii="Calibri" w:eastAsia="Times New Roman" w:hAnsi="Calibri"/>
                <w:noProof w:val="0"/>
                <w:color w:val="000000"/>
                <w:sz w:val="22"/>
                <w:szCs w:val="22"/>
                <w:lang w:eastAsia="en-AU"/>
              </w:rPr>
              <w:tab/>
            </w:r>
            <w:r w:rsidRPr="003776C5">
              <w:rPr>
                <w:rFonts w:ascii="Calibri" w:eastAsia="Times New Roman" w:hAnsi="Calibri"/>
                <w:noProof w:val="0"/>
                <w:color w:val="000000"/>
                <w:sz w:val="22"/>
                <w:szCs w:val="22"/>
                <w:lang w:eastAsia="en-AU"/>
              </w:rPr>
              <w:tab/>
            </w:r>
            <w:r w:rsidRPr="003776C5">
              <w:rPr>
                <w:rFonts w:ascii="Calibri" w:eastAsia="Times New Roman" w:hAnsi="Calibri"/>
                <w:noProof w:val="0"/>
                <w:color w:val="000000"/>
                <w:sz w:val="22"/>
                <w:szCs w:val="22"/>
                <w:lang w:eastAsia="en-AU"/>
              </w:rPr>
              <w:tab/>
            </w:r>
            <w:r w:rsidRPr="003776C5">
              <w:rPr>
                <w:rFonts w:ascii="Calibri" w:eastAsia="Times New Roman" w:hAnsi="Calibri"/>
                <w:noProof w:val="0"/>
                <w:color w:val="000000"/>
                <w:sz w:val="22"/>
                <w:szCs w:val="22"/>
                <w:lang w:eastAsia="en-AU"/>
              </w:rPr>
              <w:tab/>
              <w:t>Luminaires</w:t>
            </w:r>
          </w:p>
        </w:tc>
        <w:tc>
          <w:tcPr>
            <w:tcW w:w="7971" w:type="dxa"/>
            <w:shd w:val="clear" w:color="auto" w:fill="auto"/>
          </w:tcPr>
          <w:p w14:paraId="15534AB6"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3765F345"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IEC 62612: 2013</w:t>
            </w:r>
          </w:p>
          <w:p w14:paraId="5D327F06"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or</w:t>
            </w:r>
          </w:p>
          <w:p w14:paraId="753FE4AA"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IEC 62717: 2014</w:t>
            </w:r>
          </w:p>
          <w:p w14:paraId="2F3445A5"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or</w:t>
            </w:r>
          </w:p>
          <w:p w14:paraId="03609666"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IEC 62722.2.1: 2011</w:t>
            </w:r>
          </w:p>
          <w:p w14:paraId="2B767729"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tc>
      </w:tr>
      <w:tr w:rsidR="003776C5" w:rsidRPr="003776C5" w14:paraId="327D821F" w14:textId="77777777" w:rsidTr="006B00C9">
        <w:trPr>
          <w:trHeight w:val="429"/>
        </w:trPr>
        <w:tc>
          <w:tcPr>
            <w:tcW w:w="596" w:type="dxa"/>
          </w:tcPr>
          <w:p w14:paraId="1F688C94"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14</w:t>
            </w:r>
          </w:p>
        </w:tc>
        <w:tc>
          <w:tcPr>
            <w:tcW w:w="6204" w:type="dxa"/>
            <w:hideMark/>
          </w:tcPr>
          <w:p w14:paraId="08E5C723"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Flicker</w:t>
            </w:r>
          </w:p>
        </w:tc>
        <w:tc>
          <w:tcPr>
            <w:tcW w:w="7971" w:type="dxa"/>
          </w:tcPr>
          <w:p w14:paraId="7215341F" w14:textId="77777777" w:rsidR="003776C5" w:rsidRPr="003776C5" w:rsidRDefault="003776C5" w:rsidP="003776C5">
            <w:pPr>
              <w:spacing w:after="240" w:line="240" w:lineRule="auto"/>
              <w:rPr>
                <w:rFonts w:ascii="Calibri" w:eastAsia="Times New Roman" w:hAnsi="Calibri"/>
                <w:noProof w:val="0"/>
                <w:color w:val="000000"/>
                <w:sz w:val="22"/>
                <w:szCs w:val="22"/>
                <w:highlight w:val="lightGray"/>
                <w:lang w:eastAsia="en-AU"/>
              </w:rPr>
            </w:pPr>
            <w:r w:rsidRPr="003776C5">
              <w:rPr>
                <w:rFonts w:ascii="Calibri" w:eastAsia="Times New Roman" w:hAnsi="Calibri"/>
                <w:noProof w:val="0"/>
                <w:color w:val="000000"/>
                <w:sz w:val="22"/>
                <w:szCs w:val="22"/>
                <w:lang w:eastAsia="en-AU"/>
              </w:rPr>
              <w:t>IEEE 1789</w:t>
            </w:r>
          </w:p>
        </w:tc>
      </w:tr>
      <w:tr w:rsidR="003776C5" w:rsidRPr="003776C5" w14:paraId="4AE080BB" w14:textId="77777777" w:rsidTr="006B00C9">
        <w:trPr>
          <w:trHeight w:val="323"/>
        </w:trPr>
        <w:tc>
          <w:tcPr>
            <w:tcW w:w="596" w:type="dxa"/>
          </w:tcPr>
          <w:p w14:paraId="13F5B8A7" w14:textId="77777777" w:rsidR="003776C5" w:rsidRPr="003776C5" w:rsidRDefault="003776C5" w:rsidP="003776C5">
            <w:pPr>
              <w:spacing w:after="0" w:line="240" w:lineRule="auto"/>
              <w:rPr>
                <w:rFonts w:ascii="Calibri" w:eastAsia="Times New Roman" w:hAnsi="Calibri"/>
                <w:noProof w:val="0"/>
                <w:sz w:val="16"/>
                <w:szCs w:val="16"/>
                <w:lang w:eastAsia="en-AU"/>
              </w:rPr>
            </w:pPr>
            <w:r w:rsidRPr="003776C5">
              <w:rPr>
                <w:rFonts w:ascii="Calibri" w:eastAsia="Times New Roman" w:hAnsi="Calibri"/>
                <w:noProof w:val="0"/>
                <w:sz w:val="16"/>
                <w:szCs w:val="16"/>
                <w:lang w:eastAsia="en-AU"/>
              </w:rPr>
              <w:t>15</w:t>
            </w:r>
          </w:p>
        </w:tc>
        <w:tc>
          <w:tcPr>
            <w:tcW w:w="6204" w:type="dxa"/>
            <w:hideMark/>
          </w:tcPr>
          <w:p w14:paraId="54B9ACE4" w14:textId="77777777" w:rsidR="003776C5" w:rsidRPr="003776C5" w:rsidRDefault="003776C5" w:rsidP="003776C5">
            <w:pPr>
              <w:spacing w:after="0" w:line="240" w:lineRule="auto"/>
              <w:rPr>
                <w:rFonts w:ascii="Calibri" w:eastAsia="Times New Roman" w:hAnsi="Calibri"/>
                <w:noProof w:val="0"/>
                <w:sz w:val="22"/>
                <w:szCs w:val="22"/>
                <w:lang w:eastAsia="en-AU"/>
              </w:rPr>
            </w:pPr>
            <w:r w:rsidRPr="003776C5">
              <w:rPr>
                <w:rFonts w:ascii="Calibri" w:eastAsia="Times New Roman" w:hAnsi="Calibri"/>
                <w:noProof w:val="0"/>
                <w:sz w:val="22"/>
                <w:szCs w:val="22"/>
                <w:lang w:eastAsia="en-AU"/>
              </w:rPr>
              <w:t>Centre beam luminous intensity (directional lamps only)</w:t>
            </w:r>
          </w:p>
        </w:tc>
        <w:tc>
          <w:tcPr>
            <w:tcW w:w="7971" w:type="dxa"/>
          </w:tcPr>
          <w:p w14:paraId="722A98F1" w14:textId="77777777" w:rsidR="003776C5" w:rsidRPr="003776C5" w:rsidRDefault="003776C5" w:rsidP="003776C5">
            <w:pPr>
              <w:spacing w:after="0" w:line="240" w:lineRule="auto"/>
              <w:rPr>
                <w:rFonts w:ascii="Calibri" w:eastAsia="Times New Roman" w:hAnsi="Calibri"/>
                <w:noProof w:val="0"/>
                <w:color w:val="000000"/>
                <w:sz w:val="22"/>
                <w:szCs w:val="22"/>
                <w:highlight w:val="yellow"/>
                <w:lang w:eastAsia="en-AU"/>
              </w:rPr>
            </w:pPr>
            <w:r w:rsidRPr="003776C5">
              <w:rPr>
                <w:rFonts w:ascii="Calibri" w:eastAsia="Times New Roman" w:hAnsi="Calibri"/>
                <w:noProof w:val="0"/>
                <w:color w:val="000000"/>
                <w:sz w:val="22"/>
                <w:szCs w:val="22"/>
                <w:lang w:eastAsia="en-AU"/>
              </w:rPr>
              <w:t>CIE S025</w:t>
            </w:r>
            <w:r w:rsidRPr="003776C5">
              <w:rPr>
                <w:rFonts w:ascii="Calibri" w:eastAsia="Times New Roman" w:hAnsi="Calibri"/>
                <w:noProof w:val="0"/>
                <w:color w:val="000000"/>
                <w:sz w:val="22"/>
                <w:szCs w:val="22"/>
                <w:highlight w:val="yellow"/>
                <w:lang w:eastAsia="en-AU"/>
              </w:rPr>
              <w:t xml:space="preserve"> </w:t>
            </w:r>
          </w:p>
          <w:p w14:paraId="673A47E4"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or</w:t>
            </w:r>
          </w:p>
          <w:p w14:paraId="41E4D6DC"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LM79 accepted until July 2021</w:t>
            </w:r>
          </w:p>
          <w:p w14:paraId="03139862"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or</w:t>
            </w:r>
          </w:p>
          <w:p w14:paraId="21C98EA4" w14:textId="77777777" w:rsidR="003776C5" w:rsidRPr="003776C5" w:rsidRDefault="003776C5" w:rsidP="003776C5">
            <w:pPr>
              <w:spacing w:after="0" w:line="240" w:lineRule="auto"/>
              <w:rPr>
                <w:rFonts w:ascii="Verdana" w:eastAsia="Calibri" w:hAnsi="Verdana"/>
                <w:noProof w:val="0"/>
                <w:color w:val="121214"/>
                <w:sz w:val="18"/>
                <w:szCs w:val="18"/>
                <w:shd w:val="clear" w:color="auto" w:fill="FCFCFC"/>
              </w:rPr>
            </w:pPr>
            <w:r w:rsidRPr="003776C5">
              <w:rPr>
                <w:rFonts w:ascii="Verdana" w:eastAsia="Calibri" w:hAnsi="Verdana"/>
                <w:noProof w:val="0"/>
                <w:color w:val="121214"/>
                <w:sz w:val="18"/>
                <w:szCs w:val="18"/>
                <w:shd w:val="clear" w:color="auto" w:fill="FCFCFC"/>
              </w:rPr>
              <w:t>EN 13032-4:2015</w:t>
            </w:r>
          </w:p>
          <w:p w14:paraId="4C71F568" w14:textId="77777777" w:rsidR="003776C5" w:rsidRPr="003776C5" w:rsidRDefault="003776C5" w:rsidP="003776C5">
            <w:pPr>
              <w:spacing w:after="240" w:line="240" w:lineRule="auto"/>
              <w:rPr>
                <w:rFonts w:ascii="Calibri" w:eastAsia="Times New Roman" w:hAnsi="Calibri"/>
                <w:noProof w:val="0"/>
                <w:color w:val="000000"/>
                <w:sz w:val="22"/>
                <w:szCs w:val="22"/>
                <w:highlight w:val="lightGray"/>
                <w:lang w:eastAsia="en-AU"/>
              </w:rPr>
            </w:pPr>
          </w:p>
        </w:tc>
      </w:tr>
      <w:tr w:rsidR="003776C5" w:rsidRPr="003776C5" w14:paraId="568DC4BA" w14:textId="77777777" w:rsidTr="006B00C9">
        <w:trPr>
          <w:trHeight w:val="323"/>
        </w:trPr>
        <w:tc>
          <w:tcPr>
            <w:tcW w:w="596" w:type="dxa"/>
          </w:tcPr>
          <w:p w14:paraId="21B759A1" w14:textId="77777777" w:rsidR="003776C5" w:rsidRPr="003776C5" w:rsidRDefault="003776C5" w:rsidP="003776C5">
            <w:pPr>
              <w:spacing w:after="0" w:line="240" w:lineRule="auto"/>
              <w:rPr>
                <w:rFonts w:ascii="Calibri" w:eastAsia="Times New Roman" w:hAnsi="Calibri"/>
                <w:noProof w:val="0"/>
                <w:sz w:val="16"/>
                <w:szCs w:val="16"/>
                <w:lang w:eastAsia="en-AU"/>
              </w:rPr>
            </w:pPr>
            <w:r w:rsidRPr="003776C5">
              <w:rPr>
                <w:rFonts w:ascii="Calibri" w:eastAsia="Times New Roman" w:hAnsi="Calibri"/>
                <w:noProof w:val="0"/>
                <w:sz w:val="16"/>
                <w:szCs w:val="16"/>
                <w:lang w:eastAsia="en-AU"/>
              </w:rPr>
              <w:t>16</w:t>
            </w:r>
          </w:p>
        </w:tc>
        <w:tc>
          <w:tcPr>
            <w:tcW w:w="6204" w:type="dxa"/>
          </w:tcPr>
          <w:p w14:paraId="11F64B36" w14:textId="77777777" w:rsidR="003776C5" w:rsidRPr="003776C5" w:rsidRDefault="003776C5" w:rsidP="003776C5">
            <w:pPr>
              <w:spacing w:after="0" w:line="240" w:lineRule="auto"/>
              <w:rPr>
                <w:rFonts w:ascii="Calibri" w:eastAsia="Times New Roman" w:hAnsi="Calibri"/>
                <w:noProof w:val="0"/>
                <w:sz w:val="22"/>
                <w:szCs w:val="22"/>
                <w:lang w:eastAsia="en-AU"/>
              </w:rPr>
            </w:pPr>
            <w:r w:rsidRPr="003776C5">
              <w:rPr>
                <w:rFonts w:ascii="Calibri" w:eastAsia="Times New Roman" w:hAnsi="Calibri"/>
                <w:noProof w:val="0"/>
                <w:sz w:val="22"/>
                <w:szCs w:val="22"/>
                <w:lang w:eastAsia="en-AU"/>
              </w:rPr>
              <w:t>Beam Angle</w:t>
            </w:r>
          </w:p>
        </w:tc>
        <w:tc>
          <w:tcPr>
            <w:tcW w:w="7971" w:type="dxa"/>
          </w:tcPr>
          <w:p w14:paraId="30B0024D" w14:textId="77777777" w:rsidR="003776C5" w:rsidRPr="003776C5" w:rsidRDefault="003776C5" w:rsidP="003776C5">
            <w:pPr>
              <w:spacing w:after="0" w:line="240" w:lineRule="auto"/>
              <w:rPr>
                <w:rFonts w:ascii="Calibri" w:eastAsia="Times New Roman" w:hAnsi="Calibri"/>
                <w:noProof w:val="0"/>
                <w:color w:val="000000"/>
                <w:sz w:val="22"/>
                <w:szCs w:val="22"/>
                <w:highlight w:val="yellow"/>
                <w:lang w:eastAsia="en-AU"/>
              </w:rPr>
            </w:pPr>
            <w:r w:rsidRPr="003776C5">
              <w:rPr>
                <w:rFonts w:ascii="Calibri" w:eastAsia="Times New Roman" w:hAnsi="Calibri"/>
                <w:noProof w:val="0"/>
                <w:color w:val="000000"/>
                <w:sz w:val="22"/>
                <w:szCs w:val="22"/>
                <w:lang w:eastAsia="en-AU"/>
              </w:rPr>
              <w:t>CIE S025</w:t>
            </w:r>
            <w:r w:rsidRPr="003776C5">
              <w:rPr>
                <w:rFonts w:ascii="Calibri" w:eastAsia="Times New Roman" w:hAnsi="Calibri"/>
                <w:noProof w:val="0"/>
                <w:color w:val="000000"/>
                <w:sz w:val="22"/>
                <w:szCs w:val="22"/>
                <w:highlight w:val="yellow"/>
                <w:lang w:eastAsia="en-AU"/>
              </w:rPr>
              <w:t xml:space="preserve"> </w:t>
            </w:r>
          </w:p>
          <w:p w14:paraId="6B5519D7"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or</w:t>
            </w:r>
          </w:p>
          <w:p w14:paraId="3ACD2D17"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LM79 accepted until July 2021</w:t>
            </w:r>
          </w:p>
          <w:p w14:paraId="6C47990E"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or</w:t>
            </w:r>
          </w:p>
          <w:p w14:paraId="11C795CA" w14:textId="77777777" w:rsidR="003776C5" w:rsidRPr="003776C5" w:rsidRDefault="003776C5" w:rsidP="003776C5">
            <w:pPr>
              <w:spacing w:after="0" w:line="240" w:lineRule="auto"/>
              <w:rPr>
                <w:rFonts w:ascii="Verdana" w:eastAsia="Calibri" w:hAnsi="Verdana"/>
                <w:noProof w:val="0"/>
                <w:color w:val="121214"/>
                <w:sz w:val="18"/>
                <w:szCs w:val="18"/>
                <w:shd w:val="clear" w:color="auto" w:fill="FCFCFC"/>
              </w:rPr>
            </w:pPr>
            <w:r w:rsidRPr="003776C5">
              <w:rPr>
                <w:rFonts w:ascii="Verdana" w:eastAsia="Calibri" w:hAnsi="Verdana"/>
                <w:noProof w:val="0"/>
                <w:color w:val="121214"/>
                <w:sz w:val="18"/>
                <w:szCs w:val="18"/>
                <w:shd w:val="clear" w:color="auto" w:fill="FCFCFC"/>
              </w:rPr>
              <w:t>EN 13032-4:2015</w:t>
            </w:r>
          </w:p>
          <w:p w14:paraId="30CA28D8"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p>
        </w:tc>
      </w:tr>
    </w:tbl>
    <w:p w14:paraId="17C100BE" w14:textId="77777777" w:rsidR="003776C5" w:rsidRPr="003776C5" w:rsidRDefault="003776C5" w:rsidP="003776C5">
      <w:pPr>
        <w:spacing w:after="200" w:line="276" w:lineRule="auto"/>
        <w:rPr>
          <w:rFonts w:ascii="Calibri" w:eastAsia="Calibri" w:hAnsi="Calibri"/>
          <w:b/>
          <w:noProof w:val="0"/>
          <w:sz w:val="22"/>
          <w:szCs w:val="22"/>
        </w:rPr>
      </w:pPr>
    </w:p>
    <w:p w14:paraId="62464573" w14:textId="77777777" w:rsidR="003776C5" w:rsidRPr="003776C5" w:rsidRDefault="003776C5" w:rsidP="003776C5">
      <w:pPr>
        <w:spacing w:after="200" w:line="276" w:lineRule="auto"/>
        <w:rPr>
          <w:rFonts w:ascii="Calibri" w:eastAsia="Calibri" w:hAnsi="Calibri"/>
          <w:b/>
          <w:noProof w:val="0"/>
          <w:sz w:val="22"/>
          <w:szCs w:val="22"/>
        </w:rPr>
      </w:pPr>
    </w:p>
    <w:p w14:paraId="3CE3311B" w14:textId="77777777" w:rsidR="003776C5" w:rsidRPr="003776C5" w:rsidRDefault="003776C5" w:rsidP="003776C5">
      <w:pPr>
        <w:spacing w:after="200" w:line="276" w:lineRule="auto"/>
        <w:rPr>
          <w:rFonts w:ascii="Calibri" w:eastAsia="Calibri" w:hAnsi="Calibri"/>
          <w:b/>
          <w:noProof w:val="0"/>
          <w:sz w:val="22"/>
          <w:szCs w:val="22"/>
        </w:rPr>
      </w:pPr>
      <w:r w:rsidRPr="003776C5">
        <w:rPr>
          <w:rFonts w:ascii="Calibri" w:eastAsia="Calibri" w:hAnsi="Calibri"/>
          <w:b/>
          <w:noProof w:val="0"/>
          <w:sz w:val="22"/>
          <w:szCs w:val="22"/>
        </w:rPr>
        <w:br w:type="page"/>
      </w:r>
    </w:p>
    <w:p w14:paraId="72DFBAF6" w14:textId="77777777" w:rsidR="003776C5" w:rsidRPr="003776C5" w:rsidRDefault="003776C5" w:rsidP="00550A49">
      <w:pPr>
        <w:keepNext/>
        <w:keepLines/>
        <w:spacing w:before="480" w:after="0" w:line="276" w:lineRule="auto"/>
        <w:outlineLvl w:val="0"/>
        <w:rPr>
          <w:rFonts w:ascii="Cambria" w:eastAsia="Times New Roman" w:hAnsi="Cambria"/>
          <w:b/>
          <w:bCs/>
          <w:noProof w:val="0"/>
          <w:color w:val="365F91"/>
          <w:sz w:val="28"/>
          <w:szCs w:val="28"/>
        </w:rPr>
      </w:pPr>
      <w:bookmarkStart w:id="102" w:name="_Toc491942551"/>
      <w:r w:rsidRPr="003776C5">
        <w:rPr>
          <w:rFonts w:ascii="Cambria" w:eastAsia="Times New Roman" w:hAnsi="Cambria"/>
          <w:b/>
          <w:bCs/>
          <w:noProof w:val="0"/>
          <w:color w:val="365F91"/>
          <w:sz w:val="28"/>
          <w:szCs w:val="28"/>
        </w:rPr>
        <w:t>Table 5: Integrated LED luminaires</w:t>
      </w:r>
      <w:r w:rsidRPr="003776C5">
        <w:rPr>
          <w:rFonts w:ascii="Cambria" w:eastAsia="Times New Roman" w:hAnsi="Cambria"/>
          <w:b/>
          <w:bCs/>
          <w:noProof w:val="0"/>
          <w:color w:val="365F91"/>
          <w:sz w:val="28"/>
          <w:szCs w:val="28"/>
          <w:vertAlign w:val="superscript"/>
        </w:rPr>
        <w:footnoteReference w:id="37"/>
      </w:r>
      <w:r w:rsidRPr="003776C5">
        <w:rPr>
          <w:rFonts w:ascii="Cambria" w:eastAsia="Times New Roman" w:hAnsi="Cambria"/>
          <w:b/>
          <w:bCs/>
          <w:noProof w:val="0"/>
          <w:color w:val="365F91"/>
          <w:sz w:val="28"/>
          <w:szCs w:val="28"/>
          <w:vertAlign w:val="superscript"/>
        </w:rPr>
        <w:footnoteReference w:id="38"/>
      </w:r>
      <w:bookmarkEnd w:id="102"/>
    </w:p>
    <w:tbl>
      <w:tblPr>
        <w:tblStyle w:val="TableGrid2"/>
        <w:tblW w:w="15480" w:type="dxa"/>
        <w:tblInd w:w="-459" w:type="dxa"/>
        <w:tblLayout w:type="fixed"/>
        <w:tblLook w:val="04A0" w:firstRow="1" w:lastRow="0" w:firstColumn="1" w:lastColumn="0" w:noHBand="0" w:noVBand="1"/>
        <w:tblDescription w:val="Table setting out attributes, proposed requirements, sample sizes, compliance criteria and test methods for integrated LED luminaires. "/>
      </w:tblPr>
      <w:tblGrid>
        <w:gridCol w:w="454"/>
        <w:gridCol w:w="1668"/>
        <w:gridCol w:w="2868"/>
        <w:gridCol w:w="7"/>
        <w:gridCol w:w="18"/>
        <w:gridCol w:w="2884"/>
        <w:gridCol w:w="9"/>
        <w:gridCol w:w="2894"/>
        <w:gridCol w:w="1134"/>
        <w:gridCol w:w="1843"/>
        <w:gridCol w:w="1701"/>
      </w:tblGrid>
      <w:tr w:rsidR="003776C5" w:rsidRPr="003776C5" w14:paraId="0BA30C37" w14:textId="77777777" w:rsidTr="003776C5">
        <w:trPr>
          <w:trHeight w:val="270"/>
          <w:tblHeader/>
        </w:trPr>
        <w:tc>
          <w:tcPr>
            <w:tcW w:w="454" w:type="dxa"/>
            <w:shd w:val="clear" w:color="auto" w:fill="548DD4"/>
          </w:tcPr>
          <w:p w14:paraId="0C146DA0" w14:textId="77777777" w:rsidR="003776C5" w:rsidRPr="003776C5" w:rsidRDefault="003776C5" w:rsidP="003776C5">
            <w:pPr>
              <w:spacing w:after="0" w:line="240" w:lineRule="auto"/>
              <w:rPr>
                <w:rFonts w:ascii="Calibri" w:eastAsia="Times New Roman" w:hAnsi="Calibri"/>
                <w:noProof w:val="0"/>
                <w:color w:val="FFFFFF"/>
                <w:sz w:val="16"/>
                <w:szCs w:val="16"/>
                <w:lang w:eastAsia="en-AU"/>
              </w:rPr>
            </w:pPr>
          </w:p>
        </w:tc>
        <w:tc>
          <w:tcPr>
            <w:tcW w:w="1668" w:type="dxa"/>
            <w:vMerge w:val="restart"/>
            <w:shd w:val="clear" w:color="auto" w:fill="548DD4"/>
            <w:hideMark/>
          </w:tcPr>
          <w:p w14:paraId="06BE4927" w14:textId="77777777" w:rsidR="003776C5" w:rsidRPr="003776C5" w:rsidRDefault="003776C5" w:rsidP="003776C5">
            <w:pPr>
              <w:spacing w:after="0" w:line="240" w:lineRule="auto"/>
              <w:rPr>
                <w:rFonts w:ascii="Calibri" w:eastAsia="Times New Roman" w:hAnsi="Calibri"/>
                <w:noProof w:val="0"/>
                <w:color w:val="FFFFFF"/>
                <w:sz w:val="22"/>
                <w:szCs w:val="22"/>
                <w:lang w:eastAsia="en-AU"/>
              </w:rPr>
            </w:pPr>
            <w:r w:rsidRPr="003776C5">
              <w:rPr>
                <w:rFonts w:ascii="Calibri" w:eastAsia="Times New Roman" w:hAnsi="Calibri"/>
                <w:noProof w:val="0"/>
                <w:color w:val="FFFFFF"/>
                <w:sz w:val="22"/>
                <w:szCs w:val="22"/>
                <w:lang w:eastAsia="en-AU"/>
              </w:rPr>
              <w:t>Attribute</w:t>
            </w:r>
          </w:p>
        </w:tc>
        <w:tc>
          <w:tcPr>
            <w:tcW w:w="8680" w:type="dxa"/>
            <w:gridSpan w:val="6"/>
            <w:shd w:val="clear" w:color="auto" w:fill="548DD4"/>
            <w:noWrap/>
            <w:hideMark/>
          </w:tcPr>
          <w:p w14:paraId="4D090F38" w14:textId="77777777" w:rsidR="003776C5" w:rsidRPr="003776C5" w:rsidRDefault="003776C5" w:rsidP="003776C5">
            <w:pPr>
              <w:spacing w:after="0" w:line="240" w:lineRule="auto"/>
              <w:jc w:val="center"/>
              <w:rPr>
                <w:rFonts w:ascii="Calibri" w:eastAsia="Times New Roman" w:hAnsi="Calibri"/>
                <w:noProof w:val="0"/>
                <w:color w:val="FFFFFF"/>
                <w:sz w:val="22"/>
                <w:szCs w:val="22"/>
                <w:lang w:eastAsia="en-AU"/>
              </w:rPr>
            </w:pPr>
            <w:r w:rsidRPr="003776C5">
              <w:rPr>
                <w:rFonts w:ascii="Calibri" w:eastAsia="Times New Roman" w:hAnsi="Calibri"/>
                <w:noProof w:val="0"/>
                <w:color w:val="FFFFFF"/>
                <w:sz w:val="22"/>
                <w:szCs w:val="22"/>
                <w:lang w:eastAsia="en-AU"/>
              </w:rPr>
              <w:t>Requirement</w:t>
            </w:r>
          </w:p>
        </w:tc>
        <w:tc>
          <w:tcPr>
            <w:tcW w:w="1134" w:type="dxa"/>
            <w:vMerge w:val="restart"/>
            <w:shd w:val="clear" w:color="auto" w:fill="548DD4"/>
            <w:hideMark/>
          </w:tcPr>
          <w:p w14:paraId="6F99BE11" w14:textId="77777777" w:rsidR="003776C5" w:rsidRPr="003776C5" w:rsidRDefault="003776C5" w:rsidP="003776C5">
            <w:pPr>
              <w:spacing w:after="0" w:line="240" w:lineRule="auto"/>
              <w:rPr>
                <w:rFonts w:ascii="Calibri" w:eastAsia="Times New Roman" w:hAnsi="Calibri"/>
                <w:noProof w:val="0"/>
                <w:color w:val="FFFFFF"/>
                <w:sz w:val="22"/>
                <w:szCs w:val="22"/>
                <w:lang w:eastAsia="en-AU"/>
              </w:rPr>
            </w:pPr>
            <w:r w:rsidRPr="003776C5">
              <w:rPr>
                <w:rFonts w:ascii="Calibri" w:eastAsia="Times New Roman" w:hAnsi="Calibri"/>
                <w:noProof w:val="0"/>
                <w:color w:val="FFFFFF"/>
                <w:sz w:val="22"/>
                <w:szCs w:val="22"/>
                <w:lang w:eastAsia="en-AU"/>
              </w:rPr>
              <w:t>Sample size</w:t>
            </w:r>
          </w:p>
        </w:tc>
        <w:tc>
          <w:tcPr>
            <w:tcW w:w="1843" w:type="dxa"/>
            <w:vMerge w:val="restart"/>
            <w:shd w:val="clear" w:color="auto" w:fill="548DD4"/>
            <w:hideMark/>
          </w:tcPr>
          <w:p w14:paraId="781D9380" w14:textId="77777777" w:rsidR="003776C5" w:rsidRPr="003776C5" w:rsidRDefault="003776C5" w:rsidP="003776C5">
            <w:pPr>
              <w:spacing w:after="0" w:line="240" w:lineRule="auto"/>
              <w:rPr>
                <w:rFonts w:ascii="Calibri" w:eastAsia="Times New Roman" w:hAnsi="Calibri"/>
                <w:noProof w:val="0"/>
                <w:color w:val="FFFFFF"/>
                <w:sz w:val="22"/>
                <w:szCs w:val="22"/>
                <w:lang w:eastAsia="en-AU"/>
              </w:rPr>
            </w:pPr>
            <w:r w:rsidRPr="003776C5">
              <w:rPr>
                <w:rFonts w:ascii="Calibri" w:eastAsia="Times New Roman" w:hAnsi="Calibri"/>
                <w:noProof w:val="0"/>
                <w:color w:val="FFFFFF"/>
                <w:sz w:val="22"/>
                <w:szCs w:val="22"/>
                <w:lang w:eastAsia="en-AU"/>
              </w:rPr>
              <w:t>Compliance criteria</w:t>
            </w:r>
          </w:p>
        </w:tc>
        <w:tc>
          <w:tcPr>
            <w:tcW w:w="1701" w:type="dxa"/>
            <w:vMerge w:val="restart"/>
            <w:shd w:val="clear" w:color="auto" w:fill="548DD4"/>
          </w:tcPr>
          <w:p w14:paraId="21B0831F" w14:textId="77777777" w:rsidR="003776C5" w:rsidRPr="003776C5" w:rsidRDefault="003776C5" w:rsidP="003776C5">
            <w:pPr>
              <w:spacing w:after="0" w:line="240" w:lineRule="auto"/>
              <w:rPr>
                <w:rFonts w:ascii="Calibri" w:eastAsia="Times New Roman" w:hAnsi="Calibri"/>
                <w:noProof w:val="0"/>
                <w:color w:val="FFFFFF"/>
                <w:sz w:val="22"/>
                <w:szCs w:val="22"/>
                <w:lang w:eastAsia="en-AU"/>
              </w:rPr>
            </w:pPr>
            <w:r w:rsidRPr="003776C5">
              <w:rPr>
                <w:rFonts w:ascii="Calibri" w:eastAsia="Times New Roman" w:hAnsi="Calibri"/>
                <w:noProof w:val="0"/>
                <w:color w:val="FFFFFF"/>
                <w:sz w:val="22"/>
                <w:szCs w:val="22"/>
                <w:lang w:eastAsia="en-AU"/>
              </w:rPr>
              <w:t>Test method</w:t>
            </w:r>
          </w:p>
        </w:tc>
      </w:tr>
      <w:tr w:rsidR="003776C5" w:rsidRPr="003776C5" w14:paraId="780A66E5" w14:textId="77777777" w:rsidTr="003776C5">
        <w:trPr>
          <w:trHeight w:val="270"/>
          <w:tblHeader/>
        </w:trPr>
        <w:tc>
          <w:tcPr>
            <w:tcW w:w="454" w:type="dxa"/>
            <w:shd w:val="clear" w:color="auto" w:fill="548DD4"/>
          </w:tcPr>
          <w:p w14:paraId="09184631" w14:textId="77777777" w:rsidR="003776C5" w:rsidRPr="003776C5" w:rsidRDefault="003776C5" w:rsidP="003776C5">
            <w:pPr>
              <w:spacing w:after="0" w:line="240" w:lineRule="auto"/>
              <w:rPr>
                <w:rFonts w:ascii="Calibri" w:eastAsia="Times New Roman" w:hAnsi="Calibri"/>
                <w:noProof w:val="0"/>
                <w:color w:val="000000"/>
                <w:sz w:val="14"/>
                <w:szCs w:val="14"/>
                <w:lang w:eastAsia="en-AU"/>
              </w:rPr>
            </w:pPr>
            <w:r w:rsidRPr="003776C5">
              <w:rPr>
                <w:rFonts w:ascii="Calibri" w:eastAsia="Times New Roman" w:hAnsi="Calibri"/>
                <w:noProof w:val="0"/>
                <w:color w:val="000000"/>
                <w:sz w:val="14"/>
                <w:szCs w:val="14"/>
                <w:lang w:eastAsia="en-AU"/>
              </w:rPr>
              <w:t>Ref</w:t>
            </w:r>
          </w:p>
        </w:tc>
        <w:tc>
          <w:tcPr>
            <w:tcW w:w="1668" w:type="dxa"/>
            <w:vMerge/>
          </w:tcPr>
          <w:p w14:paraId="03497FB9"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tc>
        <w:tc>
          <w:tcPr>
            <w:tcW w:w="2875" w:type="dxa"/>
            <w:gridSpan w:val="2"/>
            <w:shd w:val="clear" w:color="auto" w:fill="548DD4"/>
            <w:noWrap/>
          </w:tcPr>
          <w:p w14:paraId="35B59F58" w14:textId="77777777" w:rsidR="003776C5" w:rsidRPr="003776C5" w:rsidRDefault="003776C5" w:rsidP="003776C5">
            <w:pPr>
              <w:spacing w:after="0" w:line="240" w:lineRule="auto"/>
              <w:rPr>
                <w:rFonts w:ascii="Calibri" w:eastAsia="Times New Roman" w:hAnsi="Calibri"/>
                <w:noProof w:val="0"/>
                <w:color w:val="FFFFFF"/>
                <w:sz w:val="22"/>
                <w:szCs w:val="22"/>
                <w:lang w:eastAsia="en-AU"/>
              </w:rPr>
            </w:pPr>
            <w:r w:rsidRPr="003776C5">
              <w:rPr>
                <w:rFonts w:ascii="Calibri" w:eastAsia="Times New Roman" w:hAnsi="Calibri"/>
                <w:noProof w:val="0"/>
                <w:color w:val="FFFFFF"/>
                <w:sz w:val="22"/>
                <w:szCs w:val="22"/>
                <w:lang w:eastAsia="en-AU"/>
              </w:rPr>
              <w:t>Small</w:t>
            </w:r>
          </w:p>
        </w:tc>
        <w:tc>
          <w:tcPr>
            <w:tcW w:w="2911" w:type="dxa"/>
            <w:gridSpan w:val="3"/>
            <w:shd w:val="clear" w:color="auto" w:fill="548DD4"/>
          </w:tcPr>
          <w:p w14:paraId="13AEC339" w14:textId="77777777" w:rsidR="003776C5" w:rsidRPr="003776C5" w:rsidRDefault="003776C5" w:rsidP="003776C5">
            <w:pPr>
              <w:spacing w:after="0" w:line="240" w:lineRule="auto"/>
              <w:rPr>
                <w:rFonts w:ascii="Calibri" w:eastAsia="Times New Roman" w:hAnsi="Calibri"/>
                <w:noProof w:val="0"/>
                <w:color w:val="FFFFFF"/>
                <w:sz w:val="22"/>
                <w:szCs w:val="22"/>
                <w:lang w:eastAsia="en-AU"/>
              </w:rPr>
            </w:pPr>
            <w:r w:rsidRPr="003776C5">
              <w:rPr>
                <w:rFonts w:ascii="Calibri" w:eastAsia="Times New Roman" w:hAnsi="Calibri"/>
                <w:noProof w:val="0"/>
                <w:color w:val="FFFFFF"/>
                <w:sz w:val="22"/>
                <w:szCs w:val="22"/>
                <w:lang w:eastAsia="en-AU"/>
              </w:rPr>
              <w:t>Large</w:t>
            </w:r>
          </w:p>
        </w:tc>
        <w:tc>
          <w:tcPr>
            <w:tcW w:w="2894" w:type="dxa"/>
            <w:shd w:val="clear" w:color="auto" w:fill="548DD4"/>
          </w:tcPr>
          <w:p w14:paraId="32841A6E" w14:textId="77777777" w:rsidR="003776C5" w:rsidRPr="003776C5" w:rsidRDefault="003776C5" w:rsidP="003776C5">
            <w:pPr>
              <w:spacing w:after="0" w:line="240" w:lineRule="auto"/>
              <w:rPr>
                <w:rFonts w:ascii="Calibri" w:eastAsia="Times New Roman" w:hAnsi="Calibri"/>
                <w:noProof w:val="0"/>
                <w:color w:val="FFFFFF"/>
                <w:sz w:val="22"/>
                <w:szCs w:val="22"/>
                <w:lang w:eastAsia="en-AU"/>
              </w:rPr>
            </w:pPr>
            <w:r w:rsidRPr="003776C5">
              <w:rPr>
                <w:rFonts w:ascii="Calibri" w:eastAsia="Times New Roman" w:hAnsi="Calibri"/>
                <w:noProof w:val="0"/>
                <w:color w:val="FFFFFF"/>
                <w:sz w:val="22"/>
                <w:szCs w:val="22"/>
                <w:lang w:eastAsia="en-AU"/>
              </w:rPr>
              <w:t>Planar, Battens &amp; Troffers (P/B/T)</w:t>
            </w:r>
          </w:p>
        </w:tc>
        <w:tc>
          <w:tcPr>
            <w:tcW w:w="1134" w:type="dxa"/>
            <w:vMerge/>
          </w:tcPr>
          <w:p w14:paraId="10F6B4B2"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tc>
        <w:tc>
          <w:tcPr>
            <w:tcW w:w="1843" w:type="dxa"/>
            <w:vMerge/>
          </w:tcPr>
          <w:p w14:paraId="637ED61F"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tc>
        <w:tc>
          <w:tcPr>
            <w:tcW w:w="1701" w:type="dxa"/>
            <w:vMerge/>
          </w:tcPr>
          <w:p w14:paraId="13E94BB7"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tc>
      </w:tr>
      <w:tr w:rsidR="003776C5" w:rsidRPr="003776C5" w14:paraId="6618B3E0" w14:textId="77777777" w:rsidTr="003776C5">
        <w:trPr>
          <w:trHeight w:val="270"/>
        </w:trPr>
        <w:tc>
          <w:tcPr>
            <w:tcW w:w="454" w:type="dxa"/>
            <w:shd w:val="clear" w:color="auto" w:fill="C6D9F1"/>
          </w:tcPr>
          <w:p w14:paraId="421A60F8"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p>
        </w:tc>
        <w:tc>
          <w:tcPr>
            <w:tcW w:w="15026" w:type="dxa"/>
            <w:gridSpan w:val="10"/>
            <w:shd w:val="clear" w:color="auto" w:fill="C6D9F1"/>
          </w:tcPr>
          <w:p w14:paraId="0906D4A7"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Energy Efficiency &amp; Photometric</w:t>
            </w:r>
          </w:p>
        </w:tc>
      </w:tr>
      <w:tr w:rsidR="003776C5" w:rsidRPr="003776C5" w14:paraId="2C82A6EB" w14:textId="77777777" w:rsidTr="006B00C9">
        <w:trPr>
          <w:trHeight w:val="1919"/>
        </w:trPr>
        <w:tc>
          <w:tcPr>
            <w:tcW w:w="454" w:type="dxa"/>
            <w:shd w:val="clear" w:color="auto" w:fill="7030A0"/>
          </w:tcPr>
          <w:p w14:paraId="5CB994D4"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1</w:t>
            </w:r>
          </w:p>
        </w:tc>
        <w:tc>
          <w:tcPr>
            <w:tcW w:w="1668" w:type="dxa"/>
            <w:shd w:val="clear" w:color="auto" w:fill="92D050"/>
            <w:hideMark/>
          </w:tcPr>
          <w:p w14:paraId="568F7DE7"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59DDEE8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Efficacy </w:t>
            </w:r>
            <w:r w:rsidRPr="003776C5">
              <w:rPr>
                <w:rFonts w:ascii="Calibri" w:eastAsia="Times New Roman" w:hAnsi="Calibri"/>
                <w:noProof w:val="0"/>
                <w:color w:val="000000"/>
                <w:sz w:val="22"/>
                <w:szCs w:val="22"/>
                <w:vertAlign w:val="superscript"/>
                <w:lang w:eastAsia="en-AU"/>
              </w:rPr>
              <w:footnoteReference w:id="39"/>
            </w:r>
          </w:p>
        </w:tc>
        <w:tc>
          <w:tcPr>
            <w:tcW w:w="2875" w:type="dxa"/>
            <w:gridSpan w:val="2"/>
            <w:noWrap/>
          </w:tcPr>
          <w:p w14:paraId="32152C5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71535B13"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Directional</w:t>
            </w:r>
            <w:r w:rsidRPr="003776C5">
              <w:rPr>
                <w:rFonts w:ascii="Calibri" w:eastAsia="Times New Roman" w:hAnsi="Calibri"/>
                <w:noProof w:val="0"/>
                <w:color w:val="000000"/>
                <w:sz w:val="22"/>
                <w:szCs w:val="22"/>
                <w:lang w:eastAsia="en-AU"/>
              </w:rPr>
              <w:br/>
              <w:t>≥ 85 lm/W (2020)</w:t>
            </w:r>
            <w:r w:rsidRPr="003776C5">
              <w:rPr>
                <w:rFonts w:ascii="Calibri" w:eastAsia="Times New Roman" w:hAnsi="Calibri"/>
                <w:noProof w:val="0"/>
                <w:color w:val="000000"/>
                <w:sz w:val="22"/>
                <w:szCs w:val="22"/>
                <w:lang w:eastAsia="en-AU"/>
              </w:rPr>
              <w:br/>
              <w:t>≥100 lm/W (2023)</w:t>
            </w:r>
          </w:p>
          <w:p w14:paraId="25D9D4B3"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30C1A6FA"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Non-Directional</w:t>
            </w:r>
          </w:p>
          <w:p w14:paraId="102F9765"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85 lm/W (2021)</w:t>
            </w:r>
          </w:p>
          <w:p w14:paraId="0CCFB79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≥100 lm/W (2023)</w:t>
            </w:r>
          </w:p>
          <w:p w14:paraId="17C3C52C"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4C6FF93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Reductions for</w:t>
            </w:r>
          </w:p>
          <w:p w14:paraId="7EB93AE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2314998A"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(a) 90 </w:t>
            </w:r>
            <w:r w:rsidRPr="003776C5">
              <w:rPr>
                <w:rFonts w:ascii="Calibri" w:eastAsia="Times New Roman" w:hAnsi="Calibri" w:cs="Calibri"/>
                <w:noProof w:val="0"/>
                <w:color w:val="000000"/>
                <w:sz w:val="22"/>
                <w:szCs w:val="22"/>
                <w:lang w:eastAsia="en-AU"/>
              </w:rPr>
              <w:t>≤</w:t>
            </w:r>
            <w:r w:rsidRPr="003776C5">
              <w:rPr>
                <w:rFonts w:ascii="Calibri" w:eastAsia="Times New Roman" w:hAnsi="Calibri"/>
                <w:noProof w:val="0"/>
                <w:color w:val="000000"/>
                <w:sz w:val="22"/>
                <w:szCs w:val="22"/>
                <w:lang w:eastAsia="en-AU"/>
              </w:rPr>
              <w:t xml:space="preserve"> CRI &lt; 100 (10%)</w:t>
            </w:r>
          </w:p>
          <w:p w14:paraId="685307D7"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(b) CCT ≤ 3000K (10%)</w:t>
            </w:r>
          </w:p>
          <w:p w14:paraId="5460B299"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(c) Beam angles </w:t>
            </w:r>
            <w:r w:rsidRPr="003776C5">
              <w:rPr>
                <w:rFonts w:ascii="Calibri" w:eastAsia="Times New Roman" w:hAnsi="Calibri" w:cs="Calibri"/>
                <w:noProof w:val="0"/>
                <w:color w:val="000000"/>
                <w:sz w:val="22"/>
                <w:szCs w:val="22"/>
                <w:lang w:eastAsia="en-AU"/>
              </w:rPr>
              <w:t>≤</w:t>
            </w:r>
            <w:r w:rsidRPr="003776C5">
              <w:rPr>
                <w:rFonts w:ascii="Calibri" w:eastAsia="Times New Roman" w:hAnsi="Calibri"/>
                <w:noProof w:val="0"/>
                <w:color w:val="000000"/>
                <w:sz w:val="22"/>
                <w:szCs w:val="22"/>
                <w:lang w:eastAsia="en-AU"/>
              </w:rPr>
              <w:t xml:space="preserve"> 30</w:t>
            </w:r>
            <w:r w:rsidRPr="003776C5">
              <w:rPr>
                <w:rFonts w:ascii="Calibri" w:eastAsia="Times New Roman" w:hAnsi="Calibri"/>
                <w:noProof w:val="0"/>
                <w:color w:val="000000"/>
                <w:sz w:val="22"/>
                <w:szCs w:val="22"/>
                <w:lang w:eastAsia="en-AU"/>
              </w:rPr>
              <w:sym w:font="Symbol" w:char="F0B0"/>
            </w:r>
            <w:r w:rsidRPr="003776C5">
              <w:rPr>
                <w:rFonts w:ascii="Calibri" w:eastAsia="Times New Roman" w:hAnsi="Calibri"/>
                <w:noProof w:val="0"/>
                <w:color w:val="000000"/>
                <w:sz w:val="22"/>
                <w:szCs w:val="22"/>
                <w:lang w:eastAsia="en-AU"/>
              </w:rPr>
              <w:t xml:space="preserve"> (10%)</w:t>
            </w:r>
          </w:p>
          <w:p w14:paraId="1CB07C37"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(d) Glare control (Antiglare) 20%</w:t>
            </w:r>
          </w:p>
          <w:p w14:paraId="3999FB49"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6349E6E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Note: Antiglare is where the luminous intensity 60 degrees and above in gamma angle is less than 5% of the peak intensity of the luminaire</w:t>
            </w:r>
          </w:p>
          <w:p w14:paraId="252CEFE9"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47FC810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The reductions will be cumulative.</w:t>
            </w:r>
          </w:p>
        </w:tc>
        <w:tc>
          <w:tcPr>
            <w:tcW w:w="2902" w:type="dxa"/>
            <w:gridSpan w:val="2"/>
          </w:tcPr>
          <w:p w14:paraId="3CEDE884"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0DFDF20A"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110 lm/W (2020)</w:t>
            </w:r>
          </w:p>
          <w:p w14:paraId="623B143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120 lm/W (2023)</w:t>
            </w:r>
          </w:p>
          <w:p w14:paraId="0F827C3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1BE4DADF"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Increase for </w:t>
            </w:r>
          </w:p>
          <w:p w14:paraId="35AD6505"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(a) 70 </w:t>
            </w:r>
            <w:r w:rsidRPr="003776C5">
              <w:rPr>
                <w:rFonts w:ascii="Calibri" w:eastAsia="Times New Roman" w:hAnsi="Calibri" w:cs="Calibri"/>
                <w:noProof w:val="0"/>
                <w:color w:val="000000"/>
                <w:sz w:val="22"/>
                <w:szCs w:val="22"/>
                <w:lang w:eastAsia="en-AU"/>
              </w:rPr>
              <w:t>≤</w:t>
            </w:r>
            <w:r w:rsidRPr="003776C5">
              <w:rPr>
                <w:rFonts w:ascii="Calibri" w:eastAsia="Times New Roman" w:hAnsi="Calibri"/>
                <w:noProof w:val="0"/>
                <w:color w:val="000000"/>
                <w:sz w:val="22"/>
                <w:szCs w:val="22"/>
                <w:lang w:eastAsia="en-AU"/>
              </w:rPr>
              <w:t xml:space="preserve"> CRI &lt; 80 (10%)</w:t>
            </w:r>
          </w:p>
        </w:tc>
        <w:tc>
          <w:tcPr>
            <w:tcW w:w="2903" w:type="dxa"/>
            <w:gridSpan w:val="2"/>
          </w:tcPr>
          <w:p w14:paraId="580939A5"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br/>
              <w:t>≥ 110 lm/W (2021)</w:t>
            </w:r>
            <w:r w:rsidRPr="003776C5">
              <w:rPr>
                <w:rFonts w:ascii="Calibri" w:eastAsia="Times New Roman" w:hAnsi="Calibri"/>
                <w:noProof w:val="0"/>
                <w:color w:val="000000"/>
                <w:sz w:val="22"/>
                <w:szCs w:val="22"/>
                <w:lang w:eastAsia="en-AU"/>
              </w:rPr>
              <w:br/>
              <w:t>≥ 120 lm/W (2023)</w:t>
            </w:r>
          </w:p>
        </w:tc>
        <w:tc>
          <w:tcPr>
            <w:tcW w:w="1134" w:type="dxa"/>
            <w:hideMark/>
          </w:tcPr>
          <w:p w14:paraId="74F55E0F"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04264D9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1</w:t>
            </w:r>
            <w:r w:rsidRPr="003776C5">
              <w:rPr>
                <w:rFonts w:ascii="Calibri" w:eastAsia="Times New Roman" w:hAnsi="Calibri"/>
                <w:noProof w:val="0"/>
                <w:color w:val="000000"/>
                <w:sz w:val="22"/>
                <w:szCs w:val="22"/>
                <w:vertAlign w:val="superscript"/>
                <w:lang w:eastAsia="en-AU"/>
              </w:rPr>
              <w:footnoteReference w:id="40"/>
            </w:r>
          </w:p>
        </w:tc>
        <w:tc>
          <w:tcPr>
            <w:tcW w:w="1843" w:type="dxa"/>
            <w:hideMark/>
          </w:tcPr>
          <w:p w14:paraId="4C7BD301"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p>
          <w:p w14:paraId="455AA0D5"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value specified</w:t>
            </w:r>
          </w:p>
          <w:p w14:paraId="40D8F28E"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p>
        </w:tc>
        <w:tc>
          <w:tcPr>
            <w:tcW w:w="1701" w:type="dxa"/>
          </w:tcPr>
          <w:p w14:paraId="5DDE0FFE"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p>
          <w:p w14:paraId="2B187E62"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highlight w:val="yellow"/>
                <w:lang w:eastAsia="en-AU"/>
              </w:rPr>
              <w:t>CIE S025</w:t>
            </w:r>
          </w:p>
          <w:p w14:paraId="65B539C9"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or</w:t>
            </w:r>
          </w:p>
          <w:p w14:paraId="7476B918"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LM79 accepted until July 2021</w:t>
            </w:r>
          </w:p>
          <w:p w14:paraId="09A7CF33"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or</w:t>
            </w:r>
          </w:p>
          <w:p w14:paraId="05C48636" w14:textId="77777777" w:rsidR="003776C5" w:rsidRPr="003776C5" w:rsidRDefault="003776C5" w:rsidP="003776C5">
            <w:pPr>
              <w:spacing w:after="0" w:line="240" w:lineRule="auto"/>
              <w:rPr>
                <w:rFonts w:ascii="Verdana" w:eastAsia="Calibri" w:hAnsi="Verdana"/>
                <w:noProof w:val="0"/>
                <w:color w:val="121214"/>
                <w:sz w:val="18"/>
                <w:szCs w:val="18"/>
                <w:shd w:val="clear" w:color="auto" w:fill="FCFCFC"/>
              </w:rPr>
            </w:pPr>
            <w:r w:rsidRPr="003776C5">
              <w:rPr>
                <w:rFonts w:ascii="Verdana" w:eastAsia="Calibri" w:hAnsi="Verdana"/>
                <w:noProof w:val="0"/>
                <w:color w:val="121214"/>
                <w:sz w:val="18"/>
                <w:szCs w:val="18"/>
                <w:shd w:val="clear" w:color="auto" w:fill="FCFCFC"/>
              </w:rPr>
              <w:t>EN 13032-4:2015</w:t>
            </w:r>
          </w:p>
          <w:p w14:paraId="5F5D7F4F"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p>
          <w:p w14:paraId="20E9F4A9"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Where a small luminaire model is provided with interchangeable/adjustable reflectors or lenses, the test will use the configuration that delivers the narrowest beam angle.</w:t>
            </w:r>
          </w:p>
          <w:p w14:paraId="4A5BADA4"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Tool-less removable shrouds will not be included in test</w:t>
            </w:r>
          </w:p>
          <w:p w14:paraId="3A2159E6"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Power to be tested as supplied for sale (additional functionality may be supplied not activated).</w:t>
            </w:r>
          </w:p>
        </w:tc>
      </w:tr>
      <w:tr w:rsidR="003776C5" w:rsidRPr="003776C5" w14:paraId="6CCDFE99" w14:textId="77777777" w:rsidTr="006B00C9">
        <w:trPr>
          <w:trHeight w:val="2076"/>
        </w:trPr>
        <w:tc>
          <w:tcPr>
            <w:tcW w:w="454" w:type="dxa"/>
            <w:shd w:val="clear" w:color="auto" w:fill="7030A0"/>
          </w:tcPr>
          <w:p w14:paraId="2B4A6176"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4</w:t>
            </w:r>
          </w:p>
        </w:tc>
        <w:tc>
          <w:tcPr>
            <w:tcW w:w="1668" w:type="dxa"/>
            <w:shd w:val="clear" w:color="auto" w:fill="92D050"/>
          </w:tcPr>
          <w:p w14:paraId="5F89A868"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3F0E94FE"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Light distribution </w:t>
            </w:r>
          </w:p>
        </w:tc>
        <w:tc>
          <w:tcPr>
            <w:tcW w:w="2875" w:type="dxa"/>
            <w:gridSpan w:val="2"/>
            <w:noWrap/>
          </w:tcPr>
          <w:p w14:paraId="2D76ADB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3CF400D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ONLY for Directional luminaires:</w:t>
            </w:r>
          </w:p>
          <w:p w14:paraId="77D1993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Beam angle is:</w:t>
            </w:r>
          </w:p>
          <w:p w14:paraId="3EEEB927"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 25% of declared beam angle </w:t>
            </w:r>
          </w:p>
          <w:p w14:paraId="6741EA9A"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66D2033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and</w:t>
            </w:r>
          </w:p>
          <w:p w14:paraId="21D14233"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73E5585F"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50% of flux shall be in declared beam angle</w:t>
            </w:r>
          </w:p>
          <w:p w14:paraId="407C170B" w14:textId="77777777" w:rsidR="003776C5" w:rsidRPr="003776C5" w:rsidRDefault="003776C5" w:rsidP="003776C5">
            <w:pPr>
              <w:spacing w:after="0" w:line="240" w:lineRule="auto"/>
              <w:rPr>
                <w:rFonts w:ascii="Calibri" w:eastAsia="Calibri" w:hAnsi="Calibri"/>
                <w:noProof w:val="0"/>
                <w:sz w:val="22"/>
                <w:szCs w:val="22"/>
              </w:rPr>
            </w:pPr>
          </w:p>
        </w:tc>
        <w:tc>
          <w:tcPr>
            <w:tcW w:w="5805" w:type="dxa"/>
            <w:gridSpan w:val="4"/>
          </w:tcPr>
          <w:p w14:paraId="738CD570" w14:textId="77777777" w:rsidR="003776C5" w:rsidRPr="003776C5" w:rsidRDefault="003776C5" w:rsidP="003776C5">
            <w:pPr>
              <w:spacing w:after="0" w:line="240" w:lineRule="auto"/>
              <w:jc w:val="center"/>
              <w:rPr>
                <w:rFonts w:ascii="Calibri" w:eastAsia="Times New Roman" w:hAnsi="Calibri"/>
                <w:noProof w:val="0"/>
                <w:color w:val="000000"/>
                <w:sz w:val="22"/>
                <w:szCs w:val="22"/>
                <w:lang w:eastAsia="en-AU"/>
              </w:rPr>
            </w:pPr>
          </w:p>
          <w:p w14:paraId="7CE51EB9" w14:textId="77777777" w:rsidR="003776C5" w:rsidRPr="003776C5" w:rsidRDefault="003776C5" w:rsidP="003776C5">
            <w:pPr>
              <w:spacing w:after="0" w:line="240" w:lineRule="auto"/>
              <w:jc w:val="center"/>
              <w:rPr>
                <w:rFonts w:ascii="Calibri" w:eastAsia="Calibri" w:hAnsi="Calibri"/>
                <w:noProof w:val="0"/>
                <w:sz w:val="24"/>
              </w:rPr>
            </w:pPr>
            <w:r w:rsidRPr="003776C5">
              <w:rPr>
                <w:rFonts w:ascii="Calibri" w:eastAsia="Calibri" w:hAnsi="Calibri"/>
                <w:noProof w:val="0"/>
                <w:sz w:val="24"/>
              </w:rPr>
              <w:t>None provided</w:t>
            </w:r>
          </w:p>
        </w:tc>
        <w:tc>
          <w:tcPr>
            <w:tcW w:w="1134" w:type="dxa"/>
          </w:tcPr>
          <w:p w14:paraId="7CD894EA"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1BD5E30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1 </w:t>
            </w:r>
          </w:p>
        </w:tc>
        <w:tc>
          <w:tcPr>
            <w:tcW w:w="1843" w:type="dxa"/>
          </w:tcPr>
          <w:p w14:paraId="7772329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730ACE06"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All samples meet the specified requirements</w:t>
            </w:r>
          </w:p>
        </w:tc>
        <w:tc>
          <w:tcPr>
            <w:tcW w:w="1701" w:type="dxa"/>
          </w:tcPr>
          <w:p w14:paraId="008EA502"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7B5CF5B2"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highlight w:val="yellow"/>
                <w:lang w:eastAsia="en-AU"/>
              </w:rPr>
              <w:t>CIE S025</w:t>
            </w:r>
          </w:p>
          <w:p w14:paraId="384AA1CE"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222E2FAF"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or</w:t>
            </w:r>
          </w:p>
          <w:p w14:paraId="60E809D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40CF5374"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LM79 accepted until July 2021</w:t>
            </w:r>
          </w:p>
          <w:p w14:paraId="6CC15FC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51836E6A"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or</w:t>
            </w:r>
          </w:p>
          <w:p w14:paraId="3A2FC9BA"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565AA9A7" w14:textId="77777777" w:rsidR="003776C5" w:rsidRPr="003776C5" w:rsidRDefault="003776C5" w:rsidP="003776C5">
            <w:pPr>
              <w:spacing w:after="0" w:line="240" w:lineRule="auto"/>
              <w:rPr>
                <w:rFonts w:ascii="Verdana" w:eastAsia="Calibri" w:hAnsi="Verdana"/>
                <w:noProof w:val="0"/>
                <w:color w:val="121214"/>
                <w:sz w:val="18"/>
                <w:szCs w:val="18"/>
                <w:shd w:val="clear" w:color="auto" w:fill="FCFCFC"/>
              </w:rPr>
            </w:pPr>
            <w:r w:rsidRPr="003776C5">
              <w:rPr>
                <w:rFonts w:ascii="Verdana" w:eastAsia="Calibri" w:hAnsi="Verdana"/>
                <w:noProof w:val="0"/>
                <w:color w:val="121214"/>
                <w:sz w:val="18"/>
                <w:szCs w:val="18"/>
                <w:shd w:val="clear" w:color="auto" w:fill="FCFCFC"/>
              </w:rPr>
              <w:t>EN 13032-4:2015</w:t>
            </w:r>
          </w:p>
          <w:p w14:paraId="6F2B57A3"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tc>
      </w:tr>
      <w:tr w:rsidR="003776C5" w:rsidRPr="003776C5" w14:paraId="30EDD300" w14:textId="77777777" w:rsidTr="003776C5">
        <w:trPr>
          <w:trHeight w:val="270"/>
        </w:trPr>
        <w:tc>
          <w:tcPr>
            <w:tcW w:w="454" w:type="dxa"/>
            <w:shd w:val="clear" w:color="auto" w:fill="C6D9F1"/>
          </w:tcPr>
          <w:p w14:paraId="35AD337C"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p>
        </w:tc>
        <w:tc>
          <w:tcPr>
            <w:tcW w:w="15026" w:type="dxa"/>
            <w:gridSpan w:val="10"/>
            <w:shd w:val="clear" w:color="auto" w:fill="C6D9F1"/>
          </w:tcPr>
          <w:p w14:paraId="509CF848"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Colour</w:t>
            </w:r>
          </w:p>
        </w:tc>
      </w:tr>
      <w:tr w:rsidR="003776C5" w:rsidRPr="003776C5" w14:paraId="571F8F01" w14:textId="77777777" w:rsidTr="006B00C9">
        <w:trPr>
          <w:trHeight w:val="728"/>
        </w:trPr>
        <w:tc>
          <w:tcPr>
            <w:tcW w:w="454" w:type="dxa"/>
            <w:shd w:val="clear" w:color="auto" w:fill="7030A0"/>
          </w:tcPr>
          <w:p w14:paraId="2EC46F9B"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7</w:t>
            </w:r>
          </w:p>
        </w:tc>
        <w:tc>
          <w:tcPr>
            <w:tcW w:w="1668" w:type="dxa"/>
            <w:shd w:val="clear" w:color="auto" w:fill="92D050"/>
            <w:hideMark/>
          </w:tcPr>
          <w:p w14:paraId="40FA6786"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61624DD4"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Colour Rendering</w:t>
            </w:r>
          </w:p>
        </w:tc>
        <w:tc>
          <w:tcPr>
            <w:tcW w:w="2893" w:type="dxa"/>
            <w:gridSpan w:val="3"/>
            <w:noWrap/>
            <w:hideMark/>
          </w:tcPr>
          <w:p w14:paraId="1350A92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1876805C"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Ra ≥80</w:t>
            </w:r>
          </w:p>
        </w:tc>
        <w:tc>
          <w:tcPr>
            <w:tcW w:w="2893" w:type="dxa"/>
            <w:gridSpan w:val="2"/>
          </w:tcPr>
          <w:p w14:paraId="15270392" w14:textId="77777777" w:rsidR="003776C5" w:rsidRPr="003776C5" w:rsidRDefault="003776C5" w:rsidP="003776C5">
            <w:pPr>
              <w:spacing w:after="0" w:line="240" w:lineRule="auto"/>
              <w:jc w:val="center"/>
              <w:rPr>
                <w:rFonts w:ascii="Calibri" w:eastAsia="Times New Roman" w:hAnsi="Calibri"/>
                <w:noProof w:val="0"/>
                <w:color w:val="000000"/>
                <w:sz w:val="22"/>
                <w:szCs w:val="22"/>
                <w:lang w:eastAsia="en-AU"/>
              </w:rPr>
            </w:pPr>
          </w:p>
          <w:p w14:paraId="14C0A9B8" w14:textId="77777777" w:rsidR="003776C5" w:rsidRPr="003776C5" w:rsidRDefault="003776C5" w:rsidP="003776C5">
            <w:pPr>
              <w:spacing w:after="0" w:line="240" w:lineRule="auto"/>
              <w:jc w:val="center"/>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Ra ≥70</w:t>
            </w:r>
          </w:p>
        </w:tc>
        <w:tc>
          <w:tcPr>
            <w:tcW w:w="2894" w:type="dxa"/>
          </w:tcPr>
          <w:p w14:paraId="3E3BBBBB" w14:textId="77777777" w:rsidR="003776C5" w:rsidRPr="003776C5" w:rsidRDefault="003776C5" w:rsidP="003776C5">
            <w:pPr>
              <w:spacing w:after="0" w:line="240" w:lineRule="auto"/>
              <w:jc w:val="center"/>
              <w:rPr>
                <w:rFonts w:ascii="Calibri" w:eastAsia="Times New Roman" w:hAnsi="Calibri"/>
                <w:noProof w:val="0"/>
                <w:color w:val="000000"/>
                <w:sz w:val="22"/>
                <w:szCs w:val="22"/>
                <w:lang w:eastAsia="en-AU"/>
              </w:rPr>
            </w:pPr>
          </w:p>
          <w:p w14:paraId="149DBE24" w14:textId="77777777" w:rsidR="003776C5" w:rsidRPr="003776C5" w:rsidRDefault="003776C5" w:rsidP="003776C5">
            <w:pPr>
              <w:spacing w:after="0" w:line="240" w:lineRule="auto"/>
              <w:jc w:val="center"/>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Ra ≥80</w:t>
            </w:r>
          </w:p>
        </w:tc>
        <w:tc>
          <w:tcPr>
            <w:tcW w:w="1134" w:type="dxa"/>
            <w:hideMark/>
          </w:tcPr>
          <w:p w14:paraId="0294305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0A0E409C"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1</w:t>
            </w:r>
          </w:p>
        </w:tc>
        <w:tc>
          <w:tcPr>
            <w:tcW w:w="1843" w:type="dxa"/>
            <w:hideMark/>
          </w:tcPr>
          <w:p w14:paraId="5FD16874"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7FA11B6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value specified</w:t>
            </w:r>
          </w:p>
          <w:p w14:paraId="62A5E15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tc>
        <w:tc>
          <w:tcPr>
            <w:tcW w:w="1701" w:type="dxa"/>
          </w:tcPr>
          <w:p w14:paraId="10C3929E"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39DC651B" w14:textId="77777777" w:rsidR="003776C5" w:rsidRPr="003776C5" w:rsidRDefault="003776C5" w:rsidP="003776C5">
            <w:pPr>
              <w:spacing w:after="0" w:line="240" w:lineRule="auto"/>
              <w:rPr>
                <w:rFonts w:ascii="Calibri" w:eastAsia="Calibri" w:hAnsi="Calibri"/>
                <w:noProof w:val="0"/>
                <w:color w:val="000000"/>
                <w:sz w:val="22"/>
                <w:szCs w:val="22"/>
              </w:rPr>
            </w:pPr>
            <w:r w:rsidRPr="003776C5">
              <w:rPr>
                <w:rFonts w:ascii="Calibri" w:eastAsia="Times New Roman" w:hAnsi="Calibri"/>
                <w:noProof w:val="0"/>
                <w:color w:val="000000"/>
                <w:sz w:val="22"/>
                <w:szCs w:val="22"/>
                <w:highlight w:val="yellow"/>
                <w:lang w:eastAsia="en-AU"/>
              </w:rPr>
              <w:t>CIE S025</w:t>
            </w:r>
            <w:r w:rsidRPr="003776C5">
              <w:rPr>
                <w:rFonts w:ascii="Calibri" w:eastAsia="Times New Roman" w:hAnsi="Calibri"/>
                <w:noProof w:val="0"/>
                <w:color w:val="000000"/>
                <w:sz w:val="22"/>
                <w:szCs w:val="22"/>
                <w:lang w:eastAsia="en-AU"/>
              </w:rPr>
              <w:t xml:space="preserve"> (refers to CIE 13.3)</w:t>
            </w:r>
          </w:p>
        </w:tc>
      </w:tr>
      <w:tr w:rsidR="003776C5" w:rsidRPr="003776C5" w14:paraId="11765A47" w14:textId="77777777" w:rsidTr="006B00C9">
        <w:trPr>
          <w:trHeight w:val="568"/>
        </w:trPr>
        <w:tc>
          <w:tcPr>
            <w:tcW w:w="454" w:type="dxa"/>
            <w:shd w:val="clear" w:color="auto" w:fill="7030A0"/>
          </w:tcPr>
          <w:p w14:paraId="70BDFD2A"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8</w:t>
            </w:r>
          </w:p>
        </w:tc>
        <w:tc>
          <w:tcPr>
            <w:tcW w:w="1668" w:type="dxa"/>
            <w:shd w:val="clear" w:color="auto" w:fill="92D050"/>
            <w:hideMark/>
          </w:tcPr>
          <w:p w14:paraId="43A6325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59E6E83C"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Colour Appearance</w:t>
            </w:r>
          </w:p>
        </w:tc>
        <w:tc>
          <w:tcPr>
            <w:tcW w:w="8680" w:type="dxa"/>
            <w:gridSpan w:val="6"/>
            <w:noWrap/>
          </w:tcPr>
          <w:p w14:paraId="0A682675"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5898161E"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Lamp must have one of the following nominal CCTs consistent with the 7-step chromaticity quadrangles and Duv tolerances below.</w:t>
            </w:r>
            <w:r w:rsidRPr="003776C5">
              <w:rPr>
                <w:rFonts w:ascii="Calibri" w:eastAsia="Times New Roman" w:hAnsi="Calibri"/>
                <w:noProof w:val="0"/>
                <w:color w:val="000000"/>
                <w:sz w:val="22"/>
                <w:szCs w:val="22"/>
                <w:vertAlign w:val="superscript"/>
                <w:lang w:eastAsia="en-AU"/>
              </w:rPr>
              <w:footnoteReference w:id="41"/>
            </w:r>
          </w:p>
          <w:p w14:paraId="5D955EE7"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4666B43C" w14:textId="77777777" w:rsidR="003776C5" w:rsidRPr="003776C5" w:rsidRDefault="003776C5" w:rsidP="003776C5">
            <w:pPr>
              <w:spacing w:after="0" w:line="240" w:lineRule="auto"/>
              <w:jc w:val="center"/>
              <w:rPr>
                <w:rFonts w:ascii="Calibri" w:eastAsia="Times New Roman" w:hAnsi="Calibri"/>
                <w:noProof w:val="0"/>
                <w:color w:val="000000"/>
                <w:sz w:val="22"/>
                <w:szCs w:val="22"/>
                <w:lang w:eastAsia="en-AU"/>
              </w:rPr>
            </w:pPr>
            <w:r w:rsidRPr="003776C5">
              <w:rPr>
                <w:rFonts w:ascii="Calibri" w:eastAsia="Calibri" w:hAnsi="Calibri"/>
                <w:sz w:val="22"/>
                <w:szCs w:val="22"/>
                <w:lang w:eastAsia="en-AU"/>
              </w:rPr>
              <w:drawing>
                <wp:inline distT="0" distB="0" distL="0" distR="0" wp14:anchorId="3D2E1DD6" wp14:editId="2D3B6273">
                  <wp:extent cx="4051740" cy="2447925"/>
                  <wp:effectExtent l="0" t="0" r="6350" b="0"/>
                  <wp:docPr id="35" name="Picture 8" descr="The 7-step chromaticity quadrangles range from 2200 to 6500 Kelvin" title="Table of nominal C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58"/>
                          <a:srcRect r="343"/>
                          <a:stretch/>
                        </pic:blipFill>
                        <pic:spPr bwMode="auto">
                          <a:xfrm>
                            <a:off x="0" y="0"/>
                            <a:ext cx="4061252" cy="2453672"/>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hideMark/>
          </w:tcPr>
          <w:p w14:paraId="6D1D4659"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1720BB65"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1</w:t>
            </w:r>
          </w:p>
          <w:p w14:paraId="5DC1DD4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71536AA6"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tc>
        <w:tc>
          <w:tcPr>
            <w:tcW w:w="1843" w:type="dxa"/>
            <w:hideMark/>
          </w:tcPr>
          <w:p w14:paraId="282F4B6E" w14:textId="77777777" w:rsidR="003776C5" w:rsidRPr="003776C5" w:rsidRDefault="003776C5" w:rsidP="003776C5">
            <w:pPr>
              <w:spacing w:after="0" w:line="240" w:lineRule="auto"/>
              <w:rPr>
                <w:rFonts w:ascii="Calibri" w:eastAsia="Calibri" w:hAnsi="Calibri"/>
                <w:noProof w:val="0"/>
                <w:color w:val="000000"/>
                <w:sz w:val="22"/>
                <w:szCs w:val="22"/>
              </w:rPr>
            </w:pPr>
          </w:p>
          <w:p w14:paraId="396D8ECE" w14:textId="77777777" w:rsidR="003776C5" w:rsidRPr="003776C5" w:rsidRDefault="003776C5" w:rsidP="003776C5">
            <w:pPr>
              <w:spacing w:after="0" w:line="240" w:lineRule="auto"/>
              <w:rPr>
                <w:rFonts w:ascii="Calibri" w:eastAsia="Calibri" w:hAnsi="Calibri"/>
                <w:noProof w:val="0"/>
                <w:color w:val="000000"/>
                <w:sz w:val="22"/>
                <w:szCs w:val="22"/>
              </w:rPr>
            </w:pPr>
            <w:r w:rsidRPr="003776C5">
              <w:rPr>
                <w:rFonts w:ascii="Calibri" w:eastAsia="Calibri" w:hAnsi="Calibri"/>
                <w:noProof w:val="0"/>
                <w:color w:val="000000"/>
                <w:sz w:val="22"/>
                <w:szCs w:val="22"/>
              </w:rPr>
              <w:t>Chromaticity co-ordinates fall into the rated nominal CCT quadrangle</w:t>
            </w:r>
          </w:p>
          <w:p w14:paraId="3B0C587E" w14:textId="77777777" w:rsidR="003776C5" w:rsidRPr="003776C5" w:rsidRDefault="003776C5" w:rsidP="003776C5">
            <w:pPr>
              <w:spacing w:after="0" w:line="240" w:lineRule="auto"/>
              <w:rPr>
                <w:rFonts w:ascii="Calibri" w:eastAsia="Calibri" w:hAnsi="Calibri"/>
                <w:noProof w:val="0"/>
                <w:color w:val="000000"/>
                <w:sz w:val="22"/>
                <w:szCs w:val="22"/>
              </w:rPr>
            </w:pPr>
          </w:p>
          <w:p w14:paraId="63ABA393"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p>
        </w:tc>
        <w:tc>
          <w:tcPr>
            <w:tcW w:w="1701" w:type="dxa"/>
          </w:tcPr>
          <w:p w14:paraId="4AAF3B62"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3F85F78B" w14:textId="77777777" w:rsidR="003776C5" w:rsidRPr="003776C5" w:rsidRDefault="003776C5" w:rsidP="003776C5">
            <w:pPr>
              <w:spacing w:after="0" w:line="240" w:lineRule="auto"/>
              <w:rPr>
                <w:rFonts w:ascii="Calibri" w:eastAsia="Calibri" w:hAnsi="Calibri"/>
                <w:noProof w:val="0"/>
                <w:color w:val="000000"/>
                <w:sz w:val="22"/>
                <w:szCs w:val="22"/>
              </w:rPr>
            </w:pPr>
            <w:r w:rsidRPr="003776C5">
              <w:rPr>
                <w:rFonts w:ascii="Calibri" w:eastAsia="Times New Roman" w:hAnsi="Calibri"/>
                <w:noProof w:val="0"/>
                <w:color w:val="000000"/>
                <w:sz w:val="22"/>
                <w:szCs w:val="22"/>
                <w:highlight w:val="yellow"/>
                <w:lang w:eastAsia="en-AU"/>
              </w:rPr>
              <w:t>CIE S025</w:t>
            </w:r>
            <w:r w:rsidRPr="003776C5">
              <w:rPr>
                <w:rFonts w:ascii="Calibri" w:eastAsia="Times New Roman" w:hAnsi="Calibri"/>
                <w:noProof w:val="0"/>
                <w:color w:val="000000"/>
                <w:sz w:val="22"/>
                <w:szCs w:val="22"/>
                <w:lang w:eastAsia="en-AU"/>
              </w:rPr>
              <w:t xml:space="preserve"> (refers to CIE S015)</w:t>
            </w:r>
          </w:p>
        </w:tc>
      </w:tr>
      <w:tr w:rsidR="003776C5" w:rsidRPr="003776C5" w14:paraId="72BF8185" w14:textId="77777777" w:rsidTr="003776C5">
        <w:trPr>
          <w:trHeight w:val="270"/>
        </w:trPr>
        <w:tc>
          <w:tcPr>
            <w:tcW w:w="454" w:type="dxa"/>
            <w:shd w:val="clear" w:color="auto" w:fill="C6D9F1"/>
          </w:tcPr>
          <w:p w14:paraId="047213EA"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p>
        </w:tc>
        <w:tc>
          <w:tcPr>
            <w:tcW w:w="15026" w:type="dxa"/>
            <w:gridSpan w:val="10"/>
            <w:shd w:val="clear" w:color="auto" w:fill="C6D9F1"/>
          </w:tcPr>
          <w:p w14:paraId="27729B6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Life</w:t>
            </w:r>
          </w:p>
        </w:tc>
      </w:tr>
      <w:tr w:rsidR="003776C5" w:rsidRPr="003776C5" w14:paraId="550E4893" w14:textId="77777777" w:rsidTr="006B00C9">
        <w:trPr>
          <w:trHeight w:val="709"/>
        </w:trPr>
        <w:tc>
          <w:tcPr>
            <w:tcW w:w="454" w:type="dxa"/>
            <w:shd w:val="clear" w:color="auto" w:fill="7030A0"/>
          </w:tcPr>
          <w:p w14:paraId="37D8CEBE"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10</w:t>
            </w:r>
          </w:p>
        </w:tc>
        <w:tc>
          <w:tcPr>
            <w:tcW w:w="1668" w:type="dxa"/>
            <w:hideMark/>
          </w:tcPr>
          <w:p w14:paraId="13801995"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34621257"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Endurance</w:t>
            </w:r>
          </w:p>
        </w:tc>
        <w:tc>
          <w:tcPr>
            <w:tcW w:w="8680" w:type="dxa"/>
            <w:gridSpan w:val="6"/>
            <w:noWrap/>
            <w:hideMark/>
          </w:tcPr>
          <w:p w14:paraId="316669B3" w14:textId="77777777" w:rsidR="003776C5" w:rsidRPr="003776C5" w:rsidRDefault="003776C5" w:rsidP="003776C5">
            <w:pPr>
              <w:spacing w:after="0" w:line="240" w:lineRule="auto"/>
              <w:rPr>
                <w:rFonts w:ascii="Calibri" w:eastAsia="Calibri" w:hAnsi="Calibri"/>
                <w:noProof w:val="0"/>
                <w:color w:val="000000"/>
                <w:sz w:val="22"/>
                <w:szCs w:val="22"/>
              </w:rPr>
            </w:pPr>
          </w:p>
          <w:p w14:paraId="40F1C68D" w14:textId="77777777" w:rsidR="003776C5" w:rsidRPr="003776C5" w:rsidRDefault="003776C5" w:rsidP="003776C5">
            <w:pPr>
              <w:spacing w:after="0" w:line="240" w:lineRule="auto"/>
              <w:jc w:val="center"/>
              <w:rPr>
                <w:rFonts w:ascii="Calibri" w:eastAsia="Calibri" w:hAnsi="Calibri"/>
                <w:noProof w:val="0"/>
                <w:color w:val="000000"/>
                <w:sz w:val="22"/>
                <w:szCs w:val="22"/>
              </w:rPr>
            </w:pPr>
            <w:r w:rsidRPr="003776C5">
              <w:rPr>
                <w:rFonts w:ascii="Calibri" w:eastAsia="Calibri" w:hAnsi="Calibri"/>
                <w:noProof w:val="0"/>
                <w:color w:val="000000"/>
                <w:sz w:val="22"/>
                <w:szCs w:val="22"/>
              </w:rPr>
              <w:t>Must survive one switching cycle for every 1 hours of rated life</w:t>
            </w:r>
            <w:r w:rsidRPr="003776C5">
              <w:rPr>
                <w:rFonts w:ascii="Calibri" w:eastAsia="Calibri" w:hAnsi="Calibri"/>
                <w:noProof w:val="0"/>
                <w:color w:val="000000"/>
                <w:sz w:val="22"/>
                <w:szCs w:val="22"/>
                <w:vertAlign w:val="superscript"/>
              </w:rPr>
              <w:footnoteReference w:id="42"/>
            </w:r>
          </w:p>
          <w:p w14:paraId="165AF6DA" w14:textId="77777777" w:rsidR="003776C5" w:rsidRPr="003776C5" w:rsidRDefault="003776C5" w:rsidP="003776C5">
            <w:pPr>
              <w:spacing w:after="0" w:line="240" w:lineRule="auto"/>
              <w:jc w:val="center"/>
              <w:rPr>
                <w:rFonts w:ascii="Calibri" w:eastAsia="Calibri" w:hAnsi="Calibri"/>
                <w:noProof w:val="0"/>
                <w:color w:val="000000"/>
                <w:sz w:val="22"/>
                <w:szCs w:val="22"/>
              </w:rPr>
            </w:pPr>
            <w:r w:rsidRPr="003776C5">
              <w:rPr>
                <w:rFonts w:ascii="Calibri" w:eastAsia="Calibri" w:hAnsi="Calibri"/>
                <w:noProof w:val="0"/>
                <w:color w:val="000000"/>
                <w:sz w:val="22"/>
                <w:szCs w:val="22"/>
              </w:rPr>
              <w:t>Must survive temperature cycling test for 1,000 hours</w:t>
            </w:r>
          </w:p>
          <w:p w14:paraId="3ABCC4B0" w14:textId="77777777" w:rsidR="003776C5" w:rsidRPr="003776C5" w:rsidRDefault="003776C5" w:rsidP="003776C5">
            <w:pPr>
              <w:spacing w:after="0" w:line="240" w:lineRule="auto"/>
              <w:jc w:val="center"/>
              <w:rPr>
                <w:rFonts w:ascii="Calibri" w:eastAsia="Calibri" w:hAnsi="Calibri"/>
                <w:noProof w:val="0"/>
                <w:color w:val="000000"/>
                <w:sz w:val="22"/>
                <w:szCs w:val="22"/>
              </w:rPr>
            </w:pPr>
            <w:r w:rsidRPr="003776C5">
              <w:rPr>
                <w:rFonts w:ascii="Calibri" w:eastAsia="Calibri" w:hAnsi="Calibri"/>
                <w:noProof w:val="0"/>
                <w:color w:val="000000"/>
                <w:sz w:val="22"/>
                <w:szCs w:val="22"/>
              </w:rPr>
              <w:t>Must survive accelerated operational life test for 1,000 hours</w:t>
            </w:r>
            <w:r w:rsidRPr="003776C5">
              <w:rPr>
                <w:rFonts w:ascii="Calibri" w:eastAsia="Calibri" w:hAnsi="Calibri"/>
                <w:noProof w:val="0"/>
                <w:color w:val="000000"/>
                <w:sz w:val="22"/>
                <w:szCs w:val="22"/>
              </w:rPr>
              <w:br/>
            </w:r>
            <w:r w:rsidRPr="003776C5">
              <w:rPr>
                <w:rFonts w:ascii="Calibri" w:eastAsia="Calibri" w:hAnsi="Calibri"/>
                <w:noProof w:val="0"/>
                <w:color w:val="000000"/>
                <w:sz w:val="22"/>
                <w:szCs w:val="22"/>
              </w:rPr>
              <w:br/>
            </w:r>
          </w:p>
        </w:tc>
        <w:tc>
          <w:tcPr>
            <w:tcW w:w="1134" w:type="dxa"/>
            <w:hideMark/>
          </w:tcPr>
          <w:p w14:paraId="76D2765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0311EE3A"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3 (Small)</w:t>
            </w:r>
          </w:p>
          <w:p w14:paraId="61ECD0A7"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550D8F9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1 (Large &amp; P/B/T)</w:t>
            </w:r>
          </w:p>
        </w:tc>
        <w:tc>
          <w:tcPr>
            <w:tcW w:w="1843" w:type="dxa"/>
          </w:tcPr>
          <w:p w14:paraId="044AFE3C"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4C07FDDE"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Satisfy conditions of the test method.</w:t>
            </w:r>
          </w:p>
          <w:p w14:paraId="69A2FEB8"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tc>
        <w:tc>
          <w:tcPr>
            <w:tcW w:w="1701" w:type="dxa"/>
          </w:tcPr>
          <w:p w14:paraId="2D12C737"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447151D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highlight w:val="yellow"/>
                <w:lang w:eastAsia="en-AU"/>
              </w:rPr>
              <w:t>IEC 62722.2.1: 2011 Section 10.3.2-4</w:t>
            </w:r>
          </w:p>
          <w:p w14:paraId="4A5C6151" w14:textId="77777777" w:rsidR="003776C5" w:rsidRPr="003776C5" w:rsidRDefault="003776C5" w:rsidP="003776C5">
            <w:pPr>
              <w:spacing w:after="0" w:line="240" w:lineRule="auto"/>
              <w:rPr>
                <w:rFonts w:ascii="Calibri" w:eastAsia="Times New Roman" w:hAnsi="Calibri"/>
                <w:noProof w:val="0"/>
                <w:color w:val="000000"/>
                <w:sz w:val="22"/>
                <w:szCs w:val="22"/>
                <w:highlight w:val="lightGray"/>
                <w:lang w:eastAsia="en-AU"/>
              </w:rPr>
            </w:pPr>
            <w:r w:rsidRPr="003776C5">
              <w:rPr>
                <w:rFonts w:ascii="Calibri" w:eastAsia="Times New Roman" w:hAnsi="Calibri"/>
                <w:noProof w:val="0"/>
                <w:color w:val="000000"/>
                <w:sz w:val="22"/>
                <w:szCs w:val="22"/>
                <w:lang w:eastAsia="en-AU"/>
              </w:rPr>
              <w:t>Test data from module and driver accepted (IEC 62717</w:t>
            </w:r>
            <w:r w:rsidRPr="003776C5">
              <w:rPr>
                <w:rFonts w:ascii="Calibri" w:eastAsia="Calibri" w:hAnsi="Calibri"/>
                <w:noProof w:val="0"/>
                <w:sz w:val="22"/>
                <w:szCs w:val="22"/>
              </w:rPr>
              <w:t xml:space="preserve"> </w:t>
            </w:r>
            <w:r w:rsidRPr="003776C5">
              <w:rPr>
                <w:rFonts w:ascii="Calibri" w:eastAsia="Times New Roman" w:hAnsi="Calibri"/>
                <w:noProof w:val="0"/>
                <w:color w:val="000000"/>
                <w:sz w:val="22"/>
                <w:szCs w:val="22"/>
                <w:lang w:eastAsia="en-AU"/>
              </w:rPr>
              <w:t>Section 10.3)</w:t>
            </w:r>
          </w:p>
        </w:tc>
      </w:tr>
      <w:tr w:rsidR="003776C5" w:rsidRPr="003776C5" w14:paraId="6F4C39CF" w14:textId="77777777" w:rsidTr="006B00C9">
        <w:trPr>
          <w:trHeight w:val="1691"/>
        </w:trPr>
        <w:tc>
          <w:tcPr>
            <w:tcW w:w="454" w:type="dxa"/>
            <w:shd w:val="clear" w:color="auto" w:fill="7030A0"/>
          </w:tcPr>
          <w:p w14:paraId="20031BAD"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11</w:t>
            </w:r>
          </w:p>
        </w:tc>
        <w:tc>
          <w:tcPr>
            <w:tcW w:w="1668" w:type="dxa"/>
            <w:hideMark/>
          </w:tcPr>
          <w:p w14:paraId="32498162"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48F555A8"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Lumen maintenance</w:t>
            </w:r>
          </w:p>
        </w:tc>
        <w:tc>
          <w:tcPr>
            <w:tcW w:w="2875" w:type="dxa"/>
            <w:gridSpan w:val="2"/>
            <w:noWrap/>
            <w:hideMark/>
          </w:tcPr>
          <w:p w14:paraId="06E3EBB2"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70D5C116"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Lumen maintenance @ </w:t>
            </w:r>
            <w:r w:rsidRPr="003776C5">
              <w:rPr>
                <w:rFonts w:ascii="Calibri" w:eastAsia="Calibri" w:hAnsi="Calibri"/>
                <w:noProof w:val="0"/>
                <w:color w:val="000000"/>
                <w:sz w:val="22"/>
                <w:szCs w:val="22"/>
              </w:rPr>
              <w:t>6,000h</w:t>
            </w:r>
          </w:p>
          <w:p w14:paraId="535D5663" w14:textId="77777777" w:rsidR="003776C5" w:rsidRPr="003776C5" w:rsidRDefault="003776C5" w:rsidP="003776C5">
            <w:pPr>
              <w:spacing w:after="0" w:line="240" w:lineRule="auto"/>
              <w:rPr>
                <w:rFonts w:ascii="Calibri" w:eastAsia="Calibri" w:hAnsi="Calibri"/>
                <w:noProof w:val="0"/>
                <w:color w:val="000000"/>
                <w:sz w:val="22"/>
                <w:szCs w:val="22"/>
              </w:rPr>
            </w:pPr>
          </w:p>
          <w:p w14:paraId="3EC7F54C" w14:textId="77777777" w:rsidR="003776C5" w:rsidRPr="003776C5" w:rsidRDefault="003776C5" w:rsidP="003776C5">
            <w:pPr>
              <w:spacing w:after="0" w:line="240" w:lineRule="auto"/>
              <w:rPr>
                <w:rFonts w:ascii="Calibri" w:eastAsia="Calibri" w:hAnsi="Calibri"/>
                <w:noProof w:val="0"/>
                <w:color w:val="000000"/>
                <w:sz w:val="22"/>
                <w:szCs w:val="22"/>
              </w:rPr>
            </w:pPr>
            <w:r w:rsidRPr="003776C5">
              <w:rPr>
                <w:rFonts w:ascii="Calibri" w:eastAsia="Times New Roman" w:hAnsi="Calibri"/>
                <w:noProof w:val="0"/>
                <w:color w:val="000000"/>
                <w:sz w:val="22"/>
                <w:szCs w:val="22"/>
                <w:lang w:eastAsia="en-AU"/>
              </w:rPr>
              <w:t>L</w:t>
            </w:r>
            <w:r w:rsidRPr="003776C5">
              <w:rPr>
                <w:rFonts w:ascii="Calibri" w:eastAsia="Times New Roman" w:hAnsi="Calibri"/>
                <w:noProof w:val="0"/>
                <w:color w:val="000000"/>
                <w:sz w:val="22"/>
                <w:szCs w:val="22"/>
                <w:vertAlign w:val="subscript"/>
                <w:lang w:eastAsia="en-AU"/>
              </w:rPr>
              <w:t>x,6k</w:t>
            </w:r>
            <w:r w:rsidRPr="003776C5">
              <w:rPr>
                <w:rFonts w:ascii="Calibri" w:eastAsia="Times New Roman" w:hAnsi="Calibri"/>
                <w:noProof w:val="0"/>
                <w:color w:val="000000"/>
                <w:sz w:val="22"/>
                <w:szCs w:val="22"/>
                <w:lang w:eastAsia="en-AU"/>
              </w:rPr>
              <w:t xml:space="preserve"> </w:t>
            </w:r>
            <w:r w:rsidRPr="003776C5">
              <w:rPr>
                <w:rFonts w:ascii="Calibri" w:eastAsia="Calibri" w:hAnsi="Calibri"/>
                <w:noProof w:val="0"/>
                <w:color w:val="000000"/>
                <w:sz w:val="22"/>
                <w:szCs w:val="22"/>
              </w:rPr>
              <w:t xml:space="preserve">≥ 93.1% </w:t>
            </w:r>
          </w:p>
          <w:p w14:paraId="181A3C94" w14:textId="77777777" w:rsidR="003776C5" w:rsidRPr="003776C5" w:rsidRDefault="003776C5" w:rsidP="003776C5">
            <w:pPr>
              <w:spacing w:after="0" w:line="240" w:lineRule="auto"/>
              <w:rPr>
                <w:rFonts w:ascii="Calibri" w:eastAsia="Calibri" w:hAnsi="Calibri"/>
                <w:noProof w:val="0"/>
                <w:color w:val="000000"/>
                <w:sz w:val="22"/>
                <w:szCs w:val="22"/>
              </w:rPr>
            </w:pPr>
          </w:p>
          <w:p w14:paraId="4192B6AF" w14:textId="77777777" w:rsidR="003776C5" w:rsidRPr="003776C5" w:rsidRDefault="003776C5" w:rsidP="003776C5">
            <w:pPr>
              <w:spacing w:after="0" w:line="240" w:lineRule="auto"/>
              <w:rPr>
                <w:rFonts w:ascii="Calibri" w:eastAsia="Calibri" w:hAnsi="Calibri"/>
                <w:noProof w:val="0"/>
                <w:color w:val="000000"/>
                <w:sz w:val="22"/>
                <w:szCs w:val="22"/>
              </w:rPr>
            </w:pPr>
            <w:r w:rsidRPr="003776C5">
              <w:rPr>
                <w:rFonts w:ascii="Calibri" w:eastAsia="Calibri" w:hAnsi="Calibri"/>
                <w:noProof w:val="0"/>
                <w:color w:val="000000"/>
                <w:sz w:val="22"/>
                <w:szCs w:val="22"/>
              </w:rPr>
              <w:t xml:space="preserve">(based on </w:t>
            </w:r>
          </w:p>
          <w:p w14:paraId="347724E7" w14:textId="77777777" w:rsidR="003776C5" w:rsidRPr="003776C5" w:rsidRDefault="003776C5" w:rsidP="003776C5">
            <w:pPr>
              <w:spacing w:after="0" w:line="240" w:lineRule="auto"/>
              <w:rPr>
                <w:rFonts w:ascii="Calibri" w:eastAsia="Calibri" w:hAnsi="Calibri"/>
                <w:noProof w:val="0"/>
                <w:color w:val="000000"/>
                <w:sz w:val="22"/>
                <w:szCs w:val="22"/>
              </w:rPr>
            </w:pPr>
            <w:r w:rsidRPr="003776C5">
              <w:rPr>
                <w:rFonts w:ascii="Calibri" w:eastAsia="Calibri" w:hAnsi="Calibri"/>
                <w:noProof w:val="0"/>
                <w:color w:val="000000"/>
                <w:sz w:val="22"/>
                <w:szCs w:val="22"/>
              </w:rPr>
              <w:t>L</w:t>
            </w:r>
            <w:r w:rsidRPr="003776C5">
              <w:rPr>
                <w:rFonts w:ascii="Calibri" w:eastAsia="Calibri" w:hAnsi="Calibri"/>
                <w:noProof w:val="0"/>
                <w:color w:val="000000"/>
                <w:sz w:val="22"/>
                <w:szCs w:val="22"/>
                <w:vertAlign w:val="subscript"/>
              </w:rPr>
              <w:t>70</w:t>
            </w:r>
            <w:r w:rsidRPr="003776C5">
              <w:rPr>
                <w:rFonts w:ascii="Calibri" w:eastAsia="Calibri" w:hAnsi="Calibri"/>
                <w:noProof w:val="0"/>
                <w:color w:val="000000"/>
                <w:sz w:val="22"/>
                <w:szCs w:val="22"/>
              </w:rPr>
              <w:t>B</w:t>
            </w:r>
            <w:r w:rsidRPr="003776C5">
              <w:rPr>
                <w:rFonts w:ascii="Calibri" w:eastAsia="Calibri" w:hAnsi="Calibri"/>
                <w:noProof w:val="0"/>
                <w:color w:val="000000"/>
                <w:sz w:val="22"/>
                <w:szCs w:val="22"/>
                <w:vertAlign w:val="subscript"/>
              </w:rPr>
              <w:t>50</w:t>
            </w:r>
            <w:r w:rsidRPr="003776C5">
              <w:rPr>
                <w:rFonts w:ascii="Calibri" w:eastAsia="Calibri" w:hAnsi="Calibri"/>
                <w:noProof w:val="0"/>
                <w:color w:val="000000"/>
                <w:sz w:val="22"/>
                <w:szCs w:val="22"/>
              </w:rPr>
              <w:t xml:space="preserve"> ≥ 30,000h)</w:t>
            </w:r>
          </w:p>
          <w:p w14:paraId="59CF76C7" w14:textId="77777777" w:rsidR="003776C5" w:rsidRPr="003776C5" w:rsidRDefault="003776C5" w:rsidP="003776C5">
            <w:pPr>
              <w:spacing w:after="0" w:line="240" w:lineRule="auto"/>
              <w:rPr>
                <w:rFonts w:ascii="Calibri" w:eastAsia="Calibri" w:hAnsi="Calibri"/>
                <w:noProof w:val="0"/>
                <w:color w:val="000000"/>
                <w:sz w:val="22"/>
                <w:szCs w:val="22"/>
              </w:rPr>
            </w:pPr>
            <w:r w:rsidRPr="003776C5">
              <w:rPr>
                <w:rFonts w:ascii="Calibri" w:eastAsia="Calibri" w:hAnsi="Calibri"/>
                <w:noProof w:val="0"/>
                <w:color w:val="000000"/>
                <w:sz w:val="22"/>
                <w:szCs w:val="22"/>
              </w:rPr>
              <w:t>Module or LED package test data (from an accredited lab) may be used, combined with ISTMT junction temperature test of lamp to be registered.</w:t>
            </w:r>
          </w:p>
        </w:tc>
        <w:tc>
          <w:tcPr>
            <w:tcW w:w="5805" w:type="dxa"/>
            <w:gridSpan w:val="4"/>
          </w:tcPr>
          <w:p w14:paraId="070C875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06B1B0D0" w14:textId="0A5B2748" w:rsidR="003776C5" w:rsidRPr="003776C5" w:rsidRDefault="003776C5" w:rsidP="003776C5">
            <w:pPr>
              <w:spacing w:after="0" w:line="240" w:lineRule="auto"/>
              <w:rPr>
                <w:rFonts w:ascii="Calibri" w:eastAsia="Calibri" w:hAnsi="Calibri"/>
                <w:noProof w:val="0"/>
                <w:color w:val="000000"/>
                <w:sz w:val="22"/>
                <w:szCs w:val="22"/>
              </w:rPr>
            </w:pPr>
            <w:r w:rsidRPr="003776C5">
              <w:rPr>
                <w:rFonts w:ascii="Calibri" w:eastAsia="Times New Roman" w:hAnsi="Calibri"/>
                <w:noProof w:val="0"/>
                <w:color w:val="000000"/>
                <w:sz w:val="22"/>
                <w:szCs w:val="22"/>
                <w:lang w:eastAsia="en-AU"/>
              </w:rPr>
              <w:t>Lumen maintenance @</w:t>
            </w:r>
            <w:r w:rsidRPr="003776C5">
              <w:rPr>
                <w:rFonts w:ascii="Calibri" w:eastAsia="Calibri" w:hAnsi="Calibri"/>
                <w:noProof w:val="0"/>
                <w:color w:val="000000"/>
                <w:sz w:val="22"/>
                <w:szCs w:val="22"/>
              </w:rPr>
              <w:t xml:space="preserve"> 6,000h </w:t>
            </w:r>
            <w:r w:rsidRPr="003776C5">
              <w:rPr>
                <w:rFonts w:ascii="Calibri" w:eastAsia="Times New Roman" w:hAnsi="Calibri"/>
                <w:noProof w:val="0"/>
                <w:color w:val="000000"/>
                <w:sz w:val="22"/>
                <w:szCs w:val="22"/>
                <w:lang w:eastAsia="en-AU"/>
              </w:rPr>
              <w:t>(L</w:t>
            </w:r>
            <w:r w:rsidRPr="003776C5">
              <w:rPr>
                <w:rFonts w:ascii="Calibri" w:eastAsia="Times New Roman" w:hAnsi="Calibri"/>
                <w:noProof w:val="0"/>
                <w:color w:val="000000"/>
                <w:sz w:val="22"/>
                <w:szCs w:val="22"/>
                <w:vertAlign w:val="subscript"/>
                <w:lang w:eastAsia="en-AU"/>
              </w:rPr>
              <w:t>x,6k</w:t>
            </w:r>
            <w:r w:rsidR="0010791E">
              <w:rPr>
                <w:rFonts w:ascii="Calibri" w:eastAsia="Times New Roman" w:hAnsi="Calibri"/>
                <w:noProof w:val="0"/>
                <w:color w:val="000000"/>
                <w:sz w:val="22"/>
                <w:szCs w:val="22"/>
                <w:lang w:eastAsia="en-AU"/>
              </w:rPr>
              <w:t>)</w:t>
            </w:r>
          </w:p>
          <w:p w14:paraId="69D8CD9D" w14:textId="77777777" w:rsidR="003776C5" w:rsidRPr="003776C5" w:rsidRDefault="003776C5" w:rsidP="003776C5">
            <w:pPr>
              <w:spacing w:after="0" w:line="240" w:lineRule="auto"/>
              <w:rPr>
                <w:rFonts w:ascii="Calibri" w:eastAsia="Calibri" w:hAnsi="Calibri"/>
                <w:noProof w:val="0"/>
                <w:color w:val="000000"/>
                <w:sz w:val="22"/>
                <w:szCs w:val="22"/>
              </w:rPr>
            </w:pPr>
            <w:r w:rsidRPr="003776C5">
              <w:rPr>
                <w:rFonts w:ascii="Calibri" w:eastAsia="Calibri" w:hAnsi="Calibri"/>
                <w:noProof w:val="0"/>
                <w:color w:val="000000"/>
                <w:sz w:val="22"/>
                <w:szCs w:val="22"/>
              </w:rPr>
              <w:t xml:space="preserve">≥ 95.4% of initial  </w:t>
            </w:r>
            <w:r w:rsidRPr="003776C5">
              <w:rPr>
                <w:rFonts w:ascii="Calibri" w:eastAsia="Calibri" w:hAnsi="Calibri"/>
                <w:noProof w:val="0"/>
                <w:color w:val="000000"/>
                <w:sz w:val="22"/>
                <w:szCs w:val="22"/>
              </w:rPr>
              <w:br/>
            </w:r>
          </w:p>
          <w:p w14:paraId="3D54E6C3" w14:textId="77777777" w:rsidR="003776C5" w:rsidRPr="003776C5" w:rsidRDefault="003776C5" w:rsidP="003776C5">
            <w:pPr>
              <w:spacing w:after="0" w:line="240" w:lineRule="auto"/>
              <w:rPr>
                <w:rFonts w:ascii="Calibri" w:eastAsia="Calibri" w:hAnsi="Calibri"/>
                <w:noProof w:val="0"/>
                <w:color w:val="000000"/>
                <w:sz w:val="22"/>
                <w:szCs w:val="22"/>
              </w:rPr>
            </w:pPr>
            <w:r w:rsidRPr="003776C5">
              <w:rPr>
                <w:rFonts w:ascii="Calibri" w:eastAsia="Calibri" w:hAnsi="Calibri"/>
                <w:noProof w:val="0"/>
                <w:color w:val="000000"/>
                <w:sz w:val="22"/>
                <w:szCs w:val="22"/>
              </w:rPr>
              <w:t>(based on L</w:t>
            </w:r>
            <w:r w:rsidRPr="003776C5">
              <w:rPr>
                <w:rFonts w:ascii="Calibri" w:eastAsia="Calibri" w:hAnsi="Calibri"/>
                <w:noProof w:val="0"/>
                <w:color w:val="000000"/>
                <w:sz w:val="22"/>
                <w:szCs w:val="22"/>
                <w:vertAlign w:val="subscript"/>
              </w:rPr>
              <w:t>70</w:t>
            </w:r>
            <w:r w:rsidRPr="003776C5">
              <w:rPr>
                <w:rFonts w:ascii="Calibri" w:eastAsia="Calibri" w:hAnsi="Calibri"/>
                <w:noProof w:val="0"/>
                <w:color w:val="000000"/>
                <w:sz w:val="22"/>
                <w:szCs w:val="22"/>
              </w:rPr>
              <w:t>B</w:t>
            </w:r>
            <w:r w:rsidRPr="003776C5">
              <w:rPr>
                <w:rFonts w:ascii="Calibri" w:eastAsia="Calibri" w:hAnsi="Calibri"/>
                <w:noProof w:val="0"/>
                <w:color w:val="000000"/>
                <w:sz w:val="22"/>
                <w:szCs w:val="22"/>
                <w:vertAlign w:val="subscript"/>
              </w:rPr>
              <w:t>50</w:t>
            </w:r>
            <w:r w:rsidRPr="003776C5">
              <w:rPr>
                <w:rFonts w:ascii="Calibri" w:eastAsia="Calibri" w:hAnsi="Calibri"/>
                <w:noProof w:val="0"/>
                <w:color w:val="000000"/>
                <w:sz w:val="22"/>
                <w:szCs w:val="22"/>
              </w:rPr>
              <w:t xml:space="preserve"> ≥ 45,000h)</w:t>
            </w:r>
          </w:p>
          <w:p w14:paraId="7D25A1CD" w14:textId="77777777" w:rsidR="003776C5" w:rsidRPr="003776C5" w:rsidRDefault="003776C5" w:rsidP="003776C5">
            <w:pPr>
              <w:spacing w:after="0" w:line="240" w:lineRule="auto"/>
              <w:rPr>
                <w:rFonts w:ascii="Calibri" w:eastAsia="Calibri" w:hAnsi="Calibri"/>
                <w:noProof w:val="0"/>
                <w:color w:val="000000"/>
                <w:sz w:val="22"/>
                <w:szCs w:val="22"/>
              </w:rPr>
            </w:pPr>
          </w:p>
          <w:p w14:paraId="27BD22F2" w14:textId="77777777" w:rsidR="003776C5" w:rsidRPr="003776C5" w:rsidRDefault="003776C5" w:rsidP="003776C5">
            <w:pPr>
              <w:spacing w:after="0" w:line="240" w:lineRule="auto"/>
              <w:rPr>
                <w:rFonts w:ascii="Calibri" w:eastAsia="Calibri" w:hAnsi="Calibri"/>
                <w:noProof w:val="0"/>
                <w:color w:val="000000"/>
                <w:sz w:val="22"/>
                <w:szCs w:val="22"/>
              </w:rPr>
            </w:pPr>
            <w:r w:rsidRPr="003776C5">
              <w:rPr>
                <w:rFonts w:ascii="Calibri" w:eastAsia="Calibri" w:hAnsi="Calibri"/>
                <w:noProof w:val="0"/>
                <w:color w:val="000000"/>
                <w:sz w:val="22"/>
                <w:szCs w:val="22"/>
              </w:rPr>
              <w:t>Module or LED package test data (from an accredited lab) may be used, combined with ISTMT junction temperature test of lamp to be registered.</w:t>
            </w:r>
            <w:r w:rsidRPr="003776C5">
              <w:rPr>
                <w:rFonts w:ascii="Calibri" w:eastAsia="Calibri" w:hAnsi="Calibri"/>
                <w:noProof w:val="0"/>
                <w:color w:val="000000"/>
                <w:sz w:val="22"/>
                <w:szCs w:val="22"/>
              </w:rPr>
              <w:br/>
            </w:r>
            <w:r w:rsidRPr="003776C5">
              <w:rPr>
                <w:rFonts w:ascii="Calibri" w:eastAsia="Calibri" w:hAnsi="Calibri"/>
                <w:noProof w:val="0"/>
                <w:color w:val="000000"/>
                <w:sz w:val="22"/>
                <w:szCs w:val="22"/>
              </w:rPr>
              <w:br/>
            </w:r>
          </w:p>
          <w:p w14:paraId="1DF25FEE"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tc>
        <w:tc>
          <w:tcPr>
            <w:tcW w:w="1134" w:type="dxa"/>
            <w:hideMark/>
          </w:tcPr>
          <w:p w14:paraId="7656E1E8"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7E25872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3 (small)</w:t>
            </w:r>
          </w:p>
          <w:p w14:paraId="00BFB9F8"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564E12DE"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1 (Large &amp; P/B/T)</w:t>
            </w:r>
          </w:p>
        </w:tc>
        <w:tc>
          <w:tcPr>
            <w:tcW w:w="1843" w:type="dxa"/>
            <w:hideMark/>
          </w:tcPr>
          <w:p w14:paraId="0C36BC33"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p>
          <w:p w14:paraId="2ADE9E89"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Average L</w:t>
            </w:r>
            <w:r w:rsidRPr="003776C5">
              <w:rPr>
                <w:rFonts w:ascii="Calibri" w:eastAsia="Times New Roman" w:hAnsi="Calibri"/>
                <w:noProof w:val="0"/>
                <w:color w:val="000000"/>
                <w:sz w:val="22"/>
                <w:szCs w:val="22"/>
                <w:vertAlign w:val="subscript"/>
                <w:lang w:eastAsia="en-AU"/>
              </w:rPr>
              <w:t>x,6k</w:t>
            </w:r>
            <w:r w:rsidRPr="003776C5">
              <w:rPr>
                <w:rFonts w:ascii="Calibri" w:eastAsia="Times New Roman" w:hAnsi="Calibri"/>
                <w:noProof w:val="0"/>
                <w:color w:val="000000"/>
                <w:sz w:val="22"/>
                <w:szCs w:val="22"/>
                <w:lang w:eastAsia="en-AU"/>
              </w:rPr>
              <w:t xml:space="preserve"> ≥ value specified </w:t>
            </w:r>
          </w:p>
          <w:p w14:paraId="3974B57A" w14:textId="3A8B5B2C" w:rsidR="003776C5" w:rsidRPr="003776C5" w:rsidRDefault="003776C5" w:rsidP="003776C5">
            <w:pPr>
              <w:spacing w:after="24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Compliance testing may be </w:t>
            </w:r>
            <w:r w:rsidR="00046631" w:rsidRPr="003776C5">
              <w:rPr>
                <w:rFonts w:ascii="Calibri" w:eastAsia="Times New Roman" w:hAnsi="Calibri"/>
                <w:noProof w:val="0"/>
                <w:color w:val="000000"/>
                <w:sz w:val="22"/>
                <w:szCs w:val="22"/>
                <w:lang w:eastAsia="en-AU"/>
              </w:rPr>
              <w:t>an</w:t>
            </w:r>
            <w:r w:rsidRPr="003776C5">
              <w:rPr>
                <w:rFonts w:ascii="Calibri" w:eastAsia="Times New Roman" w:hAnsi="Calibri"/>
                <w:noProof w:val="0"/>
                <w:color w:val="000000"/>
                <w:sz w:val="22"/>
                <w:szCs w:val="22"/>
                <w:lang w:eastAsia="en-AU"/>
              </w:rPr>
              <w:t xml:space="preserve"> ISTMT junction temperature test</w:t>
            </w:r>
            <w:r w:rsidRPr="003776C5">
              <w:rPr>
                <w:rFonts w:ascii="Calibri" w:eastAsia="Times New Roman" w:hAnsi="Calibri"/>
                <w:noProof w:val="0"/>
                <w:color w:val="000000"/>
                <w:sz w:val="22"/>
                <w:szCs w:val="22"/>
                <w:highlight w:val="yellow"/>
                <w:lang w:eastAsia="en-AU"/>
              </w:rPr>
              <w:t xml:space="preserve"> </w:t>
            </w:r>
            <w:r w:rsidRPr="003776C5">
              <w:rPr>
                <w:rFonts w:ascii="Calibri" w:eastAsia="Times New Roman" w:hAnsi="Calibri"/>
                <w:noProof w:val="0"/>
                <w:color w:val="000000"/>
                <w:sz w:val="22"/>
                <w:szCs w:val="22"/>
                <w:lang w:eastAsia="en-AU"/>
              </w:rPr>
              <w:t>and relevant module/package test report or a full product test.</w:t>
            </w:r>
          </w:p>
        </w:tc>
        <w:tc>
          <w:tcPr>
            <w:tcW w:w="1701" w:type="dxa"/>
          </w:tcPr>
          <w:p w14:paraId="4D62DCA4"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64B758D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IESNA LM80/TM21 &amp;</w:t>
            </w:r>
          </w:p>
          <w:p w14:paraId="68D73093"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ISTMT (IEC 60598.1 Section 12.4.1 or UL 1598 Clause 14) </w:t>
            </w:r>
          </w:p>
          <w:p w14:paraId="226F71C3"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or</w:t>
            </w:r>
          </w:p>
          <w:p w14:paraId="286C1112"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IESNA LM84/TM28</w:t>
            </w:r>
          </w:p>
          <w:p w14:paraId="54D7A11A"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Note testing of small luminaires may require consideration of insulation requirement.  Consider allowing use of thermal imaging camera to ascertain hottest point.</w:t>
            </w:r>
          </w:p>
        </w:tc>
      </w:tr>
      <w:tr w:rsidR="003776C5" w:rsidRPr="003776C5" w14:paraId="411AFA35" w14:textId="77777777" w:rsidTr="003776C5">
        <w:trPr>
          <w:trHeight w:val="270"/>
        </w:trPr>
        <w:tc>
          <w:tcPr>
            <w:tcW w:w="454" w:type="dxa"/>
            <w:shd w:val="clear" w:color="auto" w:fill="C6D9F1"/>
          </w:tcPr>
          <w:p w14:paraId="5A52B275"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p>
        </w:tc>
        <w:tc>
          <w:tcPr>
            <w:tcW w:w="15026" w:type="dxa"/>
            <w:gridSpan w:val="10"/>
            <w:shd w:val="clear" w:color="auto" w:fill="C6D9F1"/>
          </w:tcPr>
          <w:p w14:paraId="319520E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Electrical</w:t>
            </w:r>
          </w:p>
        </w:tc>
      </w:tr>
      <w:tr w:rsidR="003776C5" w:rsidRPr="003776C5" w14:paraId="422BBE9A" w14:textId="77777777" w:rsidTr="006B00C9">
        <w:trPr>
          <w:trHeight w:val="567"/>
        </w:trPr>
        <w:tc>
          <w:tcPr>
            <w:tcW w:w="454" w:type="dxa"/>
            <w:shd w:val="clear" w:color="auto" w:fill="7030A0"/>
          </w:tcPr>
          <w:p w14:paraId="42FD8C02"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14</w:t>
            </w:r>
          </w:p>
        </w:tc>
        <w:tc>
          <w:tcPr>
            <w:tcW w:w="1668" w:type="dxa"/>
            <w:shd w:val="clear" w:color="auto" w:fill="92D050"/>
            <w:hideMark/>
          </w:tcPr>
          <w:p w14:paraId="13F110E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22214DA6"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Fundamental Power Factor</w:t>
            </w:r>
          </w:p>
        </w:tc>
        <w:tc>
          <w:tcPr>
            <w:tcW w:w="8680" w:type="dxa"/>
            <w:gridSpan w:val="6"/>
            <w:noWrap/>
            <w:hideMark/>
          </w:tcPr>
          <w:p w14:paraId="72AC9ED6" w14:textId="77777777" w:rsidR="003776C5" w:rsidRPr="003776C5" w:rsidRDefault="003776C5" w:rsidP="003776C5">
            <w:pPr>
              <w:spacing w:after="0" w:line="240" w:lineRule="auto"/>
              <w:jc w:val="center"/>
              <w:rPr>
                <w:rFonts w:ascii="Calibri" w:eastAsia="Calibri" w:hAnsi="Calibri"/>
                <w:noProof w:val="0"/>
                <w:color w:val="000000"/>
                <w:sz w:val="22"/>
                <w:szCs w:val="22"/>
              </w:rPr>
            </w:pPr>
          </w:p>
          <w:p w14:paraId="63566729" w14:textId="77777777" w:rsidR="003776C5" w:rsidRPr="003776C5" w:rsidRDefault="003776C5" w:rsidP="003776C5">
            <w:pPr>
              <w:spacing w:after="0" w:line="240" w:lineRule="auto"/>
              <w:jc w:val="center"/>
              <w:rPr>
                <w:rFonts w:ascii="Calibri" w:eastAsia="Calibri" w:hAnsi="Calibri"/>
                <w:noProof w:val="0"/>
                <w:color w:val="000000"/>
                <w:sz w:val="22"/>
                <w:szCs w:val="22"/>
              </w:rPr>
            </w:pPr>
            <w:r w:rsidRPr="003776C5">
              <w:rPr>
                <w:rFonts w:ascii="Calibri" w:eastAsia="Calibri" w:hAnsi="Calibri"/>
                <w:sz w:val="22"/>
                <w:szCs w:val="22"/>
                <w:lang w:eastAsia="en-AU"/>
              </w:rPr>
              <w:drawing>
                <wp:inline distT="0" distB="0" distL="0" distR="0" wp14:anchorId="5A3CA919" wp14:editId="403570E0">
                  <wp:extent cx="5374640" cy="685800"/>
                  <wp:effectExtent l="0" t="0" r="0" b="0"/>
                  <wp:docPr id="36" name="Picture 36" descr="Image is a table of recommended values for displacement factor, for several ranges of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b="25824"/>
                          <a:stretch/>
                        </pic:blipFill>
                        <pic:spPr bwMode="auto">
                          <a:xfrm>
                            <a:off x="0" y="0"/>
                            <a:ext cx="5374640" cy="685800"/>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hideMark/>
          </w:tcPr>
          <w:p w14:paraId="04C06DA2"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653A9C3E"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1</w:t>
            </w:r>
          </w:p>
          <w:p w14:paraId="1488DFC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61FE76D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tc>
        <w:tc>
          <w:tcPr>
            <w:tcW w:w="1843" w:type="dxa"/>
            <w:hideMark/>
          </w:tcPr>
          <w:p w14:paraId="7A21045E"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5FB17F2F"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value specified</w:t>
            </w:r>
          </w:p>
        </w:tc>
        <w:tc>
          <w:tcPr>
            <w:tcW w:w="1701" w:type="dxa"/>
          </w:tcPr>
          <w:p w14:paraId="376923CA"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578EBD92"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highlight w:val="yellow"/>
                <w:lang w:eastAsia="en-AU"/>
              </w:rPr>
              <w:t>IEC 61000-3-2</w:t>
            </w:r>
            <w:r w:rsidRPr="003776C5">
              <w:rPr>
                <w:rFonts w:ascii="Calibri" w:eastAsia="Times New Roman" w:hAnsi="Calibri"/>
                <w:noProof w:val="0"/>
                <w:color w:val="000000"/>
                <w:sz w:val="22"/>
                <w:szCs w:val="22"/>
                <w:lang w:eastAsia="en-AU"/>
              </w:rPr>
              <w:t xml:space="preserve"> (2014)</w:t>
            </w:r>
          </w:p>
          <w:p w14:paraId="1A0B64EE" w14:textId="77777777" w:rsidR="003776C5" w:rsidRPr="003776C5" w:rsidRDefault="003776C5" w:rsidP="003776C5">
            <w:pPr>
              <w:spacing w:after="0" w:line="240" w:lineRule="auto"/>
              <w:rPr>
                <w:rFonts w:ascii="Calibri" w:eastAsia="Times New Roman" w:hAnsi="Calibri"/>
                <w:noProof w:val="0"/>
                <w:color w:val="000000"/>
                <w:sz w:val="22"/>
                <w:szCs w:val="22"/>
                <w:highlight w:val="lightGray"/>
                <w:lang w:eastAsia="en-AU"/>
              </w:rPr>
            </w:pPr>
            <w:r w:rsidRPr="003776C5">
              <w:rPr>
                <w:rFonts w:ascii="Calibri" w:eastAsia="Times New Roman" w:hAnsi="Calibri"/>
                <w:noProof w:val="0"/>
                <w:color w:val="000000"/>
                <w:sz w:val="22"/>
                <w:szCs w:val="22"/>
                <w:lang w:eastAsia="en-AU"/>
              </w:rPr>
              <w:t>Test data may be sourced from</w:t>
            </w:r>
            <w:r w:rsidRPr="003776C5">
              <w:rPr>
                <w:rFonts w:ascii="Calibri" w:eastAsia="Calibri" w:hAnsi="Calibri"/>
                <w:noProof w:val="0"/>
                <w:sz w:val="22"/>
                <w:szCs w:val="22"/>
              </w:rPr>
              <w:t xml:space="preserve"> </w:t>
            </w:r>
            <w:r w:rsidRPr="003776C5">
              <w:rPr>
                <w:rFonts w:ascii="Calibri" w:eastAsia="Times New Roman" w:hAnsi="Calibri"/>
                <w:noProof w:val="0"/>
                <w:color w:val="000000"/>
                <w:sz w:val="22"/>
                <w:szCs w:val="22"/>
                <w:lang w:eastAsia="en-AU"/>
              </w:rPr>
              <w:t xml:space="preserve">control gear manufacturer  </w:t>
            </w:r>
          </w:p>
        </w:tc>
      </w:tr>
      <w:tr w:rsidR="003776C5" w:rsidRPr="003776C5" w14:paraId="1B754A0F" w14:textId="77777777" w:rsidTr="006B00C9">
        <w:trPr>
          <w:trHeight w:val="984"/>
        </w:trPr>
        <w:tc>
          <w:tcPr>
            <w:tcW w:w="454" w:type="dxa"/>
            <w:shd w:val="clear" w:color="auto" w:fill="7030A0"/>
          </w:tcPr>
          <w:p w14:paraId="233BE001"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15</w:t>
            </w:r>
          </w:p>
        </w:tc>
        <w:tc>
          <w:tcPr>
            <w:tcW w:w="1668" w:type="dxa"/>
            <w:shd w:val="clear" w:color="auto" w:fill="92D050"/>
            <w:hideMark/>
          </w:tcPr>
          <w:p w14:paraId="4B0D59D5"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5A3C278E"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Harmonics</w:t>
            </w:r>
          </w:p>
        </w:tc>
        <w:tc>
          <w:tcPr>
            <w:tcW w:w="8680" w:type="dxa"/>
            <w:gridSpan w:val="6"/>
            <w:noWrap/>
            <w:hideMark/>
          </w:tcPr>
          <w:p w14:paraId="50C650FF" w14:textId="77777777" w:rsidR="003776C5" w:rsidRPr="003776C5" w:rsidRDefault="003776C5" w:rsidP="003776C5">
            <w:pPr>
              <w:spacing w:after="0" w:line="240" w:lineRule="auto"/>
              <w:ind w:left="2589" w:hanging="2589"/>
              <w:rPr>
                <w:rFonts w:ascii="Calibri" w:eastAsia="Calibri" w:hAnsi="Calibri"/>
                <w:noProof w:val="0"/>
                <w:color w:val="000000"/>
                <w:sz w:val="22"/>
                <w:szCs w:val="22"/>
              </w:rPr>
            </w:pPr>
          </w:p>
          <w:p w14:paraId="631E1B61" w14:textId="77777777" w:rsidR="003776C5" w:rsidRPr="003776C5" w:rsidRDefault="003776C5" w:rsidP="003776C5">
            <w:pPr>
              <w:spacing w:after="240" w:line="240" w:lineRule="auto"/>
              <w:ind w:left="2589" w:hanging="2589"/>
              <w:rPr>
                <w:rFonts w:ascii="Calibri" w:eastAsia="Times New Roman" w:hAnsi="Calibri"/>
                <w:noProof w:val="0"/>
                <w:color w:val="000000"/>
                <w:sz w:val="22"/>
                <w:szCs w:val="22"/>
                <w:lang w:eastAsia="en-AU"/>
              </w:rPr>
            </w:pPr>
            <w:r w:rsidRPr="003776C5">
              <w:rPr>
                <w:rFonts w:ascii="Calibri" w:eastAsia="Calibri" w:hAnsi="Calibri"/>
                <w:noProof w:val="0"/>
                <w:color w:val="000000"/>
                <w:sz w:val="22"/>
                <w:szCs w:val="22"/>
              </w:rPr>
              <w:t xml:space="preserve">For products </w:t>
            </w:r>
            <w:r w:rsidRPr="003776C5">
              <w:rPr>
                <w:rFonts w:ascii="Calibri" w:eastAsia="Calibri" w:hAnsi="Calibri"/>
                <w:noProof w:val="0"/>
                <w:sz w:val="22"/>
                <w:szCs w:val="22"/>
              </w:rPr>
              <w:t xml:space="preserve">5W &lt; P ≤ 25W: </w:t>
            </w:r>
            <w:r w:rsidRPr="003776C5">
              <w:rPr>
                <w:rFonts w:ascii="Calibri" w:eastAsia="Times New Roman" w:hAnsi="Calibri"/>
                <w:noProof w:val="0"/>
                <w:color w:val="000000"/>
                <w:sz w:val="22"/>
                <w:szCs w:val="22"/>
                <w:lang w:eastAsia="en-AU"/>
              </w:rPr>
              <w:t xml:space="preserve"> </w:t>
            </w:r>
          </w:p>
          <w:p w14:paraId="150D42CA" w14:textId="77777777" w:rsidR="003776C5" w:rsidRPr="003776C5" w:rsidRDefault="003776C5" w:rsidP="003776C5">
            <w:pPr>
              <w:spacing w:after="240" w:line="240" w:lineRule="auto"/>
              <w:ind w:left="2589" w:hanging="2589"/>
              <w:rPr>
                <w:rFonts w:ascii="Calibri" w:eastAsia="Times New Roman" w:hAnsi="Calibri"/>
                <w:noProof w:val="0"/>
                <w:color w:val="000000"/>
                <w:sz w:val="22"/>
                <w:szCs w:val="22"/>
                <w:lang w:eastAsia="en-AU"/>
              </w:rPr>
            </w:pPr>
            <w:r w:rsidRPr="003776C5">
              <w:rPr>
                <w:rFonts w:ascii="Calibri" w:eastAsia="Times New Roman" w:hAnsi="Calibri"/>
                <w:i/>
                <w:noProof w:val="0"/>
                <w:color w:val="000000"/>
                <w:sz w:val="22"/>
                <w:szCs w:val="22"/>
                <w:lang w:eastAsia="en-AU"/>
              </w:rPr>
              <w:t>{text here is pending final approval of amendment to 61000-3-2}</w:t>
            </w:r>
          </w:p>
          <w:p w14:paraId="38C7FE19" w14:textId="77777777" w:rsidR="003776C5" w:rsidRPr="003776C5" w:rsidRDefault="003776C5" w:rsidP="003776C5">
            <w:pPr>
              <w:spacing w:after="0" w:line="240" w:lineRule="auto"/>
              <w:rPr>
                <w:rFonts w:ascii="Times New Roman" w:eastAsia="Calibri" w:hAnsi="Times New Roman"/>
                <w:noProof w:val="0"/>
                <w:sz w:val="24"/>
              </w:rPr>
            </w:pPr>
            <w:r w:rsidRPr="003776C5">
              <w:rPr>
                <w:rFonts w:ascii="Arial" w:eastAsia="Calibri" w:hAnsi="Arial"/>
                <w:noProof w:val="0"/>
                <w:color w:val="000000"/>
                <w:sz w:val="20"/>
                <w:szCs w:val="20"/>
              </w:rPr>
              <w:t xml:space="preserve">One of the following three requirements: </w:t>
            </w:r>
          </w:p>
          <w:p w14:paraId="6B6BE031" w14:textId="77777777" w:rsidR="003776C5" w:rsidRPr="003776C5" w:rsidRDefault="003776C5" w:rsidP="003776C5">
            <w:pPr>
              <w:numPr>
                <w:ilvl w:val="0"/>
                <w:numId w:val="25"/>
              </w:numPr>
              <w:spacing w:after="0" w:line="240" w:lineRule="auto"/>
              <w:rPr>
                <w:rFonts w:ascii="Times New Roman" w:eastAsia="Calibri" w:hAnsi="Times New Roman"/>
                <w:noProof w:val="0"/>
                <w:sz w:val="24"/>
              </w:rPr>
            </w:pPr>
            <w:r w:rsidRPr="003776C5">
              <w:rPr>
                <w:rFonts w:ascii="Arial" w:eastAsia="Calibri" w:hAnsi="Arial"/>
                <w:noProof w:val="0"/>
                <w:color w:val="000000"/>
                <w:sz w:val="20"/>
                <w:szCs w:val="20"/>
              </w:rPr>
              <w:t xml:space="preserve">the harmonic currents shall not exceed the power-related limits of Table 3, column 2, </w:t>
            </w:r>
          </w:p>
          <w:p w14:paraId="2484B336" w14:textId="77777777" w:rsidR="003776C5" w:rsidRPr="003776C5" w:rsidRDefault="003776C5" w:rsidP="003776C5">
            <w:pPr>
              <w:spacing w:after="0" w:line="240" w:lineRule="auto"/>
              <w:ind w:left="360"/>
              <w:jc w:val="center"/>
              <w:rPr>
                <w:rFonts w:ascii="Arial" w:eastAsia="Calibri" w:hAnsi="Arial"/>
                <w:noProof w:val="0"/>
                <w:color w:val="000000"/>
                <w:sz w:val="20"/>
                <w:szCs w:val="20"/>
              </w:rPr>
            </w:pPr>
            <w:r w:rsidRPr="003776C5">
              <w:rPr>
                <w:rFonts w:ascii="Calibri" w:eastAsia="Calibri" w:hAnsi="Calibri"/>
                <w:sz w:val="22"/>
                <w:szCs w:val="22"/>
                <w:lang w:eastAsia="en-AU"/>
              </w:rPr>
              <w:drawing>
                <wp:inline distT="0" distB="0" distL="0" distR="0" wp14:anchorId="20161971" wp14:editId="0ADAD80D">
                  <wp:extent cx="3862425" cy="2052928"/>
                  <wp:effectExtent l="0" t="0" r="5080" b="5080"/>
                  <wp:docPr id="37" name="Picture 37" descr="Table of power-related limits for harmonic currents" title="Table of Harmonic Limits for Class D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861127" cy="2052238"/>
                          </a:xfrm>
                          <a:prstGeom prst="rect">
                            <a:avLst/>
                          </a:prstGeom>
                        </pic:spPr>
                      </pic:pic>
                    </a:graphicData>
                  </a:graphic>
                </wp:inline>
              </w:drawing>
            </w:r>
            <w:r w:rsidRPr="003776C5">
              <w:rPr>
                <w:rFonts w:ascii="Arial" w:eastAsia="Calibri" w:hAnsi="Arial"/>
                <w:noProof w:val="0"/>
                <w:color w:val="000000"/>
                <w:sz w:val="20"/>
                <w:szCs w:val="20"/>
              </w:rPr>
              <w:t>or:</w:t>
            </w:r>
          </w:p>
          <w:p w14:paraId="11DBD864" w14:textId="77777777" w:rsidR="003776C5" w:rsidRPr="003776C5" w:rsidRDefault="003776C5" w:rsidP="003776C5">
            <w:pPr>
              <w:spacing w:after="0" w:line="240" w:lineRule="auto"/>
              <w:ind w:left="360"/>
              <w:rPr>
                <w:rFonts w:ascii="Times New Roman" w:eastAsia="Calibri" w:hAnsi="Times New Roman"/>
                <w:noProof w:val="0"/>
                <w:sz w:val="24"/>
              </w:rPr>
            </w:pPr>
            <w:r w:rsidRPr="003776C5">
              <w:rPr>
                <w:rFonts w:ascii="Arial" w:eastAsia="Calibri" w:hAnsi="Arial"/>
                <w:noProof w:val="0"/>
                <w:color w:val="000000"/>
                <w:sz w:val="20"/>
                <w:szCs w:val="20"/>
              </w:rPr>
              <w:t xml:space="preserve"> </w:t>
            </w:r>
          </w:p>
          <w:p w14:paraId="3A092987" w14:textId="77777777" w:rsidR="003776C5" w:rsidRPr="003776C5" w:rsidRDefault="003776C5" w:rsidP="003776C5">
            <w:pPr>
              <w:numPr>
                <w:ilvl w:val="0"/>
                <w:numId w:val="25"/>
              </w:numPr>
              <w:spacing w:after="0" w:line="240" w:lineRule="auto"/>
              <w:rPr>
                <w:rFonts w:ascii="Times New Roman" w:eastAsia="Calibri" w:hAnsi="Times New Roman"/>
                <w:noProof w:val="0"/>
                <w:sz w:val="24"/>
              </w:rPr>
            </w:pPr>
            <w:r w:rsidRPr="003776C5">
              <w:rPr>
                <w:rFonts w:ascii="Arial" w:eastAsia="Calibri" w:hAnsi="Arial"/>
                <w:noProof w:val="0"/>
                <w:color w:val="000000"/>
                <w:sz w:val="20"/>
                <w:szCs w:val="20"/>
              </w:rPr>
              <w:t>the third harmonic current, expressed as a percentage of the fundamental current, shall not exceed 86 % and the fifth harmonic current shall not exceed 61 %. Also, the waveform of the input current shall be such that it reaches the 5 % current threshold before or at 60º, has its peak value before or at 65º and does not fall below the 5 % current threshold before 90º, referenced to any zero crossing of the fundamental supply voltage. The current threshold is 5 % of the highest absolute peak value that occurs in the measurement window, and the phase angle measurements are made on the cycle that includes this absolute peak value (see Figure 2). Components of current with frequencies above 9 kHz shall not influence this evaluation. or:</w:t>
            </w:r>
          </w:p>
          <w:p w14:paraId="0C8AF889" w14:textId="77777777" w:rsidR="003776C5" w:rsidRPr="003776C5" w:rsidRDefault="003776C5" w:rsidP="003776C5">
            <w:pPr>
              <w:numPr>
                <w:ilvl w:val="0"/>
                <w:numId w:val="20"/>
              </w:numPr>
              <w:spacing w:after="0" w:line="240" w:lineRule="auto"/>
              <w:ind w:firstLine="0"/>
              <w:rPr>
                <w:rFonts w:ascii="Times New Roman" w:eastAsia="Calibri" w:hAnsi="Times New Roman"/>
                <w:noProof w:val="0"/>
                <w:sz w:val="24"/>
              </w:rPr>
            </w:pPr>
            <w:r w:rsidRPr="003776C5">
              <w:rPr>
                <w:rFonts w:ascii="Arial" w:eastAsia="Calibri" w:hAnsi="Arial"/>
                <w:noProof w:val="0"/>
                <w:color w:val="000000"/>
                <w:sz w:val="20"/>
                <w:szCs w:val="20"/>
              </w:rPr>
              <w:t xml:space="preserve"> </w:t>
            </w:r>
          </w:p>
          <w:p w14:paraId="4A6D671A" w14:textId="77777777" w:rsidR="003776C5" w:rsidRPr="003776C5" w:rsidRDefault="003776C5" w:rsidP="003776C5">
            <w:pPr>
              <w:numPr>
                <w:ilvl w:val="0"/>
                <w:numId w:val="25"/>
              </w:numPr>
              <w:spacing w:after="0" w:line="240" w:lineRule="auto"/>
              <w:rPr>
                <w:rFonts w:ascii="Times New Roman" w:eastAsia="Calibri" w:hAnsi="Times New Roman"/>
                <w:noProof w:val="0"/>
                <w:sz w:val="24"/>
              </w:rPr>
            </w:pPr>
            <w:r w:rsidRPr="003776C5">
              <w:rPr>
                <w:rFonts w:ascii="Arial" w:eastAsia="Calibri" w:hAnsi="Arial"/>
                <w:noProof w:val="0"/>
                <w:color w:val="000000"/>
                <w:sz w:val="20"/>
                <w:szCs w:val="20"/>
              </w:rPr>
              <w:t xml:space="preserve">the THD shall not exceed 70%. The third order harmonic, expressed as a percentage of the fundamental current, shall not exceed 35%, the fifth order shall not exceed 25%, the seventh order shall not exceed 30%, the ninth and eleventh order shall not exceed 20% and the second order shall not exceed 5%. </w:t>
            </w:r>
          </w:p>
          <w:p w14:paraId="62192749" w14:textId="77777777" w:rsidR="003776C5" w:rsidRPr="003776C5" w:rsidRDefault="003776C5" w:rsidP="003776C5">
            <w:pPr>
              <w:numPr>
                <w:ilvl w:val="0"/>
                <w:numId w:val="20"/>
              </w:numPr>
              <w:spacing w:after="0" w:line="240" w:lineRule="auto"/>
              <w:ind w:firstLine="0"/>
              <w:rPr>
                <w:rFonts w:ascii="Times New Roman" w:eastAsia="Calibri" w:hAnsi="Times New Roman"/>
                <w:noProof w:val="0"/>
                <w:sz w:val="24"/>
              </w:rPr>
            </w:pPr>
          </w:p>
          <w:p w14:paraId="7A05095C" w14:textId="77777777" w:rsidR="003776C5" w:rsidRPr="003776C5" w:rsidRDefault="003776C5" w:rsidP="003776C5">
            <w:pPr>
              <w:spacing w:after="0" w:line="240" w:lineRule="auto"/>
              <w:rPr>
                <w:rFonts w:ascii="Arial" w:eastAsia="Calibri" w:hAnsi="Arial"/>
                <w:noProof w:val="0"/>
                <w:color w:val="000000"/>
                <w:sz w:val="20"/>
                <w:szCs w:val="20"/>
              </w:rPr>
            </w:pPr>
            <w:r w:rsidRPr="003776C5">
              <w:rPr>
                <w:rFonts w:ascii="Arial" w:eastAsia="Calibri" w:hAnsi="Arial"/>
                <w:noProof w:val="0"/>
                <w:color w:val="000000"/>
                <w:sz w:val="20"/>
                <w:szCs w:val="20"/>
              </w:rPr>
              <w:t xml:space="preserve">If the lighting equipment includes means for control (e.g. dimming, colour), or is specified to drive multiple loads, then the measurement is made only at the control setting and the load of lamps that gives the maximum active input power. </w:t>
            </w:r>
          </w:p>
          <w:p w14:paraId="2E451991" w14:textId="77777777" w:rsidR="003776C5" w:rsidRPr="003776C5" w:rsidRDefault="003776C5" w:rsidP="003776C5">
            <w:pPr>
              <w:spacing w:after="0" w:line="240" w:lineRule="auto"/>
              <w:rPr>
                <w:rFonts w:ascii="Arial" w:eastAsia="Calibri" w:hAnsi="Arial"/>
                <w:noProof w:val="0"/>
                <w:color w:val="000000"/>
                <w:sz w:val="20"/>
                <w:szCs w:val="20"/>
              </w:rPr>
            </w:pPr>
          </w:p>
          <w:p w14:paraId="2BF28EFE" w14:textId="77777777" w:rsidR="003776C5" w:rsidRPr="003776C5" w:rsidRDefault="003776C5" w:rsidP="003776C5">
            <w:pPr>
              <w:spacing w:after="0" w:line="240" w:lineRule="auto"/>
              <w:rPr>
                <w:rFonts w:ascii="Arial" w:eastAsia="Calibri" w:hAnsi="Arial"/>
                <w:noProof w:val="0"/>
                <w:color w:val="000000"/>
                <w:sz w:val="20"/>
                <w:szCs w:val="20"/>
              </w:rPr>
            </w:pPr>
            <w:r w:rsidRPr="003776C5">
              <w:rPr>
                <w:rFonts w:ascii="Arial" w:eastAsia="Calibri" w:hAnsi="Arial"/>
                <w:noProof w:val="0"/>
                <w:color w:val="000000"/>
                <w:sz w:val="20"/>
                <w:szCs w:val="20"/>
              </w:rPr>
              <w:t>NOTE The preceding requirement is based on the assumption that, for lighting equipment using control other than phase control, the THC decreases when the input power is reduced.</w:t>
            </w:r>
          </w:p>
          <w:p w14:paraId="13646C69" w14:textId="77777777" w:rsidR="003776C5" w:rsidRPr="003776C5" w:rsidRDefault="003776C5" w:rsidP="003776C5">
            <w:pPr>
              <w:spacing w:after="0" w:line="240" w:lineRule="auto"/>
              <w:rPr>
                <w:rFonts w:ascii="Times New Roman" w:eastAsia="Calibri" w:hAnsi="Times New Roman"/>
                <w:noProof w:val="0"/>
                <w:sz w:val="24"/>
              </w:rPr>
            </w:pPr>
          </w:p>
          <w:p w14:paraId="0E9FAC39" w14:textId="77777777" w:rsidR="003776C5" w:rsidRPr="003776C5" w:rsidRDefault="003776C5" w:rsidP="003776C5">
            <w:pPr>
              <w:spacing w:after="0" w:line="240" w:lineRule="auto"/>
              <w:rPr>
                <w:rFonts w:ascii="Times New Roman" w:eastAsia="Calibri" w:hAnsi="Times New Roman"/>
                <w:noProof w:val="0"/>
                <w:sz w:val="24"/>
              </w:rPr>
            </w:pPr>
            <w:r w:rsidRPr="003776C5">
              <w:rPr>
                <w:rFonts w:ascii="Arial" w:eastAsia="Calibri" w:hAnsi="Arial"/>
                <w:noProof w:val="0"/>
                <w:color w:val="000000"/>
                <w:sz w:val="18"/>
                <w:szCs w:val="18"/>
              </w:rPr>
              <w:t>For lighting equipment containing a control module with an active input power ≤ 2 W, the contribution of the control module to the harmonic current of the lighting equipment is disregarded e.g. by testing the equipment with control module fed by a separate mains supply.</w:t>
            </w:r>
          </w:p>
          <w:p w14:paraId="1E9EC367" w14:textId="77777777" w:rsidR="003776C5" w:rsidRPr="003776C5" w:rsidRDefault="003776C5" w:rsidP="003776C5">
            <w:pPr>
              <w:spacing w:after="240" w:line="240" w:lineRule="auto"/>
              <w:ind w:left="2589" w:hanging="2589"/>
              <w:rPr>
                <w:rFonts w:ascii="Calibri" w:eastAsia="Times New Roman" w:hAnsi="Calibri"/>
                <w:noProof w:val="0"/>
                <w:color w:val="000000"/>
                <w:sz w:val="22"/>
                <w:szCs w:val="22"/>
                <w:lang w:eastAsia="en-AU"/>
              </w:rPr>
            </w:pPr>
          </w:p>
          <w:p w14:paraId="4BBAFED7" w14:textId="77777777" w:rsidR="003776C5" w:rsidRPr="003776C5" w:rsidRDefault="003776C5" w:rsidP="003776C5">
            <w:pPr>
              <w:spacing w:after="240" w:line="240" w:lineRule="auto"/>
              <w:ind w:left="2589" w:hanging="2589"/>
              <w:rPr>
                <w:rFonts w:ascii="Calibri" w:eastAsia="Calibri" w:hAnsi="Calibri"/>
                <w:noProof w:val="0"/>
                <w:color w:val="000000"/>
                <w:sz w:val="22"/>
                <w:szCs w:val="22"/>
              </w:rPr>
            </w:pPr>
            <w:r w:rsidRPr="003776C5">
              <w:rPr>
                <w:rFonts w:ascii="Calibri" w:eastAsia="Calibri" w:hAnsi="Calibri"/>
                <w:noProof w:val="0"/>
                <w:color w:val="000000"/>
                <w:sz w:val="22"/>
                <w:szCs w:val="22"/>
              </w:rPr>
              <w:t>For products &gt;25W</w:t>
            </w:r>
            <w:r w:rsidRPr="003776C5">
              <w:rPr>
                <w:rFonts w:ascii="Calibri" w:eastAsia="Calibri" w:hAnsi="Calibri"/>
                <w:noProof w:val="0"/>
                <w:color w:val="000000"/>
                <w:sz w:val="22"/>
                <w:szCs w:val="22"/>
                <w:vertAlign w:val="superscript"/>
              </w:rPr>
              <w:footnoteReference w:id="43"/>
            </w:r>
            <w:r w:rsidRPr="003776C5">
              <w:rPr>
                <w:rFonts w:ascii="Calibri" w:eastAsia="Calibri" w:hAnsi="Calibri"/>
                <w:noProof w:val="0"/>
                <w:color w:val="000000"/>
                <w:sz w:val="22"/>
                <w:szCs w:val="22"/>
              </w:rPr>
              <w:t>:</w:t>
            </w:r>
          </w:p>
          <w:p w14:paraId="5FCF4F53" w14:textId="77777777" w:rsidR="003776C5" w:rsidRPr="003776C5" w:rsidRDefault="003776C5" w:rsidP="003776C5">
            <w:pPr>
              <w:spacing w:after="240" w:line="240" w:lineRule="auto"/>
              <w:ind w:left="2589" w:hanging="2589"/>
              <w:jc w:val="center"/>
              <w:rPr>
                <w:rFonts w:ascii="Calibri" w:eastAsia="Calibri" w:hAnsi="Calibri"/>
                <w:noProof w:val="0"/>
                <w:sz w:val="22"/>
                <w:szCs w:val="22"/>
              </w:rPr>
            </w:pPr>
            <w:r w:rsidRPr="003776C5">
              <w:rPr>
                <w:rFonts w:ascii="Calibri" w:eastAsia="Calibri" w:hAnsi="Calibri"/>
                <w:color w:val="000000"/>
                <w:sz w:val="22"/>
                <w:szCs w:val="22"/>
                <w:lang w:eastAsia="en-AU"/>
              </w:rPr>
              <w:drawing>
                <wp:inline distT="0" distB="0" distL="0" distR="0" wp14:anchorId="089F0F97" wp14:editId="5925D56B">
                  <wp:extent cx="2609850" cy="1589405"/>
                  <wp:effectExtent l="0" t="0" r="0" b="0"/>
                  <wp:docPr id="38" name="Picture 38" descr="Maximum Permissable Harmonic Current For Products &gt;25W for harmonic orders from N=2 " title="Table of Maximum Permissable Harmonic Current For Products &gt;25W "/>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rotWithShape="1">
                          <a:blip r:embed="rId61">
                            <a:extLst>
                              <a:ext uri="{28A0092B-C50C-407E-A947-70E740481C1C}">
                                <a14:useLocalDpi xmlns:a14="http://schemas.microsoft.com/office/drawing/2010/main" val="0"/>
                              </a:ext>
                            </a:extLst>
                          </a:blip>
                          <a:srcRect l="1761" t="2909" r="1761"/>
                          <a:stretch/>
                        </pic:blipFill>
                        <pic:spPr bwMode="auto">
                          <a:xfrm>
                            <a:off x="0" y="0"/>
                            <a:ext cx="2609850" cy="1589405"/>
                          </a:xfrm>
                          <a:prstGeom prst="rect">
                            <a:avLst/>
                          </a:prstGeom>
                          <a:ln>
                            <a:noFill/>
                          </a:ln>
                          <a:extLst>
                            <a:ext uri="{53640926-AAD7-44D8-BBD7-CCE9431645EC}">
                              <a14:shadowObscured xmlns:a14="http://schemas.microsoft.com/office/drawing/2010/main"/>
                            </a:ext>
                          </a:extLst>
                        </pic:spPr>
                      </pic:pic>
                    </a:graphicData>
                  </a:graphic>
                </wp:inline>
              </w:drawing>
            </w:r>
          </w:p>
          <w:p w14:paraId="2F231F76" w14:textId="77777777" w:rsidR="003776C5" w:rsidRPr="003776C5" w:rsidRDefault="003776C5" w:rsidP="003776C5">
            <w:pPr>
              <w:spacing w:after="0" w:line="240" w:lineRule="auto"/>
              <w:rPr>
                <w:rFonts w:ascii="Arial" w:eastAsia="Calibri" w:hAnsi="Arial"/>
                <w:noProof w:val="0"/>
                <w:color w:val="000000"/>
                <w:sz w:val="20"/>
                <w:szCs w:val="20"/>
              </w:rPr>
            </w:pPr>
          </w:p>
          <w:p w14:paraId="717AB274" w14:textId="77777777" w:rsidR="003776C5" w:rsidRPr="003776C5" w:rsidRDefault="003776C5" w:rsidP="003776C5">
            <w:pPr>
              <w:spacing w:after="0" w:line="240" w:lineRule="auto"/>
              <w:rPr>
                <w:rFonts w:ascii="Calibri" w:eastAsia="Times New Roman" w:hAnsi="Calibri"/>
                <w:i/>
                <w:noProof w:val="0"/>
                <w:color w:val="000000"/>
                <w:sz w:val="22"/>
                <w:szCs w:val="22"/>
                <w:lang w:eastAsia="en-AU"/>
              </w:rPr>
            </w:pPr>
            <w:r w:rsidRPr="003776C5">
              <w:rPr>
                <w:rFonts w:ascii="Calibri" w:eastAsia="Times New Roman" w:hAnsi="Calibri"/>
                <w:i/>
                <w:noProof w:val="0"/>
                <w:color w:val="000000"/>
                <w:sz w:val="22"/>
                <w:szCs w:val="22"/>
                <w:lang w:eastAsia="en-AU"/>
              </w:rPr>
              <w:t>{text below is pending final approval of amendment to 61000-3-2}</w:t>
            </w:r>
          </w:p>
          <w:p w14:paraId="0B1CFC03"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71FCB9E8" w14:textId="77777777" w:rsidR="003776C5" w:rsidRPr="003776C5" w:rsidRDefault="003776C5" w:rsidP="003776C5">
            <w:pPr>
              <w:spacing w:after="0" w:line="240" w:lineRule="auto"/>
              <w:rPr>
                <w:rFonts w:ascii="Times New Roman" w:eastAsia="Calibri" w:hAnsi="Times New Roman"/>
                <w:noProof w:val="0"/>
                <w:sz w:val="24"/>
              </w:rPr>
            </w:pPr>
            <w:r w:rsidRPr="003776C5">
              <w:rPr>
                <w:rFonts w:ascii="Arial" w:eastAsia="Calibri" w:hAnsi="Arial"/>
                <w:noProof w:val="0"/>
                <w:color w:val="000000"/>
                <w:sz w:val="20"/>
                <w:szCs w:val="20"/>
              </w:rPr>
              <w:t xml:space="preserve">For the other types of lighting equipment that includes means for control (e.g. dimming, colour), the following conditions apply: </w:t>
            </w:r>
          </w:p>
          <w:p w14:paraId="0774E9AD" w14:textId="77777777" w:rsidR="003776C5" w:rsidRPr="003776C5" w:rsidRDefault="003776C5" w:rsidP="003776C5">
            <w:pPr>
              <w:numPr>
                <w:ilvl w:val="0"/>
                <w:numId w:val="26"/>
              </w:numPr>
              <w:spacing w:after="0" w:line="240" w:lineRule="auto"/>
              <w:rPr>
                <w:rFonts w:ascii="Times New Roman" w:eastAsia="Calibri" w:hAnsi="Times New Roman"/>
                <w:noProof w:val="0"/>
                <w:sz w:val="24"/>
              </w:rPr>
            </w:pPr>
            <w:r w:rsidRPr="003776C5">
              <w:rPr>
                <w:rFonts w:ascii="Arial" w:eastAsia="Calibri" w:hAnsi="Arial"/>
                <w:noProof w:val="0"/>
                <w:color w:val="000000"/>
                <w:sz w:val="20"/>
                <w:szCs w:val="20"/>
              </w:rPr>
              <w:t xml:space="preserve">the harmonic current values for the maximum active input power condition derived from the percentage limits given in Table 2 shall not be exceeded; </w:t>
            </w:r>
          </w:p>
          <w:p w14:paraId="2B355702" w14:textId="77777777" w:rsidR="003776C5" w:rsidRPr="003776C5" w:rsidRDefault="003776C5" w:rsidP="003776C5">
            <w:pPr>
              <w:numPr>
                <w:ilvl w:val="0"/>
                <w:numId w:val="26"/>
              </w:numPr>
              <w:spacing w:after="0" w:line="240" w:lineRule="auto"/>
              <w:rPr>
                <w:rFonts w:ascii="Times New Roman" w:eastAsia="Calibri" w:hAnsi="Times New Roman"/>
                <w:noProof w:val="0"/>
                <w:sz w:val="24"/>
              </w:rPr>
            </w:pPr>
            <w:r w:rsidRPr="003776C5">
              <w:rPr>
                <w:rFonts w:ascii="Arial" w:eastAsia="Calibri" w:hAnsi="Arial"/>
                <w:noProof w:val="0"/>
                <w:color w:val="000000"/>
                <w:sz w:val="20"/>
                <w:szCs w:val="20"/>
              </w:rPr>
              <w:t>at control settings leading to an active input power less than the maximum input power condition, the harmonic currents shall not exceed the limits based on the maximum active input power of:</w:t>
            </w:r>
          </w:p>
          <w:p w14:paraId="3857B44E" w14:textId="77777777" w:rsidR="003776C5" w:rsidRPr="003776C5" w:rsidRDefault="003776C5" w:rsidP="003776C5">
            <w:pPr>
              <w:numPr>
                <w:ilvl w:val="1"/>
                <w:numId w:val="26"/>
              </w:numPr>
              <w:spacing w:after="0" w:line="240" w:lineRule="auto"/>
              <w:rPr>
                <w:rFonts w:ascii="Arial" w:eastAsia="Calibri" w:hAnsi="Arial"/>
                <w:noProof w:val="0"/>
                <w:color w:val="000000"/>
                <w:sz w:val="20"/>
                <w:szCs w:val="20"/>
              </w:rPr>
            </w:pPr>
            <w:r w:rsidRPr="003776C5">
              <w:rPr>
                <w:rFonts w:ascii="Arial" w:eastAsia="Calibri" w:hAnsi="Arial"/>
                <w:noProof w:val="0"/>
                <w:color w:val="000000"/>
                <w:sz w:val="20"/>
                <w:szCs w:val="20"/>
              </w:rPr>
              <w:t>below 50W: no limits below 5 W;</w:t>
            </w:r>
          </w:p>
          <w:p w14:paraId="17ACE03E" w14:textId="77777777" w:rsidR="003776C5" w:rsidRPr="003776C5" w:rsidRDefault="003776C5" w:rsidP="003776C5">
            <w:pPr>
              <w:numPr>
                <w:ilvl w:val="1"/>
                <w:numId w:val="26"/>
              </w:numPr>
              <w:spacing w:after="0" w:line="240" w:lineRule="auto"/>
              <w:rPr>
                <w:rFonts w:ascii="Arial" w:eastAsia="Calibri" w:hAnsi="Arial"/>
                <w:noProof w:val="0"/>
                <w:color w:val="000000"/>
                <w:sz w:val="20"/>
                <w:szCs w:val="20"/>
              </w:rPr>
            </w:pPr>
            <w:r w:rsidRPr="003776C5">
              <w:rPr>
                <w:rFonts w:ascii="Arial" w:eastAsia="Calibri" w:hAnsi="Arial"/>
                <w:noProof w:val="0"/>
                <w:color w:val="000000"/>
                <w:sz w:val="20"/>
                <w:szCs w:val="20"/>
              </w:rPr>
              <w:t xml:space="preserve">50 W - 250 W: no limits below 10% of maximum active input power; </w:t>
            </w:r>
          </w:p>
          <w:p w14:paraId="5E235E13" w14:textId="77777777" w:rsidR="003776C5" w:rsidRPr="003776C5" w:rsidRDefault="003776C5" w:rsidP="003776C5">
            <w:pPr>
              <w:numPr>
                <w:ilvl w:val="1"/>
                <w:numId w:val="26"/>
              </w:numPr>
              <w:spacing w:after="0" w:line="240" w:lineRule="auto"/>
              <w:rPr>
                <w:rFonts w:ascii="Arial" w:eastAsia="Calibri" w:hAnsi="Arial"/>
                <w:noProof w:val="0"/>
                <w:color w:val="000000"/>
                <w:sz w:val="20"/>
                <w:szCs w:val="20"/>
              </w:rPr>
            </w:pPr>
            <w:r w:rsidRPr="003776C5">
              <w:rPr>
                <w:rFonts w:ascii="Arial" w:eastAsia="Calibri" w:hAnsi="Arial"/>
                <w:noProof w:val="0"/>
                <w:color w:val="000000"/>
                <w:sz w:val="20"/>
                <w:szCs w:val="20"/>
              </w:rPr>
              <w:t>above 250 W: no limits below 25 W.</w:t>
            </w:r>
          </w:p>
          <w:p w14:paraId="0DDCD78C" w14:textId="77777777" w:rsidR="003776C5" w:rsidRPr="003776C5" w:rsidRDefault="003776C5" w:rsidP="003776C5">
            <w:pPr>
              <w:spacing w:after="240" w:line="240" w:lineRule="auto"/>
              <w:rPr>
                <w:rFonts w:ascii="Calibri" w:eastAsia="Calibri" w:hAnsi="Calibri"/>
                <w:noProof w:val="0"/>
                <w:color w:val="000000"/>
                <w:sz w:val="24"/>
              </w:rPr>
            </w:pPr>
          </w:p>
        </w:tc>
        <w:tc>
          <w:tcPr>
            <w:tcW w:w="1134" w:type="dxa"/>
            <w:hideMark/>
          </w:tcPr>
          <w:p w14:paraId="6C45C4C3"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4B9A61C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1 </w:t>
            </w:r>
          </w:p>
        </w:tc>
        <w:tc>
          <w:tcPr>
            <w:tcW w:w="1843" w:type="dxa"/>
            <w:hideMark/>
          </w:tcPr>
          <w:p w14:paraId="7CA6E423"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298B1DC9"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Comply with the requirements of IEC61000-3-2</w:t>
            </w:r>
          </w:p>
        </w:tc>
        <w:tc>
          <w:tcPr>
            <w:tcW w:w="1701" w:type="dxa"/>
          </w:tcPr>
          <w:p w14:paraId="5902604A"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4B34E088"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highlight w:val="yellow"/>
                <w:lang w:eastAsia="en-AU"/>
              </w:rPr>
              <w:t>IEC 61000-4-7</w:t>
            </w:r>
          </w:p>
          <w:p w14:paraId="46969F97" w14:textId="77777777" w:rsidR="003776C5" w:rsidRPr="003776C5" w:rsidRDefault="003776C5" w:rsidP="003776C5">
            <w:pPr>
              <w:spacing w:after="240" w:line="240" w:lineRule="auto"/>
              <w:rPr>
                <w:rFonts w:ascii="Calibri" w:eastAsia="Times New Roman" w:hAnsi="Calibri"/>
                <w:noProof w:val="0"/>
                <w:color w:val="000000"/>
                <w:sz w:val="22"/>
                <w:szCs w:val="22"/>
                <w:highlight w:val="lightGray"/>
                <w:lang w:eastAsia="en-AU"/>
              </w:rPr>
            </w:pPr>
            <w:r w:rsidRPr="003776C5">
              <w:rPr>
                <w:rFonts w:ascii="Calibri" w:eastAsia="Times New Roman" w:hAnsi="Calibri"/>
                <w:noProof w:val="0"/>
                <w:color w:val="000000"/>
                <w:sz w:val="22"/>
                <w:szCs w:val="22"/>
                <w:lang w:eastAsia="en-AU"/>
              </w:rPr>
              <w:t xml:space="preserve">Test data may be sourced from control gear manufacturer  </w:t>
            </w:r>
          </w:p>
        </w:tc>
      </w:tr>
      <w:tr w:rsidR="003776C5" w:rsidRPr="003776C5" w14:paraId="499031AF" w14:textId="77777777" w:rsidTr="003776C5">
        <w:trPr>
          <w:trHeight w:val="270"/>
        </w:trPr>
        <w:tc>
          <w:tcPr>
            <w:tcW w:w="454" w:type="dxa"/>
            <w:shd w:val="clear" w:color="auto" w:fill="C6D9F1"/>
          </w:tcPr>
          <w:p w14:paraId="7DA6F1FE"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p>
        </w:tc>
        <w:tc>
          <w:tcPr>
            <w:tcW w:w="15026" w:type="dxa"/>
            <w:gridSpan w:val="10"/>
            <w:shd w:val="clear" w:color="auto" w:fill="C6D9F1"/>
          </w:tcPr>
          <w:p w14:paraId="089EA798"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Health</w:t>
            </w:r>
          </w:p>
        </w:tc>
      </w:tr>
      <w:tr w:rsidR="003776C5" w:rsidRPr="003776C5" w14:paraId="15581F4D" w14:textId="77777777" w:rsidTr="006B00C9">
        <w:trPr>
          <w:trHeight w:val="699"/>
        </w:trPr>
        <w:tc>
          <w:tcPr>
            <w:tcW w:w="454" w:type="dxa"/>
            <w:shd w:val="clear" w:color="auto" w:fill="7030A0"/>
          </w:tcPr>
          <w:p w14:paraId="3BCEDAA5"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17</w:t>
            </w:r>
          </w:p>
        </w:tc>
        <w:tc>
          <w:tcPr>
            <w:tcW w:w="1668" w:type="dxa"/>
          </w:tcPr>
          <w:p w14:paraId="09A6BE24"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5CD92885"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Photo biological Safety</w:t>
            </w:r>
          </w:p>
        </w:tc>
        <w:tc>
          <w:tcPr>
            <w:tcW w:w="8680" w:type="dxa"/>
            <w:gridSpan w:val="6"/>
            <w:noWrap/>
          </w:tcPr>
          <w:p w14:paraId="11F44E1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646363D3" w14:textId="49A4002F"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Blue Light &amp; UV hazards shall be either RG0 or RG1 unlimited</w:t>
            </w:r>
          </w:p>
          <w:p w14:paraId="53F96F57"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233146B5"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(UV hazard test not required if the light source does not contain a UV LED chip)</w:t>
            </w:r>
          </w:p>
          <w:p w14:paraId="34724906"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1F6838A8" w14:textId="77777777" w:rsidR="003776C5" w:rsidRPr="003776C5" w:rsidRDefault="003776C5" w:rsidP="003776C5">
            <w:pPr>
              <w:spacing w:after="0" w:line="240" w:lineRule="auto"/>
              <w:rPr>
                <w:rFonts w:ascii="Calibri" w:eastAsia="Calibri" w:hAnsi="Calibri"/>
                <w:noProof w:val="0"/>
                <w:color w:val="000000"/>
                <w:sz w:val="22"/>
                <w:szCs w:val="22"/>
              </w:rPr>
            </w:pPr>
          </w:p>
        </w:tc>
        <w:tc>
          <w:tcPr>
            <w:tcW w:w="1134" w:type="dxa"/>
          </w:tcPr>
          <w:p w14:paraId="7C5257D3"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7E002ED6"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1</w:t>
            </w:r>
          </w:p>
        </w:tc>
        <w:tc>
          <w:tcPr>
            <w:tcW w:w="1843" w:type="dxa"/>
          </w:tcPr>
          <w:p w14:paraId="6811CB3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0DAEDAF9"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Satisfy conditions of the test method.</w:t>
            </w:r>
          </w:p>
          <w:p w14:paraId="081346F2"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tc>
        <w:tc>
          <w:tcPr>
            <w:tcW w:w="1701" w:type="dxa"/>
          </w:tcPr>
          <w:p w14:paraId="66956623"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0C7C3DB6" w14:textId="77777777" w:rsidR="003776C5" w:rsidRPr="003776C5" w:rsidRDefault="003776C5" w:rsidP="003776C5">
            <w:pPr>
              <w:spacing w:after="0" w:line="240" w:lineRule="auto"/>
              <w:rPr>
                <w:rFonts w:ascii="Calibri" w:eastAsia="Times New Roman" w:hAnsi="Calibri"/>
                <w:noProof w:val="0"/>
                <w:color w:val="000000"/>
                <w:sz w:val="22"/>
                <w:szCs w:val="22"/>
                <w:highlight w:val="lightGray"/>
                <w:lang w:eastAsia="en-AU"/>
              </w:rPr>
            </w:pPr>
            <w:r w:rsidRPr="003776C5">
              <w:rPr>
                <w:rFonts w:ascii="Calibri" w:eastAsia="Times New Roman" w:hAnsi="Calibri"/>
                <w:noProof w:val="0"/>
                <w:color w:val="000000"/>
                <w:sz w:val="22"/>
                <w:szCs w:val="22"/>
                <w:lang w:eastAsia="en-AU"/>
              </w:rPr>
              <w:t>IEC 62471 / CIE S009</w:t>
            </w:r>
          </w:p>
        </w:tc>
      </w:tr>
      <w:tr w:rsidR="003776C5" w:rsidRPr="003776C5" w14:paraId="74ECA828" w14:textId="77777777" w:rsidTr="006B00C9">
        <w:trPr>
          <w:trHeight w:val="632"/>
        </w:trPr>
        <w:tc>
          <w:tcPr>
            <w:tcW w:w="454" w:type="dxa"/>
            <w:shd w:val="clear" w:color="auto" w:fill="7030A0"/>
          </w:tcPr>
          <w:p w14:paraId="70B57894"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18</w:t>
            </w:r>
          </w:p>
        </w:tc>
        <w:tc>
          <w:tcPr>
            <w:tcW w:w="1668" w:type="dxa"/>
            <w:hideMark/>
          </w:tcPr>
          <w:p w14:paraId="7CDFBB06"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2E16DFB9"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Dominant light modulation frequency (f) Modulation percent at this frequency (Mod%) </w:t>
            </w:r>
            <w:r w:rsidRPr="003776C5">
              <w:rPr>
                <w:rFonts w:ascii="Calibri" w:eastAsia="Times New Roman" w:hAnsi="Calibri"/>
                <w:noProof w:val="0"/>
                <w:color w:val="000000"/>
                <w:sz w:val="22"/>
                <w:szCs w:val="22"/>
                <w:vertAlign w:val="superscript"/>
                <w:lang w:eastAsia="en-AU"/>
              </w:rPr>
              <w:footnoteReference w:id="44"/>
            </w:r>
          </w:p>
          <w:p w14:paraId="3E91908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71616599"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(Includes Flicker effects)</w:t>
            </w:r>
          </w:p>
        </w:tc>
        <w:tc>
          <w:tcPr>
            <w:tcW w:w="8680" w:type="dxa"/>
            <w:gridSpan w:val="6"/>
            <w:noWrap/>
            <w:hideMark/>
          </w:tcPr>
          <w:p w14:paraId="40839C63" w14:textId="77777777" w:rsidR="003776C5" w:rsidRPr="003776C5" w:rsidRDefault="003776C5" w:rsidP="003776C5">
            <w:pPr>
              <w:spacing w:after="0" w:line="240" w:lineRule="auto"/>
              <w:rPr>
                <w:rFonts w:ascii="Calibri" w:eastAsia="Calibri" w:hAnsi="Calibri"/>
                <w:noProof w:val="0"/>
                <w:sz w:val="22"/>
                <w:szCs w:val="22"/>
              </w:rPr>
            </w:pPr>
          </w:p>
          <w:p w14:paraId="057D3432" w14:textId="7347FB29" w:rsidR="003776C5" w:rsidRPr="003776C5" w:rsidRDefault="003776C5" w:rsidP="003776C5">
            <w:pPr>
              <w:spacing w:after="0" w:line="240" w:lineRule="auto"/>
              <w:rPr>
                <w:rFonts w:ascii="Calibri" w:eastAsia="Calibri" w:hAnsi="Calibri"/>
                <w:noProof w:val="0"/>
                <w:sz w:val="22"/>
                <w:szCs w:val="22"/>
              </w:rPr>
            </w:pPr>
            <w:r w:rsidRPr="003776C5">
              <w:rPr>
                <w:rFonts w:ascii="Calibri" w:eastAsia="Calibri" w:hAnsi="Calibri"/>
                <w:noProof w:val="0"/>
                <w:sz w:val="22"/>
                <w:szCs w:val="22"/>
              </w:rPr>
              <w:t xml:space="preserve">Maximum flicker modulation at the dominant modulation frequency </w:t>
            </w:r>
            <w:r w:rsidRPr="003776C5">
              <w:rPr>
                <w:rFonts w:ascii="Calibri" w:eastAsia="Calibri" w:hAnsi="Calibri"/>
                <w:noProof w:val="0"/>
                <w:sz w:val="22"/>
                <w:szCs w:val="22"/>
                <w:vertAlign w:val="superscript"/>
              </w:rPr>
              <w:footnoteReference w:id="45"/>
            </w:r>
            <w:r w:rsidR="0010791E">
              <w:rPr>
                <w:rFonts w:ascii="Calibri" w:eastAsia="Calibri" w:hAnsi="Calibri"/>
                <w:noProof w:val="0"/>
                <w:sz w:val="22"/>
                <w:szCs w:val="22"/>
              </w:rPr>
              <w:t>&lt; 30%</w:t>
            </w:r>
          </w:p>
          <w:p w14:paraId="2F480B73"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tc>
        <w:tc>
          <w:tcPr>
            <w:tcW w:w="1134" w:type="dxa"/>
            <w:hideMark/>
          </w:tcPr>
          <w:p w14:paraId="79EC17D6"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715B5D82"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1 </w:t>
            </w:r>
          </w:p>
        </w:tc>
        <w:tc>
          <w:tcPr>
            <w:tcW w:w="1843" w:type="dxa"/>
            <w:hideMark/>
          </w:tcPr>
          <w:p w14:paraId="591F2C4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1BF36B5A"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Satisfy conditions of the test method.</w:t>
            </w:r>
          </w:p>
        </w:tc>
        <w:tc>
          <w:tcPr>
            <w:tcW w:w="1701" w:type="dxa"/>
          </w:tcPr>
          <w:p w14:paraId="646A2C5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58330A59"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highlight w:val="yellow"/>
                <w:lang w:eastAsia="en-AU"/>
              </w:rPr>
              <w:t>IEEE 1789</w:t>
            </w:r>
            <w:r w:rsidRPr="003776C5">
              <w:rPr>
                <w:rFonts w:ascii="Calibri" w:eastAsia="Times New Roman" w:hAnsi="Calibri"/>
                <w:noProof w:val="0"/>
                <w:color w:val="000000"/>
                <w:sz w:val="22"/>
                <w:szCs w:val="22"/>
                <w:lang w:eastAsia="en-AU"/>
              </w:rPr>
              <w:t xml:space="preserve"> </w:t>
            </w:r>
          </w:p>
          <w:p w14:paraId="3920D9E4"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(or other specified in Determination)</w:t>
            </w:r>
          </w:p>
          <w:p w14:paraId="3C53C656" w14:textId="77777777" w:rsidR="003776C5" w:rsidRPr="003776C5" w:rsidRDefault="003776C5" w:rsidP="003776C5">
            <w:pPr>
              <w:spacing w:after="240" w:line="240" w:lineRule="auto"/>
              <w:rPr>
                <w:rFonts w:ascii="Calibri" w:eastAsia="Times New Roman" w:hAnsi="Calibri"/>
                <w:noProof w:val="0"/>
                <w:color w:val="000000"/>
                <w:sz w:val="22"/>
                <w:szCs w:val="22"/>
                <w:highlight w:val="lightGray"/>
                <w:lang w:eastAsia="en-AU"/>
              </w:rPr>
            </w:pPr>
          </w:p>
        </w:tc>
      </w:tr>
      <w:tr w:rsidR="003776C5" w:rsidRPr="003776C5" w14:paraId="0226A2FA" w14:textId="77777777" w:rsidTr="003776C5">
        <w:trPr>
          <w:trHeight w:val="270"/>
        </w:trPr>
        <w:tc>
          <w:tcPr>
            <w:tcW w:w="454" w:type="dxa"/>
            <w:shd w:val="clear" w:color="auto" w:fill="EAF1DD"/>
          </w:tcPr>
          <w:p w14:paraId="35FBFB58"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p>
        </w:tc>
        <w:tc>
          <w:tcPr>
            <w:tcW w:w="15026" w:type="dxa"/>
            <w:gridSpan w:val="10"/>
            <w:shd w:val="clear" w:color="auto" w:fill="EAF1DD"/>
          </w:tcPr>
          <w:p w14:paraId="1EE63FB4"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Smart Luminaires ONLY - Energy conservation</w:t>
            </w:r>
          </w:p>
        </w:tc>
      </w:tr>
      <w:tr w:rsidR="003776C5" w:rsidRPr="003776C5" w14:paraId="7983B57E" w14:textId="77777777" w:rsidTr="006B00C9">
        <w:trPr>
          <w:trHeight w:val="730"/>
        </w:trPr>
        <w:tc>
          <w:tcPr>
            <w:tcW w:w="454" w:type="dxa"/>
          </w:tcPr>
          <w:p w14:paraId="1F470858"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5</w:t>
            </w:r>
          </w:p>
        </w:tc>
        <w:tc>
          <w:tcPr>
            <w:tcW w:w="1668" w:type="dxa"/>
            <w:hideMark/>
          </w:tcPr>
          <w:p w14:paraId="0317E24E"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465175A5"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Standby Power</w:t>
            </w:r>
          </w:p>
          <w:p w14:paraId="3E1B1455"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2FE7E61C"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(For luminaires with Standby mode only)</w:t>
            </w:r>
          </w:p>
        </w:tc>
        <w:tc>
          <w:tcPr>
            <w:tcW w:w="2868" w:type="dxa"/>
            <w:noWrap/>
            <w:hideMark/>
          </w:tcPr>
          <w:p w14:paraId="6E7382D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606FFEB9"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P</w:t>
            </w:r>
            <w:r w:rsidRPr="003776C5">
              <w:rPr>
                <w:rFonts w:ascii="Calibri" w:eastAsia="Times New Roman" w:hAnsi="Calibri"/>
                <w:noProof w:val="0"/>
                <w:color w:val="000000"/>
                <w:sz w:val="22"/>
                <w:szCs w:val="22"/>
                <w:vertAlign w:val="subscript"/>
                <w:lang w:eastAsia="en-AU"/>
              </w:rPr>
              <w:t>STANDBY</w:t>
            </w:r>
            <w:r w:rsidRPr="003776C5">
              <w:rPr>
                <w:rFonts w:ascii="Calibri" w:eastAsia="Times New Roman" w:hAnsi="Calibri"/>
                <w:noProof w:val="0"/>
                <w:color w:val="000000"/>
                <w:sz w:val="22"/>
                <w:szCs w:val="22"/>
                <w:lang w:eastAsia="en-AU"/>
              </w:rPr>
              <w:t>/P</w:t>
            </w:r>
            <w:r w:rsidRPr="003776C5">
              <w:rPr>
                <w:rFonts w:ascii="Calibri" w:eastAsia="Times New Roman" w:hAnsi="Calibri"/>
                <w:noProof w:val="0"/>
                <w:color w:val="000000"/>
                <w:sz w:val="22"/>
                <w:szCs w:val="22"/>
                <w:vertAlign w:val="subscript"/>
                <w:lang w:eastAsia="en-AU"/>
              </w:rPr>
              <w:t>ON</w:t>
            </w:r>
            <w:r w:rsidRPr="003776C5">
              <w:rPr>
                <w:rFonts w:ascii="Calibri" w:eastAsia="Times New Roman" w:hAnsi="Calibri"/>
                <w:noProof w:val="0"/>
                <w:color w:val="000000"/>
                <w:sz w:val="22"/>
                <w:szCs w:val="22"/>
                <w:lang w:eastAsia="en-AU"/>
              </w:rPr>
              <w:t xml:space="preserve"> ≤ 5% capped at:</w:t>
            </w:r>
          </w:p>
          <w:p w14:paraId="438BE017"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&lt; 0.5W</w:t>
            </w:r>
          </w:p>
          <w:p w14:paraId="6820A6DF"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&lt; 0.3W (2023)</w:t>
            </w:r>
          </w:p>
        </w:tc>
        <w:tc>
          <w:tcPr>
            <w:tcW w:w="5812" w:type="dxa"/>
            <w:gridSpan w:val="5"/>
          </w:tcPr>
          <w:p w14:paraId="47AEB505"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14634BE6"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ab/>
            </w:r>
            <w:r w:rsidRPr="003776C5">
              <w:rPr>
                <w:rFonts w:ascii="Calibri" w:eastAsia="Times New Roman" w:hAnsi="Calibri"/>
                <w:noProof w:val="0"/>
                <w:color w:val="000000"/>
                <w:sz w:val="22"/>
                <w:szCs w:val="22"/>
                <w:lang w:eastAsia="en-AU"/>
              </w:rPr>
              <w:tab/>
            </w:r>
            <w:r w:rsidRPr="003776C5">
              <w:rPr>
                <w:rFonts w:ascii="Calibri" w:eastAsia="Times New Roman" w:hAnsi="Calibri"/>
                <w:noProof w:val="0"/>
                <w:color w:val="000000"/>
                <w:sz w:val="22"/>
                <w:szCs w:val="22"/>
                <w:lang w:eastAsia="en-AU"/>
              </w:rPr>
              <w:tab/>
              <w:t>&lt; 0.1.1W</w:t>
            </w:r>
            <w:r w:rsidRPr="003776C5">
              <w:rPr>
                <w:rFonts w:ascii="Calibri" w:eastAsia="Times New Roman" w:hAnsi="Calibri"/>
                <w:noProof w:val="0"/>
                <w:color w:val="000000"/>
                <w:sz w:val="22"/>
                <w:szCs w:val="22"/>
                <w:lang w:eastAsia="en-AU"/>
              </w:rPr>
              <w:br/>
            </w:r>
            <w:r w:rsidRPr="003776C5">
              <w:rPr>
                <w:rFonts w:ascii="Calibri" w:eastAsia="Times New Roman" w:hAnsi="Calibri"/>
                <w:noProof w:val="0"/>
                <w:color w:val="000000"/>
                <w:sz w:val="22"/>
                <w:szCs w:val="22"/>
                <w:lang w:eastAsia="en-AU"/>
              </w:rPr>
              <w:tab/>
            </w:r>
            <w:r w:rsidRPr="003776C5">
              <w:rPr>
                <w:rFonts w:ascii="Calibri" w:eastAsia="Times New Roman" w:hAnsi="Calibri"/>
                <w:noProof w:val="0"/>
                <w:color w:val="000000"/>
                <w:sz w:val="22"/>
                <w:szCs w:val="22"/>
                <w:lang w:eastAsia="en-AU"/>
              </w:rPr>
              <w:tab/>
            </w:r>
            <w:r w:rsidRPr="003776C5">
              <w:rPr>
                <w:rFonts w:ascii="Calibri" w:eastAsia="Times New Roman" w:hAnsi="Calibri"/>
                <w:noProof w:val="0"/>
                <w:color w:val="000000"/>
                <w:sz w:val="22"/>
                <w:szCs w:val="22"/>
                <w:lang w:eastAsia="en-AU"/>
              </w:rPr>
              <w:tab/>
              <w:t>&lt; 0.0.5W (2023)</w:t>
            </w:r>
          </w:p>
          <w:p w14:paraId="40636A2E"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40ED4652"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Note: Where only 1 standby product/parameter is applicable, e.g. DALI, then test data from control gear/module may be used. Where a luminaire incorporates more than standby product/parameter, e.g. DALI and sensor, luminaire is to be measured.</w:t>
            </w:r>
          </w:p>
        </w:tc>
        <w:tc>
          <w:tcPr>
            <w:tcW w:w="1134" w:type="dxa"/>
            <w:hideMark/>
          </w:tcPr>
          <w:p w14:paraId="69AF88EF"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0E252E2A"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1</w:t>
            </w:r>
          </w:p>
          <w:p w14:paraId="4368C5F8"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257F843A"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tc>
        <w:tc>
          <w:tcPr>
            <w:tcW w:w="1843" w:type="dxa"/>
            <w:hideMark/>
          </w:tcPr>
          <w:p w14:paraId="28006356"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31EFB1E9"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value specified</w:t>
            </w:r>
          </w:p>
          <w:p w14:paraId="5388FF0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49AD7388"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To be tested as supplied for sale (additional functionality may be supplied not activated) with latest firmware updates.  See also smart lamp criteria.</w:t>
            </w:r>
          </w:p>
        </w:tc>
        <w:tc>
          <w:tcPr>
            <w:tcW w:w="1701" w:type="dxa"/>
          </w:tcPr>
          <w:p w14:paraId="1E361222"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1B626125"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AS/NZS IEC 62301</w:t>
            </w:r>
          </w:p>
          <w:p w14:paraId="28358429"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p>
          <w:p w14:paraId="281BE9D2" w14:textId="77777777" w:rsidR="003776C5" w:rsidRPr="003776C5" w:rsidRDefault="003776C5" w:rsidP="003776C5">
            <w:pPr>
              <w:spacing w:after="24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(or IEA 4E SSL Task 7 2016 publication)</w:t>
            </w:r>
            <w:r w:rsidRPr="003776C5">
              <w:rPr>
                <w:rFonts w:ascii="Calibri" w:eastAsia="Times New Roman" w:hAnsi="Calibri"/>
                <w:noProof w:val="0"/>
                <w:color w:val="000000"/>
                <w:sz w:val="22"/>
                <w:szCs w:val="22"/>
                <w:vertAlign w:val="superscript"/>
                <w:lang w:eastAsia="en-AU"/>
              </w:rPr>
              <w:footnoteReference w:id="46"/>
            </w:r>
          </w:p>
          <w:p w14:paraId="51E5D75C" w14:textId="77777777" w:rsidR="003776C5" w:rsidRPr="003776C5" w:rsidRDefault="003776C5" w:rsidP="003776C5">
            <w:pPr>
              <w:spacing w:after="240" w:line="240" w:lineRule="auto"/>
              <w:rPr>
                <w:rFonts w:ascii="Calibri" w:eastAsia="Times New Roman" w:hAnsi="Calibri"/>
                <w:noProof w:val="0"/>
                <w:color w:val="000000"/>
                <w:sz w:val="22"/>
                <w:szCs w:val="22"/>
                <w:highlight w:val="lightGray"/>
                <w:lang w:eastAsia="en-AU"/>
              </w:rPr>
            </w:pPr>
          </w:p>
        </w:tc>
      </w:tr>
      <w:tr w:rsidR="003776C5" w:rsidRPr="003776C5" w14:paraId="46CF0012" w14:textId="77777777" w:rsidTr="006B00C9">
        <w:trPr>
          <w:trHeight w:val="1200"/>
        </w:trPr>
        <w:tc>
          <w:tcPr>
            <w:tcW w:w="454" w:type="dxa"/>
          </w:tcPr>
          <w:p w14:paraId="4CD69124"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6</w:t>
            </w:r>
          </w:p>
        </w:tc>
        <w:tc>
          <w:tcPr>
            <w:tcW w:w="1668" w:type="dxa"/>
            <w:hideMark/>
          </w:tcPr>
          <w:p w14:paraId="5E8B0158"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15BF830F"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Smart Lighting – controlled variations in power consumption</w:t>
            </w:r>
          </w:p>
          <w:p w14:paraId="6F13941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5D26092E"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(smart luminaires only)</w:t>
            </w:r>
          </w:p>
          <w:p w14:paraId="173B123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tc>
        <w:tc>
          <w:tcPr>
            <w:tcW w:w="8680" w:type="dxa"/>
            <w:gridSpan w:val="6"/>
            <w:noWrap/>
            <w:hideMark/>
          </w:tcPr>
          <w:p w14:paraId="5037708C" w14:textId="77777777" w:rsidR="003776C5" w:rsidRPr="003776C5" w:rsidRDefault="003776C5" w:rsidP="003776C5">
            <w:pPr>
              <w:spacing w:after="0" w:line="240" w:lineRule="auto"/>
              <w:rPr>
                <w:rFonts w:ascii="Calibri" w:eastAsia="Calibri" w:hAnsi="Calibri"/>
                <w:noProof w:val="0"/>
                <w:color w:val="000000"/>
                <w:sz w:val="22"/>
                <w:szCs w:val="22"/>
              </w:rPr>
            </w:pPr>
          </w:p>
          <w:p w14:paraId="79E58226" w14:textId="77777777" w:rsidR="003776C5" w:rsidRPr="003776C5" w:rsidRDefault="003776C5" w:rsidP="003776C5">
            <w:pPr>
              <w:spacing w:after="0" w:line="240" w:lineRule="auto"/>
              <w:rPr>
                <w:rFonts w:ascii="Calibri" w:eastAsia="Calibri" w:hAnsi="Calibri"/>
                <w:noProof w:val="0"/>
                <w:color w:val="000000"/>
                <w:sz w:val="22"/>
                <w:szCs w:val="22"/>
              </w:rPr>
            </w:pPr>
            <w:r w:rsidRPr="003776C5">
              <w:rPr>
                <w:rFonts w:ascii="Calibri" w:eastAsia="Calibri" w:hAnsi="Calibri"/>
                <w:noProof w:val="0"/>
                <w:color w:val="000000"/>
                <w:sz w:val="22"/>
                <w:szCs w:val="22"/>
              </w:rPr>
              <w:t>Device to provide energy consumption reporting that is accessible by owner.</w:t>
            </w:r>
          </w:p>
          <w:p w14:paraId="74BEDD18" w14:textId="77777777" w:rsidR="003776C5" w:rsidRPr="003776C5" w:rsidRDefault="003776C5" w:rsidP="003776C5">
            <w:pPr>
              <w:spacing w:after="0" w:line="240" w:lineRule="auto"/>
              <w:rPr>
                <w:rFonts w:ascii="Calibri" w:eastAsia="Calibri" w:hAnsi="Calibri"/>
                <w:noProof w:val="0"/>
                <w:color w:val="000000"/>
                <w:sz w:val="22"/>
                <w:szCs w:val="22"/>
              </w:rPr>
            </w:pPr>
          </w:p>
          <w:p w14:paraId="5934D422" w14:textId="77777777" w:rsidR="003776C5" w:rsidRPr="003776C5" w:rsidRDefault="003776C5" w:rsidP="003776C5">
            <w:pPr>
              <w:spacing w:after="0" w:line="240" w:lineRule="auto"/>
              <w:rPr>
                <w:rFonts w:ascii="Calibri" w:eastAsia="Calibri" w:hAnsi="Calibri"/>
                <w:noProof w:val="0"/>
                <w:color w:val="000000"/>
                <w:sz w:val="22"/>
                <w:szCs w:val="22"/>
              </w:rPr>
            </w:pPr>
            <w:r w:rsidRPr="003776C5">
              <w:rPr>
                <w:rFonts w:ascii="Calibri" w:eastAsia="Calibri" w:hAnsi="Calibri"/>
                <w:noProof w:val="0"/>
                <w:color w:val="000000"/>
                <w:sz w:val="22"/>
                <w:szCs w:val="22"/>
              </w:rPr>
              <w:t>To be considered following the outcomes of investigations by the IEA 4E SSL and G20 working groups</w:t>
            </w:r>
            <w:r w:rsidRPr="003776C5">
              <w:rPr>
                <w:rFonts w:ascii="Calibri" w:eastAsia="Calibri" w:hAnsi="Calibri"/>
                <w:noProof w:val="0"/>
                <w:color w:val="000000"/>
                <w:sz w:val="22"/>
                <w:szCs w:val="22"/>
              </w:rPr>
              <w:br/>
            </w:r>
            <w:r w:rsidRPr="003776C5">
              <w:rPr>
                <w:rFonts w:ascii="Calibri" w:eastAsia="Calibri" w:hAnsi="Calibri"/>
                <w:noProof w:val="0"/>
                <w:color w:val="000000"/>
                <w:sz w:val="22"/>
                <w:szCs w:val="22"/>
              </w:rPr>
              <w:br/>
            </w:r>
          </w:p>
        </w:tc>
        <w:tc>
          <w:tcPr>
            <w:tcW w:w="1134" w:type="dxa"/>
          </w:tcPr>
          <w:p w14:paraId="5ABB0447"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539FEF29"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1</w:t>
            </w:r>
          </w:p>
        </w:tc>
        <w:tc>
          <w:tcPr>
            <w:tcW w:w="1843" w:type="dxa"/>
          </w:tcPr>
          <w:p w14:paraId="39A6C9C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4E9838A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Require device to provide energy consumption reporting that is accessible by owner</w:t>
            </w:r>
          </w:p>
        </w:tc>
        <w:tc>
          <w:tcPr>
            <w:tcW w:w="1701" w:type="dxa"/>
          </w:tcPr>
          <w:p w14:paraId="40C32D13"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1AA4FEC8"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Energy Star Lamps v2 Section 12.9</w:t>
            </w:r>
          </w:p>
        </w:tc>
      </w:tr>
      <w:tr w:rsidR="003776C5" w:rsidRPr="003776C5" w14:paraId="74DACBFA" w14:textId="77777777" w:rsidTr="003776C5">
        <w:trPr>
          <w:trHeight w:val="270"/>
        </w:trPr>
        <w:tc>
          <w:tcPr>
            <w:tcW w:w="454" w:type="dxa"/>
            <w:shd w:val="clear" w:color="auto" w:fill="E5DFEC"/>
          </w:tcPr>
          <w:p w14:paraId="0E427BF9"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p>
        </w:tc>
        <w:tc>
          <w:tcPr>
            <w:tcW w:w="15026" w:type="dxa"/>
            <w:gridSpan w:val="10"/>
            <w:shd w:val="clear" w:color="auto" w:fill="E5DFEC"/>
          </w:tcPr>
          <w:p w14:paraId="279AB33C"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Declarations</w:t>
            </w:r>
          </w:p>
        </w:tc>
      </w:tr>
      <w:tr w:rsidR="003776C5" w:rsidRPr="003776C5" w14:paraId="617DF243" w14:textId="77777777" w:rsidTr="006B00C9">
        <w:trPr>
          <w:trHeight w:val="300"/>
        </w:trPr>
        <w:tc>
          <w:tcPr>
            <w:tcW w:w="454" w:type="dxa"/>
          </w:tcPr>
          <w:p w14:paraId="08D02518"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12</w:t>
            </w:r>
          </w:p>
        </w:tc>
        <w:tc>
          <w:tcPr>
            <w:tcW w:w="1668" w:type="dxa"/>
            <w:hideMark/>
          </w:tcPr>
          <w:p w14:paraId="342BB328"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0B84CA2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Rated Life Declaration</w:t>
            </w:r>
          </w:p>
          <w:p w14:paraId="004C95C9"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(relates to packaging requirement)</w:t>
            </w:r>
          </w:p>
        </w:tc>
        <w:tc>
          <w:tcPr>
            <w:tcW w:w="2875" w:type="dxa"/>
            <w:gridSpan w:val="2"/>
            <w:noWrap/>
            <w:hideMark/>
          </w:tcPr>
          <w:p w14:paraId="151B0269"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48382713" w14:textId="77777777" w:rsidR="003776C5" w:rsidRPr="003776C5" w:rsidRDefault="003776C5" w:rsidP="003776C5">
            <w:pPr>
              <w:spacing w:after="0" w:line="240" w:lineRule="auto"/>
              <w:rPr>
                <w:rFonts w:ascii="Calibri" w:eastAsia="Calibri" w:hAnsi="Calibri"/>
                <w:noProof w:val="0"/>
                <w:color w:val="000000"/>
                <w:sz w:val="22"/>
                <w:szCs w:val="22"/>
              </w:rPr>
            </w:pPr>
            <w:r w:rsidRPr="003776C5">
              <w:rPr>
                <w:rFonts w:ascii="Calibri" w:eastAsia="Times New Roman" w:hAnsi="Calibri"/>
                <w:noProof w:val="0"/>
                <w:color w:val="000000"/>
                <w:sz w:val="22"/>
                <w:szCs w:val="22"/>
                <w:lang w:eastAsia="en-AU"/>
              </w:rPr>
              <w:t xml:space="preserve">Packaging declaration of a minimum of </w:t>
            </w:r>
            <w:r w:rsidRPr="003776C5">
              <w:rPr>
                <w:rFonts w:ascii="Calibri" w:eastAsia="Calibri" w:hAnsi="Calibri"/>
                <w:noProof w:val="0"/>
                <w:color w:val="000000"/>
                <w:sz w:val="22"/>
                <w:szCs w:val="22"/>
              </w:rPr>
              <w:t>30,000 hours</w:t>
            </w:r>
          </w:p>
        </w:tc>
        <w:tc>
          <w:tcPr>
            <w:tcW w:w="5805" w:type="dxa"/>
            <w:gridSpan w:val="4"/>
          </w:tcPr>
          <w:p w14:paraId="2D3FDD33"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0615BCA8"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Packaging declaration of a minimum of </w:t>
            </w:r>
            <w:r w:rsidRPr="003776C5">
              <w:rPr>
                <w:rFonts w:ascii="Calibri" w:eastAsia="Calibri" w:hAnsi="Calibri"/>
                <w:noProof w:val="0"/>
                <w:color w:val="000000"/>
                <w:sz w:val="22"/>
                <w:szCs w:val="22"/>
              </w:rPr>
              <w:t>45,000 hours</w:t>
            </w:r>
          </w:p>
        </w:tc>
        <w:tc>
          <w:tcPr>
            <w:tcW w:w="1134" w:type="dxa"/>
          </w:tcPr>
          <w:p w14:paraId="0AF3255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2CEB555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N/A</w:t>
            </w:r>
          </w:p>
        </w:tc>
        <w:tc>
          <w:tcPr>
            <w:tcW w:w="1843" w:type="dxa"/>
            <w:hideMark/>
          </w:tcPr>
          <w:p w14:paraId="5B34C37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123A96A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Declaration Only </w:t>
            </w:r>
          </w:p>
        </w:tc>
        <w:tc>
          <w:tcPr>
            <w:tcW w:w="1701" w:type="dxa"/>
          </w:tcPr>
          <w:p w14:paraId="6CB32F68"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312E8A57" w14:textId="77777777" w:rsidR="003776C5" w:rsidRPr="003776C5" w:rsidRDefault="003776C5" w:rsidP="003776C5">
            <w:pPr>
              <w:spacing w:after="0" w:line="240" w:lineRule="auto"/>
              <w:rPr>
                <w:rFonts w:ascii="Calibri" w:eastAsia="Times New Roman" w:hAnsi="Calibri"/>
                <w:noProof w:val="0"/>
                <w:color w:val="000000"/>
                <w:sz w:val="22"/>
                <w:szCs w:val="22"/>
                <w:highlight w:val="lightGray"/>
                <w:lang w:eastAsia="en-AU"/>
              </w:rPr>
            </w:pPr>
            <w:r w:rsidRPr="003776C5">
              <w:rPr>
                <w:rFonts w:ascii="Calibri" w:eastAsia="Times New Roman" w:hAnsi="Calibri"/>
                <w:noProof w:val="0"/>
                <w:color w:val="000000"/>
                <w:sz w:val="22"/>
                <w:szCs w:val="22"/>
                <w:lang w:eastAsia="en-AU"/>
              </w:rPr>
              <w:t>N/A</w:t>
            </w:r>
          </w:p>
        </w:tc>
      </w:tr>
      <w:tr w:rsidR="003776C5" w:rsidRPr="003776C5" w14:paraId="5D392CF8" w14:textId="77777777" w:rsidTr="006B00C9">
        <w:trPr>
          <w:trHeight w:val="583"/>
        </w:trPr>
        <w:tc>
          <w:tcPr>
            <w:tcW w:w="454" w:type="dxa"/>
          </w:tcPr>
          <w:p w14:paraId="37C3D932"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16</w:t>
            </w:r>
          </w:p>
        </w:tc>
        <w:tc>
          <w:tcPr>
            <w:tcW w:w="1668" w:type="dxa"/>
            <w:shd w:val="clear" w:color="auto" w:fill="92D050"/>
            <w:hideMark/>
          </w:tcPr>
          <w:p w14:paraId="6F70195F"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3A8A32E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Dimmer compatibility (Phase cut dimmers only)</w:t>
            </w:r>
            <w:r w:rsidRPr="003776C5">
              <w:rPr>
                <w:rFonts w:ascii="Calibri" w:eastAsia="Times New Roman" w:hAnsi="Calibri"/>
                <w:noProof w:val="0"/>
                <w:color w:val="000000"/>
                <w:sz w:val="22"/>
                <w:szCs w:val="22"/>
                <w:vertAlign w:val="superscript"/>
                <w:lang w:eastAsia="en-AU"/>
              </w:rPr>
              <w:footnoteReference w:id="47"/>
            </w:r>
          </w:p>
        </w:tc>
        <w:tc>
          <w:tcPr>
            <w:tcW w:w="2875" w:type="dxa"/>
            <w:gridSpan w:val="2"/>
            <w:noWrap/>
            <w:hideMark/>
          </w:tcPr>
          <w:p w14:paraId="62D0404E"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6A3FCF7E"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Luminaire Dims smoothly to 30% of light output with no observable flicker. When dimmer is set to 100%, light output ≥ 90% of luminaire without dimmer. For dimmable products, the manufacturer shall:</w:t>
            </w:r>
          </w:p>
          <w:p w14:paraId="2D0808D7"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 </w:t>
            </w:r>
          </w:p>
          <w:p w14:paraId="2847E172" w14:textId="77777777" w:rsidR="003776C5" w:rsidRPr="003776C5" w:rsidRDefault="003776C5" w:rsidP="003776C5">
            <w:pPr>
              <w:numPr>
                <w:ilvl w:val="0"/>
                <w:numId w:val="23"/>
              </w:num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declare the conditions under which the luminaire will dim</w:t>
            </w:r>
          </w:p>
          <w:p w14:paraId="68A094E0" w14:textId="77777777" w:rsidR="003776C5" w:rsidRPr="003776C5" w:rsidRDefault="003776C5" w:rsidP="003776C5">
            <w:pPr>
              <w:numPr>
                <w:ilvl w:val="0"/>
                <w:numId w:val="23"/>
              </w:numPr>
              <w:spacing w:after="200" w:line="276"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declare which conditions </w:t>
            </w:r>
            <w:r w:rsidRPr="003776C5">
              <w:rPr>
                <w:rFonts w:ascii="Calibri" w:eastAsia="Calibri" w:hAnsi="Calibri"/>
                <w:noProof w:val="0"/>
                <w:sz w:val="22"/>
                <w:szCs w:val="22"/>
              </w:rPr>
              <w:t>(e.g. minimum/maximum number of luminaires connected to  dimmer</w:t>
            </w:r>
            <w:r w:rsidRPr="003776C5">
              <w:rPr>
                <w:rFonts w:ascii="Calibri" w:eastAsia="Times New Roman" w:hAnsi="Calibri"/>
                <w:noProof w:val="0"/>
                <w:color w:val="000000"/>
                <w:sz w:val="22"/>
                <w:szCs w:val="22"/>
                <w:lang w:eastAsia="en-AU"/>
              </w:rPr>
              <w:t xml:space="preserve">) under which the luminaire will operate </w:t>
            </w:r>
          </w:p>
          <w:p w14:paraId="737C33A2" w14:textId="77777777" w:rsidR="003776C5" w:rsidRPr="003776C5" w:rsidRDefault="003776C5" w:rsidP="003776C5">
            <w:pPr>
              <w:numPr>
                <w:ilvl w:val="0"/>
                <w:numId w:val="23"/>
              </w:num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provide a webpage address that lists compatible dimmer makes and models; and</w:t>
            </w:r>
          </w:p>
          <w:p w14:paraId="7ED5BB05" w14:textId="77777777" w:rsidR="003776C5" w:rsidRPr="003776C5" w:rsidDel="000A58FF" w:rsidRDefault="003776C5" w:rsidP="003776C5">
            <w:pPr>
              <w:numPr>
                <w:ilvl w:val="0"/>
                <w:numId w:val="23"/>
              </w:num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for each compatible dimmer, the number of luminaires that can be dimmed and the range of luminous flux levels a given dimmer-luminaire combination can achieve.</w:t>
            </w:r>
          </w:p>
        </w:tc>
        <w:tc>
          <w:tcPr>
            <w:tcW w:w="5805" w:type="dxa"/>
            <w:gridSpan w:val="4"/>
          </w:tcPr>
          <w:p w14:paraId="6874A1AE" w14:textId="77777777" w:rsidR="003776C5" w:rsidRPr="003776C5" w:rsidRDefault="003776C5" w:rsidP="003776C5">
            <w:pPr>
              <w:spacing w:after="0" w:line="240" w:lineRule="auto"/>
              <w:jc w:val="center"/>
              <w:rPr>
                <w:rFonts w:ascii="Calibri" w:eastAsia="Times New Roman" w:hAnsi="Calibri"/>
                <w:noProof w:val="0"/>
                <w:color w:val="000000"/>
                <w:sz w:val="22"/>
                <w:szCs w:val="22"/>
                <w:highlight w:val="lightGray"/>
                <w:lang w:eastAsia="en-AU"/>
              </w:rPr>
            </w:pPr>
          </w:p>
          <w:p w14:paraId="5D6B7B95" w14:textId="77777777" w:rsidR="003776C5" w:rsidRPr="003776C5" w:rsidRDefault="003776C5" w:rsidP="003776C5">
            <w:pPr>
              <w:spacing w:after="0" w:line="240" w:lineRule="auto"/>
              <w:jc w:val="center"/>
              <w:rPr>
                <w:rFonts w:ascii="Calibri" w:eastAsia="Calibri" w:hAnsi="Calibri"/>
                <w:noProof w:val="0"/>
                <w:color w:val="000000"/>
                <w:sz w:val="22"/>
                <w:szCs w:val="22"/>
              </w:rPr>
            </w:pPr>
            <w:r w:rsidRPr="003776C5">
              <w:rPr>
                <w:rFonts w:ascii="Calibri" w:eastAsia="Times New Roman" w:hAnsi="Calibri"/>
                <w:noProof w:val="0"/>
                <w:color w:val="000000"/>
                <w:sz w:val="22"/>
                <w:szCs w:val="22"/>
                <w:lang w:eastAsia="en-AU"/>
              </w:rPr>
              <w:t>N/A</w:t>
            </w:r>
          </w:p>
        </w:tc>
        <w:tc>
          <w:tcPr>
            <w:tcW w:w="1134" w:type="dxa"/>
            <w:hideMark/>
          </w:tcPr>
          <w:p w14:paraId="7F70E82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2986347F"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1 luminaire</w:t>
            </w:r>
          </w:p>
          <w:p w14:paraId="1C98C56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2BD8DA87"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1 dimmer </w:t>
            </w:r>
          </w:p>
        </w:tc>
        <w:tc>
          <w:tcPr>
            <w:tcW w:w="1843" w:type="dxa"/>
            <w:hideMark/>
          </w:tcPr>
          <w:p w14:paraId="3944410A"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0A7FE7D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Satisfy conditions of the test method.</w:t>
            </w:r>
          </w:p>
        </w:tc>
        <w:tc>
          <w:tcPr>
            <w:tcW w:w="1701" w:type="dxa"/>
          </w:tcPr>
          <w:p w14:paraId="67EECAD8"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4EE8BE33"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To be developed </w:t>
            </w:r>
            <w:r w:rsidRPr="003776C5">
              <w:rPr>
                <w:rFonts w:ascii="Calibri" w:eastAsia="Times New Roman" w:hAnsi="Calibri"/>
                <w:noProof w:val="0"/>
                <w:color w:val="000000"/>
                <w:sz w:val="22"/>
                <w:szCs w:val="22"/>
                <w:vertAlign w:val="superscript"/>
                <w:lang w:eastAsia="en-AU"/>
              </w:rPr>
              <w:footnoteReference w:id="48"/>
            </w:r>
          </w:p>
          <w:p w14:paraId="51D57C6C"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To include tests for inrush current, maximum cycle current, 30% dim and flicker (IEEE 1789 or other).</w:t>
            </w:r>
          </w:p>
          <w:p w14:paraId="06132988"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282D0845"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Suppliers do not need to submit tests for registration.  </w:t>
            </w:r>
          </w:p>
          <w:p w14:paraId="62A30BF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240E0454"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Compliance may test.</w:t>
            </w:r>
          </w:p>
          <w:p w14:paraId="48C8D3F2"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5B77C50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1CCF7145"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tc>
      </w:tr>
      <w:tr w:rsidR="003776C5" w:rsidRPr="003776C5" w14:paraId="5D81E361" w14:textId="77777777" w:rsidTr="003776C5">
        <w:trPr>
          <w:trHeight w:val="270"/>
        </w:trPr>
        <w:tc>
          <w:tcPr>
            <w:tcW w:w="454" w:type="dxa"/>
            <w:shd w:val="clear" w:color="auto" w:fill="E5DFEC"/>
          </w:tcPr>
          <w:p w14:paraId="757F1C2E"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p>
        </w:tc>
        <w:tc>
          <w:tcPr>
            <w:tcW w:w="15026" w:type="dxa"/>
            <w:gridSpan w:val="10"/>
            <w:shd w:val="clear" w:color="auto" w:fill="E5DFEC"/>
          </w:tcPr>
          <w:p w14:paraId="2868F4BE"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Claims</w:t>
            </w:r>
          </w:p>
        </w:tc>
      </w:tr>
      <w:tr w:rsidR="003776C5" w:rsidRPr="003776C5" w14:paraId="05DA862A" w14:textId="77777777" w:rsidTr="006B00C9">
        <w:trPr>
          <w:trHeight w:val="2076"/>
        </w:trPr>
        <w:tc>
          <w:tcPr>
            <w:tcW w:w="454" w:type="dxa"/>
          </w:tcPr>
          <w:p w14:paraId="5AFCEF95" w14:textId="77777777" w:rsidR="003776C5" w:rsidRPr="003776C5" w:rsidRDefault="003776C5" w:rsidP="003776C5">
            <w:pPr>
              <w:spacing w:after="0" w:line="240" w:lineRule="auto"/>
              <w:rPr>
                <w:rFonts w:ascii="Calibri" w:eastAsia="Times New Roman" w:hAnsi="Calibri"/>
                <w:noProof w:val="0"/>
                <w:color w:val="000000"/>
                <w:sz w:val="16"/>
                <w:szCs w:val="16"/>
                <w:lang w:eastAsia="en-AU"/>
              </w:rPr>
            </w:pPr>
            <w:r w:rsidRPr="003776C5">
              <w:rPr>
                <w:rFonts w:ascii="Calibri" w:eastAsia="Times New Roman" w:hAnsi="Calibri"/>
                <w:noProof w:val="0"/>
                <w:color w:val="000000"/>
                <w:sz w:val="16"/>
                <w:szCs w:val="16"/>
                <w:lang w:eastAsia="en-AU"/>
              </w:rPr>
              <w:t>2</w:t>
            </w:r>
          </w:p>
        </w:tc>
        <w:tc>
          <w:tcPr>
            <w:tcW w:w="1668" w:type="dxa"/>
            <w:hideMark/>
          </w:tcPr>
          <w:p w14:paraId="347FFDD2"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2D394133"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Replacement Lamp Equivalence</w:t>
            </w:r>
          </w:p>
        </w:tc>
        <w:tc>
          <w:tcPr>
            <w:tcW w:w="2875" w:type="dxa"/>
            <w:gridSpan w:val="2"/>
            <w:noWrap/>
            <w:hideMark/>
          </w:tcPr>
          <w:p w14:paraId="08870830" w14:textId="77777777" w:rsidR="003776C5" w:rsidRPr="003776C5" w:rsidRDefault="003776C5" w:rsidP="003776C5">
            <w:pPr>
              <w:spacing w:after="0" w:line="240" w:lineRule="auto"/>
              <w:rPr>
                <w:rFonts w:ascii="Calibri" w:eastAsia="Calibri" w:hAnsi="Calibri"/>
                <w:noProof w:val="0"/>
                <w:sz w:val="22"/>
                <w:szCs w:val="22"/>
              </w:rPr>
            </w:pPr>
          </w:p>
          <w:p w14:paraId="3F51D7EE" w14:textId="77777777" w:rsidR="003776C5" w:rsidRPr="003776C5" w:rsidRDefault="003776C5" w:rsidP="003776C5">
            <w:pPr>
              <w:spacing w:after="0" w:line="240" w:lineRule="auto"/>
              <w:rPr>
                <w:rFonts w:ascii="Calibri" w:eastAsia="Calibri" w:hAnsi="Calibri"/>
                <w:noProof w:val="0"/>
                <w:sz w:val="22"/>
                <w:szCs w:val="22"/>
              </w:rPr>
            </w:pPr>
            <w:r w:rsidRPr="003776C5">
              <w:rPr>
                <w:rFonts w:ascii="Calibri" w:eastAsia="Calibri" w:hAnsi="Calibri"/>
                <w:noProof w:val="0"/>
                <w:sz w:val="22"/>
                <w:szCs w:val="22"/>
              </w:rPr>
              <w:t xml:space="preserve">ONLY IF CLAIMING. Where claiming replacement equivalence to a specific lamp based fixture, the luminaire must meet </w:t>
            </w:r>
            <w:r w:rsidRPr="003776C5">
              <w:rPr>
                <w:rFonts w:ascii="Calibri" w:eastAsia="Calibri" w:hAnsi="Calibri"/>
                <w:noProof w:val="0"/>
                <w:color w:val="000000"/>
                <w:sz w:val="22"/>
                <w:szCs w:val="22"/>
              </w:rPr>
              <w:t>minimum lumen output provided for lamps in table 1.</w:t>
            </w:r>
            <w:r w:rsidRPr="003776C5">
              <w:rPr>
                <w:rFonts w:ascii="Calibri" w:eastAsia="Calibri" w:hAnsi="Calibri"/>
                <w:noProof w:val="0"/>
                <w:color w:val="000000"/>
                <w:sz w:val="22"/>
                <w:szCs w:val="22"/>
              </w:rPr>
              <w:br/>
              <w:t>(e.g.  for halogen downlights replacements, use equivalence of MR16 directional lamp)</w:t>
            </w:r>
          </w:p>
        </w:tc>
        <w:tc>
          <w:tcPr>
            <w:tcW w:w="2911" w:type="dxa"/>
            <w:gridSpan w:val="3"/>
          </w:tcPr>
          <w:p w14:paraId="41D58BAB" w14:textId="77777777" w:rsidR="003776C5" w:rsidRPr="003776C5" w:rsidRDefault="003776C5" w:rsidP="003776C5">
            <w:pPr>
              <w:spacing w:after="0" w:line="240" w:lineRule="auto"/>
              <w:rPr>
                <w:rFonts w:ascii="Calibri" w:eastAsia="Calibri" w:hAnsi="Calibri"/>
                <w:noProof w:val="0"/>
                <w:sz w:val="24"/>
              </w:rPr>
            </w:pPr>
          </w:p>
          <w:p w14:paraId="385C0087" w14:textId="77777777" w:rsidR="003776C5" w:rsidRPr="003776C5" w:rsidRDefault="003776C5" w:rsidP="003776C5">
            <w:pPr>
              <w:spacing w:after="0" w:line="240" w:lineRule="auto"/>
              <w:rPr>
                <w:rFonts w:ascii="Calibri" w:eastAsia="Calibri" w:hAnsi="Calibri"/>
                <w:noProof w:val="0"/>
                <w:color w:val="FF0000"/>
                <w:sz w:val="24"/>
              </w:rPr>
            </w:pPr>
            <w:r w:rsidRPr="003776C5">
              <w:rPr>
                <w:rFonts w:ascii="Calibri" w:eastAsia="Calibri" w:hAnsi="Calibri"/>
                <w:noProof w:val="0"/>
                <w:sz w:val="24"/>
              </w:rPr>
              <w:t>None provided</w:t>
            </w:r>
          </w:p>
        </w:tc>
        <w:tc>
          <w:tcPr>
            <w:tcW w:w="2894" w:type="dxa"/>
          </w:tcPr>
          <w:p w14:paraId="3C8D19FA" w14:textId="77777777" w:rsidR="003776C5" w:rsidRPr="003776C5" w:rsidRDefault="003776C5" w:rsidP="003776C5">
            <w:pPr>
              <w:spacing w:after="0" w:line="240" w:lineRule="auto"/>
              <w:rPr>
                <w:rFonts w:ascii="Calibri" w:eastAsia="Calibri" w:hAnsi="Calibri"/>
                <w:noProof w:val="0"/>
                <w:color w:val="000000"/>
                <w:sz w:val="22"/>
                <w:szCs w:val="22"/>
              </w:rPr>
            </w:pPr>
          </w:p>
          <w:p w14:paraId="0C2A6AFC" w14:textId="77777777" w:rsidR="003776C5" w:rsidRPr="003776C5" w:rsidRDefault="003776C5" w:rsidP="003776C5">
            <w:pPr>
              <w:spacing w:after="0" w:line="240" w:lineRule="auto"/>
              <w:rPr>
                <w:rFonts w:ascii="Calibri" w:eastAsia="Calibri" w:hAnsi="Calibri"/>
                <w:noProof w:val="0"/>
                <w:color w:val="FF0000"/>
                <w:sz w:val="24"/>
              </w:rPr>
            </w:pPr>
            <w:r w:rsidRPr="003776C5">
              <w:rPr>
                <w:rFonts w:ascii="Calibri" w:eastAsia="Calibri" w:hAnsi="Calibri"/>
                <w:noProof w:val="0"/>
                <w:color w:val="000000"/>
                <w:sz w:val="22"/>
                <w:szCs w:val="22"/>
              </w:rPr>
              <w:t xml:space="preserve">ONLY IF CLAIMING. Luminaire lumens (per lamp) for claimed number of tubular fluorescent lamp equivalents </w:t>
            </w:r>
            <w:r w:rsidRPr="003776C5">
              <w:rPr>
                <w:rFonts w:ascii="Calibri" w:eastAsia="Calibri" w:hAnsi="Calibri"/>
                <w:noProof w:val="0"/>
                <w:sz w:val="22"/>
                <w:szCs w:val="22"/>
              </w:rPr>
              <w:t>must meet minimum lumen output provided in the lamp table 1.</w:t>
            </w:r>
          </w:p>
        </w:tc>
        <w:tc>
          <w:tcPr>
            <w:tcW w:w="1134" w:type="dxa"/>
            <w:hideMark/>
          </w:tcPr>
          <w:p w14:paraId="5256ECE2"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6BCA81C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1</w:t>
            </w:r>
          </w:p>
          <w:p w14:paraId="52E27E4C"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561407F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tc>
        <w:tc>
          <w:tcPr>
            <w:tcW w:w="1843" w:type="dxa"/>
            <w:hideMark/>
          </w:tcPr>
          <w:p w14:paraId="59819CB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5C64FA9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 xml:space="preserve">Luminous flux ≥ Claimed Equivalent wattage </w:t>
            </w:r>
            <w:r w:rsidRPr="003776C5">
              <w:rPr>
                <w:rFonts w:ascii="Calibri" w:eastAsia="Calibri" w:hAnsi="Calibri"/>
                <w:noProof w:val="0"/>
                <w:sz w:val="22"/>
                <w:szCs w:val="22"/>
              </w:rPr>
              <w:t xml:space="preserve">specified minimum light output (lm) </w:t>
            </w:r>
          </w:p>
        </w:tc>
        <w:tc>
          <w:tcPr>
            <w:tcW w:w="1701" w:type="dxa"/>
          </w:tcPr>
          <w:p w14:paraId="28EEF104"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71A0DEB9"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highlight w:val="yellow"/>
                <w:lang w:eastAsia="en-AU"/>
              </w:rPr>
              <w:t>CIE S025</w:t>
            </w:r>
          </w:p>
          <w:p w14:paraId="438D48D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1E30D7E5"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or</w:t>
            </w:r>
          </w:p>
          <w:p w14:paraId="52D739F7"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25D7A767"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LM79 accepted until July 2021</w:t>
            </w:r>
          </w:p>
          <w:p w14:paraId="5D3DD8C2"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28B1691D"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or</w:t>
            </w:r>
          </w:p>
          <w:p w14:paraId="391A40D2"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3F359679" w14:textId="77777777" w:rsidR="003776C5" w:rsidRPr="003776C5" w:rsidRDefault="003776C5" w:rsidP="003776C5">
            <w:pPr>
              <w:spacing w:after="0" w:line="240" w:lineRule="auto"/>
              <w:rPr>
                <w:rFonts w:ascii="Verdana" w:eastAsia="Calibri" w:hAnsi="Verdana"/>
                <w:noProof w:val="0"/>
                <w:color w:val="121214"/>
                <w:sz w:val="18"/>
                <w:szCs w:val="18"/>
                <w:shd w:val="clear" w:color="auto" w:fill="FCFCFC"/>
              </w:rPr>
            </w:pPr>
            <w:r w:rsidRPr="003776C5">
              <w:rPr>
                <w:rFonts w:ascii="Verdana" w:eastAsia="Calibri" w:hAnsi="Verdana"/>
                <w:noProof w:val="0"/>
                <w:color w:val="121214"/>
                <w:sz w:val="18"/>
                <w:szCs w:val="18"/>
                <w:shd w:val="clear" w:color="auto" w:fill="FCFCFC"/>
              </w:rPr>
              <w:t>EN 13032-4:2015</w:t>
            </w:r>
          </w:p>
        </w:tc>
      </w:tr>
      <w:tr w:rsidR="003776C5" w:rsidRPr="003776C5" w14:paraId="35B4DD57" w14:textId="77777777" w:rsidTr="006B00C9">
        <w:trPr>
          <w:trHeight w:val="866"/>
        </w:trPr>
        <w:tc>
          <w:tcPr>
            <w:tcW w:w="454" w:type="dxa"/>
          </w:tcPr>
          <w:p w14:paraId="2B59A372" w14:textId="77777777" w:rsidR="003776C5" w:rsidRPr="003776C5" w:rsidRDefault="003776C5" w:rsidP="003776C5">
            <w:pPr>
              <w:spacing w:after="0" w:line="240" w:lineRule="auto"/>
              <w:rPr>
                <w:rFonts w:ascii="Calibri" w:eastAsia="Times New Roman" w:hAnsi="Calibri"/>
                <w:noProof w:val="0"/>
                <w:sz w:val="16"/>
                <w:szCs w:val="16"/>
                <w:lang w:eastAsia="en-AU"/>
              </w:rPr>
            </w:pPr>
            <w:r w:rsidRPr="003776C5">
              <w:rPr>
                <w:rFonts w:ascii="Calibri" w:eastAsia="Times New Roman" w:hAnsi="Calibri"/>
                <w:noProof w:val="0"/>
                <w:sz w:val="16"/>
                <w:szCs w:val="16"/>
                <w:lang w:eastAsia="en-AU"/>
              </w:rPr>
              <w:t>3</w:t>
            </w:r>
          </w:p>
        </w:tc>
        <w:tc>
          <w:tcPr>
            <w:tcW w:w="1668" w:type="dxa"/>
            <w:shd w:val="clear" w:color="auto" w:fill="92D050"/>
          </w:tcPr>
          <w:p w14:paraId="28E00A02" w14:textId="77777777" w:rsidR="003776C5" w:rsidRPr="003776C5" w:rsidRDefault="003776C5" w:rsidP="003776C5">
            <w:pPr>
              <w:spacing w:after="0" w:line="240" w:lineRule="auto"/>
              <w:rPr>
                <w:rFonts w:ascii="Calibri" w:eastAsia="Times New Roman" w:hAnsi="Calibri"/>
                <w:noProof w:val="0"/>
                <w:sz w:val="22"/>
                <w:szCs w:val="22"/>
                <w:lang w:eastAsia="en-AU"/>
              </w:rPr>
            </w:pPr>
          </w:p>
          <w:p w14:paraId="35ECAE0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sz w:val="22"/>
                <w:szCs w:val="22"/>
                <w:lang w:eastAsia="en-AU"/>
              </w:rPr>
              <w:t>Centre beam luminous intensity</w:t>
            </w:r>
            <w:r w:rsidRPr="003776C5">
              <w:rPr>
                <w:rFonts w:ascii="Calibri" w:eastAsia="Times New Roman" w:hAnsi="Calibri"/>
                <w:noProof w:val="0"/>
                <w:sz w:val="22"/>
                <w:szCs w:val="22"/>
                <w:lang w:eastAsia="en-AU"/>
              </w:rPr>
              <w:br/>
            </w:r>
          </w:p>
        </w:tc>
        <w:tc>
          <w:tcPr>
            <w:tcW w:w="2875" w:type="dxa"/>
            <w:gridSpan w:val="2"/>
            <w:noWrap/>
          </w:tcPr>
          <w:p w14:paraId="53DDA221" w14:textId="77777777" w:rsidR="003776C5" w:rsidRPr="003776C5" w:rsidRDefault="003776C5" w:rsidP="003776C5">
            <w:pPr>
              <w:spacing w:after="0" w:line="240" w:lineRule="auto"/>
              <w:rPr>
                <w:rFonts w:ascii="Calibri" w:eastAsia="Times New Roman" w:hAnsi="Calibri"/>
                <w:noProof w:val="0"/>
                <w:sz w:val="22"/>
                <w:szCs w:val="22"/>
                <w:lang w:eastAsia="en-AU"/>
              </w:rPr>
            </w:pPr>
          </w:p>
          <w:p w14:paraId="78A1A66C" w14:textId="77777777" w:rsidR="003776C5" w:rsidRPr="003776C5" w:rsidRDefault="003776C5" w:rsidP="003776C5">
            <w:pPr>
              <w:spacing w:after="0" w:line="240" w:lineRule="auto"/>
              <w:rPr>
                <w:rFonts w:ascii="Calibri" w:eastAsia="Times New Roman" w:hAnsi="Calibri"/>
                <w:noProof w:val="0"/>
                <w:sz w:val="22"/>
                <w:szCs w:val="22"/>
                <w:lang w:eastAsia="en-AU"/>
              </w:rPr>
            </w:pPr>
            <w:r w:rsidRPr="003776C5">
              <w:rPr>
                <w:rFonts w:ascii="Calibri" w:eastAsia="Calibri" w:hAnsi="Calibri"/>
                <w:noProof w:val="0"/>
                <w:sz w:val="22"/>
                <w:szCs w:val="22"/>
                <w:lang w:val="en-GB"/>
              </w:rPr>
              <w:t xml:space="preserve">ONLY IF CLAIMING. For luminaires claiming equivalence to MR or PAR lamps with a beam angle &lt;65°, centre beam intensity should meet equivalent levels using the online tool: </w:t>
            </w:r>
            <w:hyperlink r:id="rId64" w:history="1">
              <w:r w:rsidRPr="003776C5">
                <w:rPr>
                  <w:rFonts w:ascii="Calibri" w:eastAsia="Calibri" w:hAnsi="Calibri"/>
                  <w:noProof w:val="0"/>
                  <w:color w:val="0000FF"/>
                  <w:sz w:val="22"/>
                  <w:szCs w:val="22"/>
                  <w:u w:val="single"/>
                  <w:lang w:val="en-GB"/>
                </w:rPr>
                <w:t>http://www.energystar.gov/ia/products/lighting/iledl/IntLampCenterBeamTool.zip</w:t>
              </w:r>
            </w:hyperlink>
          </w:p>
          <w:p w14:paraId="6C7A86A7" w14:textId="77777777" w:rsidR="003776C5" w:rsidRPr="003776C5" w:rsidRDefault="003776C5" w:rsidP="003776C5">
            <w:pPr>
              <w:spacing w:after="0" w:line="240" w:lineRule="auto"/>
              <w:rPr>
                <w:rFonts w:ascii="Calibri" w:eastAsia="Times New Roman" w:hAnsi="Calibri"/>
                <w:noProof w:val="0"/>
                <w:sz w:val="22"/>
                <w:szCs w:val="22"/>
                <w:lang w:eastAsia="en-AU"/>
              </w:rPr>
            </w:pPr>
          </w:p>
          <w:p w14:paraId="338C939A" w14:textId="77777777" w:rsidR="003776C5" w:rsidRPr="003776C5" w:rsidRDefault="003776C5" w:rsidP="003776C5">
            <w:pPr>
              <w:spacing w:after="0" w:line="240" w:lineRule="auto"/>
              <w:rPr>
                <w:rFonts w:ascii="Calibri" w:eastAsia="Times New Roman" w:hAnsi="Calibri"/>
                <w:noProof w:val="0"/>
                <w:sz w:val="22"/>
                <w:szCs w:val="22"/>
                <w:lang w:eastAsia="en-AU"/>
              </w:rPr>
            </w:pPr>
            <w:r w:rsidRPr="003776C5">
              <w:rPr>
                <w:rFonts w:ascii="Calibri" w:eastAsia="Times New Roman" w:hAnsi="Calibri"/>
                <w:noProof w:val="0"/>
                <w:sz w:val="22"/>
                <w:szCs w:val="22"/>
                <w:lang w:eastAsia="en-AU"/>
              </w:rPr>
              <w:t>ONLY IF CLAIMING</w:t>
            </w:r>
          </w:p>
          <w:p w14:paraId="33075A2E" w14:textId="77777777" w:rsidR="003776C5" w:rsidRPr="003776C5" w:rsidRDefault="003776C5" w:rsidP="003776C5">
            <w:pPr>
              <w:spacing w:after="0" w:line="240" w:lineRule="auto"/>
              <w:rPr>
                <w:rFonts w:ascii="Calibri" w:eastAsia="Times New Roman" w:hAnsi="Calibri"/>
                <w:noProof w:val="0"/>
                <w:sz w:val="22"/>
                <w:szCs w:val="22"/>
                <w:lang w:eastAsia="en-AU"/>
              </w:rPr>
            </w:pPr>
            <w:r w:rsidRPr="003776C5">
              <w:rPr>
                <w:rFonts w:ascii="Calibri" w:eastAsia="Times New Roman" w:hAnsi="Calibri"/>
                <w:noProof w:val="0"/>
                <w:sz w:val="22"/>
                <w:szCs w:val="22"/>
                <w:lang w:eastAsia="en-AU"/>
              </w:rPr>
              <w:t>Centre beam luminous intensity ≥ declared value</w:t>
            </w:r>
          </w:p>
        </w:tc>
        <w:tc>
          <w:tcPr>
            <w:tcW w:w="2911" w:type="dxa"/>
            <w:gridSpan w:val="3"/>
          </w:tcPr>
          <w:p w14:paraId="3C1B6B61" w14:textId="77777777" w:rsidR="003776C5" w:rsidRPr="003776C5" w:rsidRDefault="003776C5" w:rsidP="003776C5">
            <w:pPr>
              <w:spacing w:after="0" w:line="240" w:lineRule="auto"/>
              <w:rPr>
                <w:rFonts w:ascii="Calibri" w:eastAsia="Times New Roman" w:hAnsi="Calibri"/>
                <w:noProof w:val="0"/>
                <w:sz w:val="22"/>
                <w:szCs w:val="22"/>
                <w:lang w:eastAsia="en-AU"/>
              </w:rPr>
            </w:pPr>
          </w:p>
          <w:p w14:paraId="02F34BD2" w14:textId="77777777" w:rsidR="003776C5" w:rsidRPr="003776C5" w:rsidRDefault="003776C5" w:rsidP="003776C5">
            <w:pPr>
              <w:spacing w:after="0" w:line="240" w:lineRule="auto"/>
              <w:rPr>
                <w:rFonts w:ascii="Calibri" w:eastAsia="Times New Roman" w:hAnsi="Calibri"/>
                <w:noProof w:val="0"/>
                <w:sz w:val="22"/>
                <w:szCs w:val="22"/>
                <w:lang w:eastAsia="en-AU"/>
              </w:rPr>
            </w:pPr>
            <w:r w:rsidRPr="003776C5">
              <w:rPr>
                <w:rFonts w:ascii="Calibri" w:eastAsia="Times New Roman" w:hAnsi="Calibri"/>
                <w:noProof w:val="0"/>
                <w:sz w:val="22"/>
                <w:szCs w:val="22"/>
                <w:lang w:eastAsia="en-AU"/>
              </w:rPr>
              <w:t>ONLY IF CLAIMING</w:t>
            </w:r>
          </w:p>
          <w:p w14:paraId="4AB07A20" w14:textId="77777777" w:rsidR="003776C5" w:rsidRPr="003776C5" w:rsidRDefault="003776C5" w:rsidP="003776C5">
            <w:pPr>
              <w:spacing w:after="0" w:line="240" w:lineRule="auto"/>
              <w:rPr>
                <w:rFonts w:ascii="Calibri" w:eastAsia="Times New Roman" w:hAnsi="Calibri"/>
                <w:noProof w:val="0"/>
                <w:sz w:val="22"/>
                <w:szCs w:val="22"/>
                <w:lang w:eastAsia="en-AU"/>
              </w:rPr>
            </w:pPr>
          </w:p>
          <w:p w14:paraId="6F49F85D" w14:textId="77777777" w:rsidR="003776C5" w:rsidRPr="003776C5" w:rsidRDefault="003776C5" w:rsidP="003776C5">
            <w:pPr>
              <w:spacing w:after="0" w:line="240" w:lineRule="auto"/>
              <w:rPr>
                <w:rFonts w:ascii="Calibri" w:eastAsia="Times New Roman" w:hAnsi="Calibri"/>
                <w:noProof w:val="0"/>
                <w:sz w:val="22"/>
                <w:szCs w:val="22"/>
                <w:lang w:eastAsia="en-AU"/>
              </w:rPr>
            </w:pPr>
            <w:r w:rsidRPr="003776C5">
              <w:rPr>
                <w:rFonts w:ascii="Calibri" w:eastAsia="Times New Roman" w:hAnsi="Calibri"/>
                <w:noProof w:val="0"/>
                <w:sz w:val="22"/>
                <w:szCs w:val="22"/>
                <w:lang w:eastAsia="en-AU"/>
              </w:rPr>
              <w:t>Centre beam luminous intensity ≥ declared value</w:t>
            </w:r>
          </w:p>
        </w:tc>
        <w:tc>
          <w:tcPr>
            <w:tcW w:w="2894" w:type="dxa"/>
          </w:tcPr>
          <w:p w14:paraId="03C9F75B" w14:textId="77777777" w:rsidR="003776C5" w:rsidRPr="003776C5" w:rsidRDefault="003776C5" w:rsidP="003776C5">
            <w:pPr>
              <w:spacing w:after="0" w:line="240" w:lineRule="auto"/>
              <w:rPr>
                <w:rFonts w:ascii="Calibri" w:eastAsia="Times New Roman" w:hAnsi="Calibri"/>
                <w:noProof w:val="0"/>
                <w:sz w:val="22"/>
                <w:szCs w:val="22"/>
                <w:lang w:eastAsia="en-AU"/>
              </w:rPr>
            </w:pPr>
          </w:p>
          <w:p w14:paraId="7623235D" w14:textId="77777777" w:rsidR="003776C5" w:rsidRPr="003776C5" w:rsidRDefault="003776C5" w:rsidP="003776C5">
            <w:pPr>
              <w:spacing w:after="0" w:line="240" w:lineRule="auto"/>
              <w:rPr>
                <w:rFonts w:ascii="Calibri" w:eastAsia="Calibri" w:hAnsi="Calibri"/>
                <w:noProof w:val="0"/>
                <w:color w:val="000000"/>
                <w:sz w:val="22"/>
                <w:szCs w:val="22"/>
              </w:rPr>
            </w:pPr>
            <w:r w:rsidRPr="003776C5">
              <w:rPr>
                <w:rFonts w:ascii="Calibri" w:eastAsia="Times New Roman" w:hAnsi="Calibri"/>
                <w:noProof w:val="0"/>
                <w:sz w:val="22"/>
                <w:szCs w:val="22"/>
                <w:lang w:eastAsia="en-AU"/>
              </w:rPr>
              <w:t>N/A</w:t>
            </w:r>
          </w:p>
        </w:tc>
        <w:tc>
          <w:tcPr>
            <w:tcW w:w="1134" w:type="dxa"/>
          </w:tcPr>
          <w:p w14:paraId="3D10A7AA" w14:textId="77777777" w:rsidR="003776C5" w:rsidRPr="003776C5" w:rsidRDefault="003776C5" w:rsidP="003776C5">
            <w:pPr>
              <w:spacing w:after="0" w:line="240" w:lineRule="auto"/>
              <w:rPr>
                <w:rFonts w:ascii="Calibri" w:eastAsia="Times New Roman" w:hAnsi="Calibri"/>
                <w:noProof w:val="0"/>
                <w:sz w:val="22"/>
                <w:szCs w:val="22"/>
                <w:lang w:eastAsia="en-AU"/>
              </w:rPr>
            </w:pPr>
          </w:p>
          <w:p w14:paraId="42FCE86B"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1</w:t>
            </w:r>
          </w:p>
          <w:p w14:paraId="7B6D2B88"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262BF85E"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tc>
        <w:tc>
          <w:tcPr>
            <w:tcW w:w="1843" w:type="dxa"/>
          </w:tcPr>
          <w:p w14:paraId="7FE400A4" w14:textId="77777777" w:rsidR="003776C5" w:rsidRPr="003776C5" w:rsidRDefault="003776C5" w:rsidP="003776C5">
            <w:pPr>
              <w:spacing w:after="0" w:line="240" w:lineRule="auto"/>
              <w:rPr>
                <w:rFonts w:ascii="Calibri" w:eastAsia="Times New Roman" w:hAnsi="Calibri"/>
                <w:noProof w:val="0"/>
                <w:sz w:val="22"/>
                <w:szCs w:val="22"/>
                <w:lang w:eastAsia="en-AU"/>
              </w:rPr>
            </w:pPr>
          </w:p>
          <w:p w14:paraId="68F99341" w14:textId="77777777" w:rsidR="003776C5" w:rsidRPr="003776C5" w:rsidRDefault="003776C5" w:rsidP="003776C5">
            <w:pPr>
              <w:spacing w:after="0" w:line="240" w:lineRule="auto"/>
              <w:rPr>
                <w:rFonts w:ascii="Calibri" w:eastAsia="Calibri" w:hAnsi="Calibri"/>
                <w:noProof w:val="0"/>
                <w:sz w:val="22"/>
                <w:szCs w:val="22"/>
                <w:lang w:val="en-GB"/>
              </w:rPr>
            </w:pPr>
            <w:r w:rsidRPr="003776C5">
              <w:rPr>
                <w:rFonts w:ascii="Calibri" w:eastAsia="Calibri" w:hAnsi="Calibri"/>
                <w:noProof w:val="0"/>
                <w:sz w:val="22"/>
                <w:szCs w:val="22"/>
                <w:lang w:val="en-GB"/>
              </w:rPr>
              <w:t>For MR or PAR lamp claimed equivalence:</w:t>
            </w:r>
          </w:p>
          <w:p w14:paraId="4993123C" w14:textId="77777777" w:rsidR="003776C5" w:rsidRPr="003776C5" w:rsidRDefault="003776C5" w:rsidP="003776C5">
            <w:pPr>
              <w:spacing w:after="0" w:line="240" w:lineRule="auto"/>
              <w:rPr>
                <w:rFonts w:ascii="Calibri" w:eastAsia="Calibri" w:hAnsi="Calibri"/>
                <w:noProof w:val="0"/>
                <w:sz w:val="22"/>
                <w:szCs w:val="22"/>
                <w:lang w:val="en-GB"/>
              </w:rPr>
            </w:pPr>
          </w:p>
          <w:p w14:paraId="2A2F57AC" w14:textId="77777777" w:rsidR="003776C5" w:rsidRPr="003776C5" w:rsidRDefault="003776C5" w:rsidP="003776C5">
            <w:pPr>
              <w:spacing w:after="0" w:line="240" w:lineRule="auto"/>
              <w:rPr>
                <w:rFonts w:ascii="Calibri" w:eastAsia="Times New Roman" w:hAnsi="Calibri"/>
                <w:noProof w:val="0"/>
                <w:sz w:val="22"/>
                <w:szCs w:val="22"/>
                <w:lang w:eastAsia="en-AU"/>
              </w:rPr>
            </w:pPr>
            <w:r w:rsidRPr="003776C5">
              <w:rPr>
                <w:rFonts w:ascii="Calibri" w:eastAsia="Times New Roman" w:hAnsi="Calibri"/>
                <w:noProof w:val="0"/>
                <w:sz w:val="22"/>
                <w:szCs w:val="22"/>
                <w:lang w:eastAsia="en-AU"/>
              </w:rPr>
              <w:t xml:space="preserve">≥ of equivalent level </w:t>
            </w:r>
          </w:p>
          <w:p w14:paraId="75432D16" w14:textId="77777777" w:rsidR="003776C5" w:rsidRPr="003776C5" w:rsidRDefault="003776C5" w:rsidP="003776C5">
            <w:pPr>
              <w:spacing w:after="0" w:line="240" w:lineRule="auto"/>
              <w:rPr>
                <w:rFonts w:ascii="Calibri" w:eastAsia="Times New Roman" w:hAnsi="Calibri"/>
                <w:noProof w:val="0"/>
                <w:sz w:val="22"/>
                <w:szCs w:val="22"/>
                <w:lang w:eastAsia="en-AU"/>
              </w:rPr>
            </w:pPr>
          </w:p>
          <w:p w14:paraId="2D258966" w14:textId="77777777" w:rsidR="003776C5" w:rsidRPr="003776C5" w:rsidRDefault="003776C5" w:rsidP="003776C5">
            <w:pPr>
              <w:spacing w:after="0" w:line="240" w:lineRule="auto"/>
              <w:rPr>
                <w:rFonts w:ascii="Calibri" w:eastAsia="Times New Roman" w:hAnsi="Calibri"/>
                <w:noProof w:val="0"/>
                <w:sz w:val="22"/>
                <w:szCs w:val="22"/>
                <w:lang w:eastAsia="en-AU"/>
              </w:rPr>
            </w:pPr>
            <w:r w:rsidRPr="003776C5">
              <w:rPr>
                <w:rFonts w:ascii="Calibri" w:eastAsia="Times New Roman" w:hAnsi="Calibri"/>
                <w:noProof w:val="0"/>
                <w:sz w:val="22"/>
                <w:szCs w:val="22"/>
                <w:lang w:eastAsia="en-AU"/>
              </w:rPr>
              <w:t>For other lamp type claimed equivalence:</w:t>
            </w:r>
          </w:p>
          <w:p w14:paraId="1414D0D2" w14:textId="77777777" w:rsidR="003776C5" w:rsidRPr="003776C5" w:rsidRDefault="003776C5" w:rsidP="003776C5">
            <w:pPr>
              <w:spacing w:after="0" w:line="240" w:lineRule="auto"/>
              <w:rPr>
                <w:rFonts w:ascii="Calibri" w:eastAsia="Times New Roman" w:hAnsi="Calibri"/>
                <w:noProof w:val="0"/>
                <w:sz w:val="22"/>
                <w:szCs w:val="22"/>
                <w:lang w:eastAsia="en-AU"/>
              </w:rPr>
            </w:pPr>
          </w:p>
          <w:p w14:paraId="7D9BB5B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sz w:val="22"/>
                <w:szCs w:val="22"/>
                <w:lang w:eastAsia="en-AU"/>
              </w:rPr>
              <w:t>≥ of declared value</w:t>
            </w:r>
          </w:p>
        </w:tc>
        <w:tc>
          <w:tcPr>
            <w:tcW w:w="1701" w:type="dxa"/>
          </w:tcPr>
          <w:p w14:paraId="59964A59"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75AF2CB1"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highlight w:val="yellow"/>
                <w:lang w:eastAsia="en-AU"/>
              </w:rPr>
              <w:t>CIE S025</w:t>
            </w:r>
          </w:p>
          <w:p w14:paraId="5C5285E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64E6BAB7"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or</w:t>
            </w:r>
          </w:p>
          <w:p w14:paraId="0295DE3E"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4A7BA93E"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LM79 accepted until July 2021</w:t>
            </w:r>
          </w:p>
          <w:p w14:paraId="05189CA0"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1C3D5C3A"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r w:rsidRPr="003776C5">
              <w:rPr>
                <w:rFonts w:ascii="Calibri" w:eastAsia="Times New Roman" w:hAnsi="Calibri"/>
                <w:noProof w:val="0"/>
                <w:color w:val="000000"/>
                <w:sz w:val="22"/>
                <w:szCs w:val="22"/>
                <w:lang w:eastAsia="en-AU"/>
              </w:rPr>
              <w:t>or</w:t>
            </w:r>
          </w:p>
          <w:p w14:paraId="7907D616"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p w14:paraId="3CAD12F6" w14:textId="77777777" w:rsidR="003776C5" w:rsidRPr="003776C5" w:rsidRDefault="003776C5" w:rsidP="003776C5">
            <w:pPr>
              <w:spacing w:after="0" w:line="240" w:lineRule="auto"/>
              <w:rPr>
                <w:rFonts w:ascii="Verdana" w:eastAsia="Calibri" w:hAnsi="Verdana"/>
                <w:noProof w:val="0"/>
                <w:color w:val="121214"/>
                <w:sz w:val="18"/>
                <w:szCs w:val="18"/>
                <w:shd w:val="clear" w:color="auto" w:fill="FCFCFC"/>
              </w:rPr>
            </w:pPr>
            <w:r w:rsidRPr="003776C5">
              <w:rPr>
                <w:rFonts w:ascii="Verdana" w:eastAsia="Calibri" w:hAnsi="Verdana"/>
                <w:noProof w:val="0"/>
                <w:color w:val="121214"/>
                <w:sz w:val="18"/>
                <w:szCs w:val="18"/>
                <w:shd w:val="clear" w:color="auto" w:fill="FCFCFC"/>
              </w:rPr>
              <w:t>EN 13032-4:2015</w:t>
            </w:r>
          </w:p>
          <w:p w14:paraId="56BD42B4" w14:textId="77777777" w:rsidR="003776C5" w:rsidRPr="003776C5" w:rsidRDefault="003776C5" w:rsidP="003776C5">
            <w:pPr>
              <w:spacing w:after="0" w:line="240" w:lineRule="auto"/>
              <w:rPr>
                <w:rFonts w:ascii="Calibri" w:eastAsia="Times New Roman" w:hAnsi="Calibri"/>
                <w:noProof w:val="0"/>
                <w:color w:val="000000"/>
                <w:sz w:val="22"/>
                <w:szCs w:val="22"/>
                <w:lang w:eastAsia="en-AU"/>
              </w:rPr>
            </w:pPr>
          </w:p>
        </w:tc>
      </w:tr>
    </w:tbl>
    <w:p w14:paraId="769C264C" w14:textId="77777777" w:rsidR="003776C5" w:rsidRPr="003776C5" w:rsidRDefault="003776C5" w:rsidP="003776C5">
      <w:pPr>
        <w:spacing w:after="200" w:line="276" w:lineRule="auto"/>
        <w:rPr>
          <w:rFonts w:ascii="Calibri" w:eastAsia="Calibri" w:hAnsi="Calibri"/>
          <w:b/>
          <w:noProof w:val="0"/>
          <w:sz w:val="22"/>
          <w:szCs w:val="22"/>
        </w:rPr>
      </w:pPr>
    </w:p>
    <w:p w14:paraId="5F762DB0" w14:textId="77777777" w:rsidR="003776C5" w:rsidRPr="003776C5" w:rsidRDefault="003776C5" w:rsidP="003776C5">
      <w:pPr>
        <w:spacing w:after="200" w:line="276" w:lineRule="auto"/>
        <w:rPr>
          <w:rFonts w:ascii="Calibri" w:eastAsia="Calibri" w:hAnsi="Calibri"/>
          <w:b/>
          <w:noProof w:val="0"/>
          <w:sz w:val="22"/>
          <w:szCs w:val="22"/>
        </w:rPr>
      </w:pPr>
    </w:p>
    <w:p w14:paraId="1132E4DE" w14:textId="3DA40A44" w:rsidR="003776C5" w:rsidRDefault="003776C5" w:rsidP="003776C5">
      <w:pPr>
        <w:tabs>
          <w:tab w:val="left" w:pos="4821"/>
        </w:tabs>
        <w:rPr>
          <w:lang w:eastAsia="en-AU"/>
        </w:rPr>
      </w:pPr>
    </w:p>
    <w:p w14:paraId="591960D1" w14:textId="77777777" w:rsidR="00BD074F" w:rsidRPr="003776C5" w:rsidRDefault="00BD074F" w:rsidP="003776C5">
      <w:pPr>
        <w:rPr>
          <w:lang w:eastAsia="en-AU"/>
        </w:rPr>
        <w:sectPr w:rsidR="00BD074F" w:rsidRPr="003776C5" w:rsidSect="003776C5">
          <w:headerReference w:type="first" r:id="rId65"/>
          <w:pgSz w:w="16840" w:h="11907" w:orient="landscape" w:code="9"/>
          <w:pgMar w:top="1134" w:right="1134" w:bottom="1134" w:left="1418" w:header="709" w:footer="709" w:gutter="0"/>
          <w:cols w:space="720"/>
          <w:titlePg/>
          <w:docGrid w:linePitch="360"/>
        </w:sectPr>
      </w:pPr>
    </w:p>
    <w:p w14:paraId="595576C2" w14:textId="7FD7715F" w:rsidR="00E80CE0" w:rsidRPr="00343437" w:rsidRDefault="00E80CE0" w:rsidP="00525D59">
      <w:pPr>
        <w:tabs>
          <w:tab w:val="left" w:pos="2295"/>
        </w:tabs>
        <w:rPr>
          <w:lang w:eastAsia="en-AU"/>
        </w:rPr>
        <w:sectPr w:rsidR="00E80CE0" w:rsidRPr="00343437" w:rsidSect="00A967A4">
          <w:pgSz w:w="11907" w:h="16840" w:code="9"/>
          <w:pgMar w:top="1134" w:right="1134" w:bottom="1418" w:left="1134" w:header="709" w:footer="709" w:gutter="0"/>
          <w:cols w:space="720"/>
          <w:titlePg/>
          <w:docGrid w:linePitch="360"/>
        </w:sectPr>
      </w:pPr>
    </w:p>
    <w:p w14:paraId="1989A13D" w14:textId="77777777" w:rsidR="00D64A75" w:rsidRPr="00343437" w:rsidRDefault="00D64A75" w:rsidP="002F6383">
      <w:pPr>
        <w:pStyle w:val="E3BodyText"/>
      </w:pPr>
    </w:p>
    <w:p w14:paraId="4FFB4F77" w14:textId="77777777" w:rsidR="00D64A75" w:rsidRPr="00343437" w:rsidRDefault="00D64A75" w:rsidP="002F6383">
      <w:pPr>
        <w:pStyle w:val="E3BodyText"/>
      </w:pPr>
      <w:r w:rsidRPr="00343437">
        <w:rPr>
          <w:noProof/>
          <w:lang w:val="en-AU"/>
        </w:rPr>
        <mc:AlternateContent>
          <mc:Choice Requires="wps">
            <w:drawing>
              <wp:inline distT="0" distB="0" distL="0" distR="0" wp14:anchorId="758F8CE2" wp14:editId="1F1CBEF4">
                <wp:extent cx="6154783" cy="1772920"/>
                <wp:effectExtent l="0" t="0" r="0" b="508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4783" cy="17729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62B4EF80" w14:textId="686201FE" w:rsidR="00FB2EC7" w:rsidRDefault="00FB2EC7" w:rsidP="006010D8">
                            <w:pPr>
                              <w:pStyle w:val="E3BackCoverTitle"/>
                            </w:pPr>
                            <w:r>
                              <w:t>Lighting: updated policy positions</w:t>
                            </w:r>
                          </w:p>
                          <w:p w14:paraId="5254EF32" w14:textId="77777777" w:rsidR="00FB2EC7" w:rsidRPr="00855D6B" w:rsidRDefault="00FB2EC7" w:rsidP="00DB056F">
                            <w:pPr>
                              <w:pStyle w:val="E3BackCoverTitle"/>
                            </w:pPr>
                            <w:r w:rsidRPr="00855D6B">
                              <w:t>www.energyrating.gov.au</w:t>
                            </w:r>
                          </w:p>
                        </w:txbxContent>
                      </wps:txbx>
                      <wps:bodyPr rot="0" vert="horz" wrap="square" lIns="91440" tIns="45720" rIns="91440" bIns="45720" anchor="ctr" anchorCtr="0" upright="1">
                        <a:noAutofit/>
                      </wps:bodyPr>
                    </wps:wsp>
                  </a:graphicData>
                </a:graphic>
              </wp:inline>
            </w:drawing>
          </mc:Choice>
          <mc:Fallback>
            <w:pict>
              <v:shape w14:anchorId="758F8CE2" id="Text Box 2" o:spid="_x0000_s1028" type="#_x0000_t202" style="width:484.65pt;height:13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" filled="f" stroked="f">
                <v:textbox>
                  <w:txbxContent>
                    <w:p w14:paraId="62B4EF80" w14:textId="686201FE" w:rsidR="00FB2EC7" w:rsidRDefault="00FB2EC7" w:rsidP="006010D8">
                      <w:pPr>
                        <w:pStyle w:val="E3BackCoverTitle"/>
                      </w:pPr>
                      <w:r>
                        <w:t>Lighting: updated policy positions</w:t>
                      </w:r>
                    </w:p>
                    <w:p w14:paraId="5254EF32" w14:textId="77777777" w:rsidR="00FB2EC7" w:rsidRPr="00855D6B" w:rsidRDefault="00FB2EC7" w:rsidP="00DB056F">
                      <w:pPr>
                        <w:pStyle w:val="E3BackCoverTitle"/>
                      </w:pPr>
                      <w:r w:rsidRPr="00855D6B">
                        <w:t>www.energyrating.gov.au</w:t>
                      </w:r>
                    </w:p>
                  </w:txbxContent>
                </v:textbox>
                <w10:anchorlock/>
              </v:shape>
            </w:pict>
          </mc:Fallback>
        </mc:AlternateContent>
      </w:r>
    </w:p>
    <w:p w14:paraId="77246BCF" w14:textId="77777777" w:rsidR="00D64A75" w:rsidRPr="00343437" w:rsidRDefault="00D64A75" w:rsidP="002F6383">
      <w:pPr>
        <w:pStyle w:val="E3BodyText"/>
      </w:pPr>
    </w:p>
    <w:p w14:paraId="4B48CD66" w14:textId="77777777" w:rsidR="00D64A75" w:rsidRPr="00343437" w:rsidRDefault="00D64A75" w:rsidP="002F6383">
      <w:pPr>
        <w:pStyle w:val="E3BodyText"/>
      </w:pPr>
    </w:p>
    <w:p w14:paraId="42FC9CCB" w14:textId="77777777" w:rsidR="0016451B" w:rsidRPr="00343437" w:rsidRDefault="00F86618" w:rsidP="00135085">
      <w:pPr>
        <w:pStyle w:val="Subtitle"/>
      </w:pPr>
      <w:r w:rsidRPr="00343437">
        <w:rPr>
          <w:lang w:eastAsia="en-AU"/>
        </w:rPr>
        <mc:AlternateContent>
          <mc:Choice Requires="wps">
            <w:drawing>
              <wp:inline distT="0" distB="0" distL="0" distR="0" wp14:anchorId="2CD64C11" wp14:editId="3430EF35">
                <wp:extent cx="6149340" cy="493395"/>
                <wp:effectExtent l="0" t="0" r="22860" b="14605"/>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4933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20309C36" w14:textId="77777777" w:rsidR="00FB2EC7" w:rsidRDefault="00FB2EC7" w:rsidP="0016451B">
                            <w:pPr>
                              <w:pStyle w:val="E3Subtitle"/>
                              <w:jc w:val="center"/>
                            </w:pPr>
                            <w:r>
                              <w:t>A joint initiative of Australian, State and Territory and New Zealand Governments</w:t>
                            </w:r>
                          </w:p>
                        </w:txbxContent>
                      </wps:txbx>
                      <wps:bodyPr rot="0" vert="horz" wrap="square" lIns="0" tIns="0" rIns="0" bIns="0" anchor="b" anchorCtr="0" upright="1">
                        <a:noAutofit/>
                      </wps:bodyPr>
                    </wps:wsp>
                  </a:graphicData>
                </a:graphic>
              </wp:inline>
            </w:drawing>
          </mc:Choice>
          <mc:Fallback>
            <w:pict>
              <v:shape w14:anchorId="2CD64C11" id="Text Box 3" o:spid="_x0000_s1029" type="#_x0000_t202" style="width:484.2pt;height:38.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" filled="f" stroked="f">
                <v:textbox inset="0,0,0,0">
                  <w:txbxContent>
                    <w:p w14:paraId="20309C36" w14:textId="77777777" w:rsidR="00FB2EC7" w:rsidRDefault="00FB2EC7" w:rsidP="0016451B">
                      <w:pPr>
                        <w:pStyle w:val="E3Subtitle"/>
                        <w:jc w:val="center"/>
                      </w:pPr>
                      <w:r>
                        <w:t>A joint initiative of Australian, State and Territory and New Zealand Governments</w:t>
                      </w:r>
                    </w:p>
                  </w:txbxContent>
                </v:textbox>
                <w10:anchorlock/>
              </v:shape>
            </w:pict>
          </mc:Fallback>
        </mc:AlternateContent>
      </w:r>
    </w:p>
    <w:sectPr w:rsidR="0016451B" w:rsidRPr="00343437" w:rsidSect="008D1179">
      <w:headerReference w:type="first" r:id="rId66"/>
      <w:footerReference w:type="first" r:id="rId67"/>
      <w:pgSz w:w="11907" w:h="16840" w:code="9"/>
      <w:pgMar w:top="5812" w:right="1134" w:bottom="1418" w:left="1134" w:header="709" w:footer="709"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76382E" w14:textId="77777777" w:rsidR="00FB2EC7" w:rsidRDefault="00FB2EC7" w:rsidP="006715E4">
      <w:pPr>
        <w:spacing w:after="0" w:line="240" w:lineRule="auto"/>
      </w:pPr>
      <w:r>
        <w:separator/>
      </w:r>
    </w:p>
    <w:p w14:paraId="6F56162C" w14:textId="77777777" w:rsidR="00FB2EC7" w:rsidRDefault="00FB2EC7"/>
    <w:p w14:paraId="549D918A" w14:textId="77777777" w:rsidR="00FB2EC7" w:rsidRDefault="00FB2EC7"/>
  </w:endnote>
  <w:endnote w:type="continuationSeparator" w:id="0">
    <w:p w14:paraId="66362335" w14:textId="77777777" w:rsidR="00FB2EC7" w:rsidRDefault="00FB2EC7" w:rsidP="006715E4">
      <w:pPr>
        <w:spacing w:after="0" w:line="240" w:lineRule="auto"/>
      </w:pPr>
      <w:r>
        <w:continuationSeparator/>
      </w:r>
    </w:p>
    <w:p w14:paraId="45F1A7DB" w14:textId="77777777" w:rsidR="00FB2EC7" w:rsidRDefault="00FB2EC7"/>
    <w:p w14:paraId="62C16335" w14:textId="77777777" w:rsidR="00FB2EC7" w:rsidRDefault="00FB2E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Helvetica Neue Light">
    <w:altName w:val="Times New Roman"/>
    <w:charset w:val="00"/>
    <w:family w:val="auto"/>
    <w:pitch w:val="variable"/>
    <w:sig w:usb0="00000001" w:usb1="5000205B" w:usb2="00000002" w:usb3="00000000" w:csb0="00000007"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PMincho">
    <w:panose1 w:val="02020600040205080304"/>
    <w:charset w:val="80"/>
    <w:family w:val="roman"/>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D6C44" w14:textId="77777777" w:rsidR="00FB2EC7" w:rsidRDefault="005933B0" w:rsidP="002F6383">
    <w:pPr>
      <w:pStyle w:val="Footer"/>
    </w:pPr>
    <w:r>
      <w:pict w14:anchorId="426819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1.55pt" o:hrpct="0" o:hralign="center" o:hr="t">
          <v:imagedata r:id="rId1" o:title="Default Line"/>
        </v:shape>
      </w:pict>
    </w:r>
    <w:r w:rsidR="00FB2EC7" w:rsidRPr="003C469D">
      <w:t xml:space="preserve"> </w:t>
    </w:r>
    <w:r w:rsidR="00FB2EC7">
      <w:t>Lighting: supplementary consultation</w:t>
    </w:r>
    <w:r w:rsidR="00FB2EC7">
      <w:tab/>
    </w:r>
    <w:r w:rsidR="00FB2EC7" w:rsidRPr="002D3654">
      <w:rPr>
        <w:rStyle w:val="PageNumber"/>
      </w:rPr>
      <w:fldChar w:fldCharType="begin"/>
    </w:r>
    <w:r w:rsidR="00FB2EC7" w:rsidRPr="002D3654">
      <w:rPr>
        <w:rStyle w:val="PageNumber"/>
      </w:rPr>
      <w:instrText xml:space="preserve"> PAGE </w:instrText>
    </w:r>
    <w:r w:rsidR="00FB2EC7" w:rsidRPr="002D3654">
      <w:rPr>
        <w:rStyle w:val="PageNumber"/>
      </w:rPr>
      <w:fldChar w:fldCharType="separate"/>
    </w:r>
    <w:r>
      <w:rPr>
        <w:rStyle w:val="PageNumber"/>
        <w:noProof/>
      </w:rPr>
      <w:t>61</w:t>
    </w:r>
    <w:r w:rsidR="00FB2EC7" w:rsidRPr="002D3654">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1BE1F" w14:textId="77777777" w:rsidR="00FB2EC7" w:rsidRPr="00E638CE" w:rsidRDefault="00FB2EC7" w:rsidP="00E638CE">
    <w:pPr>
      <w:pStyle w:val="E3CoverFooter"/>
    </w:pPr>
    <w:r>
      <w:t>A joint initiative of Australian, State and Territory</w:t>
    </w:r>
    <w:r>
      <w:br/>
      <w:t>and New Zealand Governments.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9FBC4" w14:textId="77777777" w:rsidR="00FB2EC7" w:rsidRDefault="00FB2EC7" w:rsidP="002F6383">
    <w:pPr>
      <w:pStyle w:val="Footer"/>
    </w:pPr>
    <w:r>
      <w:rPr>
        <w:noProof/>
        <w:lang w:val="en-AU"/>
      </w:rPr>
      <mc:AlternateContent>
        <mc:Choice Requires="wps">
          <w:drawing>
            <wp:anchor distT="0" distB="0" distL="114300" distR="114300" simplePos="0" relativeHeight="251658752" behindDoc="1" locked="0" layoutInCell="1" allowOverlap="1" wp14:anchorId="78E17E3B" wp14:editId="7DB4A37A">
              <wp:simplePos x="0" y="0"/>
              <wp:positionH relativeFrom="page">
                <wp:posOffset>723900</wp:posOffset>
              </wp:positionH>
              <wp:positionV relativeFrom="page">
                <wp:posOffset>1745615</wp:posOffset>
              </wp:positionV>
              <wp:extent cx="6153150" cy="8098971"/>
              <wp:effectExtent l="0" t="0" r="0" b="0"/>
              <wp:wrapNone/>
              <wp:docPr id="3" name="Rectangle 3" descr="decorative element" title=" "/>
              <wp:cNvGraphicFramePr/>
              <a:graphic xmlns:a="http://schemas.openxmlformats.org/drawingml/2006/main">
                <a:graphicData uri="http://schemas.microsoft.com/office/word/2010/wordprocessingShape">
                  <wps:wsp>
                    <wps:cNvSpPr/>
                    <wps:spPr>
                      <a:xfrm>
                        <a:off x="0" y="0"/>
                        <a:ext cx="6153150" cy="8098971"/>
                      </a:xfrm>
                      <a:prstGeom prst="rect">
                        <a:avLst/>
                      </a:prstGeom>
                      <a:solidFill>
                        <a:schemeClr val="accent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319D7" id="Rectangle 3" o:spid="_x0000_s1026" alt="Title:   - Description: decorative element" style="position:absolute;margin-left:57pt;margin-top:137.45pt;width:484.5pt;height:637.7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" fillcolor="#fff0b4 [3208]" stroked="f">
              <w10:wrap anchorx="page" anchory="page"/>
            </v:rect>
          </w:pict>
        </mc:Fallback>
      </mc:AlternateContent>
    </w:r>
    <w:r w:rsidR="005933B0">
      <w:pict w14:anchorId="15F07D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1.55pt;height:1.55pt" o:hrpct="0" o:hralign="center" o:hr="t">
          <v:imagedata r:id="rId1" o:title="Default Line"/>
        </v:shape>
      </w:pict>
    </w:r>
    <w:r>
      <w:t>Lighting: supplementary consultation</w:t>
    </w:r>
  </w:p>
  <w:p w14:paraId="2E5C45CD" w14:textId="77777777" w:rsidR="00FB2EC7" w:rsidRPr="00D14FB0" w:rsidRDefault="00FB2EC7" w:rsidP="002F6383">
    <w:pPr>
      <w:pStyle w:val="Footer"/>
    </w:pPr>
    <w:r>
      <w:tab/>
    </w:r>
    <w:r>
      <w:tab/>
    </w:r>
    <w:r w:rsidRPr="002D3654">
      <w:rPr>
        <w:rStyle w:val="PageNumber"/>
      </w:rPr>
      <w:fldChar w:fldCharType="begin"/>
    </w:r>
    <w:r w:rsidRPr="002D3654">
      <w:rPr>
        <w:rStyle w:val="PageNumber"/>
      </w:rPr>
      <w:instrText xml:space="preserve"> PAGE </w:instrText>
    </w:r>
    <w:r w:rsidRPr="002D3654">
      <w:rPr>
        <w:rStyle w:val="PageNumber"/>
      </w:rPr>
      <w:fldChar w:fldCharType="separate"/>
    </w:r>
    <w:r w:rsidR="005933B0">
      <w:rPr>
        <w:rStyle w:val="PageNumber"/>
        <w:noProof/>
      </w:rPr>
      <w:t>ii</w:t>
    </w:r>
    <w:r w:rsidRPr="002D3654">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9B361" w14:textId="7ED51E06" w:rsidR="00FB2EC7" w:rsidRPr="00D14FB0" w:rsidRDefault="005933B0" w:rsidP="002F6383">
    <w:pPr>
      <w:pStyle w:val="Footer"/>
    </w:pPr>
    <w:r>
      <w:pict w14:anchorId="30A9EE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1.55pt;height:1.55pt" o:hrpct="0" o:hralign="center" o:hr="t">
          <v:imagedata r:id="rId1" o:title="Default Line"/>
        </v:shape>
      </w:pict>
    </w:r>
    <w:r w:rsidR="00FB2EC7" w:rsidRPr="00537796">
      <w:t xml:space="preserve"> </w:t>
    </w:r>
    <w:r w:rsidR="00FB2EC7">
      <w:t>Lighting: supplementary consultation</w:t>
    </w:r>
    <w:r w:rsidR="00FB2EC7">
      <w:tab/>
    </w:r>
    <w:r w:rsidR="00FB2EC7" w:rsidRPr="002D3654">
      <w:rPr>
        <w:rStyle w:val="PageNumber"/>
      </w:rPr>
      <w:fldChar w:fldCharType="begin"/>
    </w:r>
    <w:r w:rsidR="00FB2EC7" w:rsidRPr="002D3654">
      <w:rPr>
        <w:rStyle w:val="PageNumber"/>
      </w:rPr>
      <w:instrText xml:space="preserve"> PAGE </w:instrText>
    </w:r>
    <w:r w:rsidR="00FB2EC7" w:rsidRPr="002D3654">
      <w:rPr>
        <w:rStyle w:val="PageNumber"/>
      </w:rPr>
      <w:fldChar w:fldCharType="separate"/>
    </w:r>
    <w:r>
      <w:rPr>
        <w:rStyle w:val="PageNumber"/>
        <w:noProof/>
      </w:rPr>
      <w:t>iii</w:t>
    </w:r>
    <w:r w:rsidR="00FB2EC7" w:rsidRPr="002D3654">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9F8AE" w14:textId="77777777" w:rsidR="00FB2EC7" w:rsidRPr="00A37E0E" w:rsidRDefault="00FB2EC7" w:rsidP="002F6383">
    <w:pPr>
      <w:pStyle w:val="Footer"/>
    </w:pPr>
    <w:r>
      <w:t>Lighting: supplementary consultation</w:t>
    </w:r>
    <w:r>
      <w:tab/>
    </w:r>
    <w:r w:rsidRPr="002D3654">
      <w:rPr>
        <w:rStyle w:val="PageNumber"/>
      </w:rPr>
      <w:fldChar w:fldCharType="begin"/>
    </w:r>
    <w:r w:rsidRPr="002D3654">
      <w:rPr>
        <w:rStyle w:val="PageNumber"/>
      </w:rPr>
      <w:instrText xml:space="preserve"> PAGE </w:instrText>
    </w:r>
    <w:r w:rsidRPr="002D3654">
      <w:rPr>
        <w:rStyle w:val="PageNumber"/>
      </w:rPr>
      <w:fldChar w:fldCharType="separate"/>
    </w:r>
    <w:r w:rsidR="005933B0">
      <w:rPr>
        <w:rStyle w:val="PageNumber"/>
        <w:noProof/>
      </w:rPr>
      <w:t>87</w:t>
    </w:r>
    <w:r w:rsidRPr="002D3654">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187A67" w14:textId="09454196" w:rsidR="00FB2EC7" w:rsidRDefault="00FB2EC7" w:rsidP="006B00C9">
    <w:pPr>
      <w:pStyle w:val="Footer"/>
      <w:tabs>
        <w:tab w:val="right" w:pos="13750"/>
      </w:tabs>
    </w:pPr>
    <w:r w:rsidRPr="003B4BCC">
      <w:t>Draft Minimum Energy Performance Standards for LED Lighting</w:t>
    </w:r>
    <w:r>
      <w:t xml:space="preserve"> –   V11 13 September 2017</w:t>
    </w:r>
    <w:r>
      <w:tab/>
    </w:r>
    <w:r>
      <w:tab/>
      <w:t xml:space="preserve">Page </w:t>
    </w:r>
    <w:r>
      <w:rPr>
        <w:b w:val="0"/>
        <w:bCs/>
      </w:rPr>
      <w:fldChar w:fldCharType="begin"/>
    </w:r>
    <w:r>
      <w:rPr>
        <w:bCs/>
      </w:rPr>
      <w:instrText xml:space="preserve"> PAGE  \* Arabic  \* MERGEFORMAT </w:instrText>
    </w:r>
    <w:r>
      <w:rPr>
        <w:b w:val="0"/>
        <w:bCs/>
      </w:rPr>
      <w:fldChar w:fldCharType="separate"/>
    </w:r>
    <w:r w:rsidR="005933B0" w:rsidRPr="005933B0">
      <w:rPr>
        <w:b w:val="0"/>
        <w:bCs/>
        <w:noProof/>
      </w:rPr>
      <w:t>86</w:t>
    </w:r>
    <w:r>
      <w:rPr>
        <w:b w:val="0"/>
        <w:bCs/>
      </w:rPr>
      <w:fldChar w:fldCharType="end"/>
    </w:r>
    <w:r>
      <w:t xml:space="preserve"> of </w:t>
    </w:r>
    <w:r>
      <w:rPr>
        <w:b w:val="0"/>
        <w:bCs/>
      </w:rPr>
      <w:fldChar w:fldCharType="begin"/>
    </w:r>
    <w:r>
      <w:rPr>
        <w:bCs/>
      </w:rPr>
      <w:instrText xml:space="preserve"> NUMPAGES  \* Arabic  \* MERGEFORMAT </w:instrText>
    </w:r>
    <w:r>
      <w:rPr>
        <w:b w:val="0"/>
        <w:bCs/>
      </w:rPr>
      <w:fldChar w:fldCharType="separate"/>
    </w:r>
    <w:r w:rsidR="005933B0" w:rsidRPr="005933B0">
      <w:rPr>
        <w:b w:val="0"/>
        <w:bCs/>
        <w:noProof/>
      </w:rPr>
      <w:t>107</w:t>
    </w:r>
    <w:r>
      <w:rPr>
        <w:b w:val="0"/>
        <w:bCs/>
      </w:rPr>
      <w:fldChar w:fldCharType="end"/>
    </w:r>
  </w:p>
  <w:p w14:paraId="081C9724" w14:textId="77777777" w:rsidR="00FB2EC7" w:rsidRDefault="00FB2EC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0DB8B" w14:textId="77777777" w:rsidR="00FB2EC7" w:rsidRPr="00881F6E" w:rsidRDefault="00FB2EC7" w:rsidP="002F6383">
    <w:pPr>
      <w:pStyle w:val="E3FootnoteTex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DB25F9" w14:textId="77777777" w:rsidR="00FB2EC7" w:rsidRDefault="00FB2EC7" w:rsidP="006715E4">
      <w:pPr>
        <w:spacing w:after="0" w:line="240" w:lineRule="auto"/>
      </w:pPr>
      <w:r>
        <w:separator/>
      </w:r>
    </w:p>
    <w:p w14:paraId="704C7E39" w14:textId="77777777" w:rsidR="00FB2EC7" w:rsidRDefault="00FB2EC7"/>
    <w:p w14:paraId="41933676" w14:textId="77777777" w:rsidR="00FB2EC7" w:rsidRDefault="00FB2EC7"/>
  </w:footnote>
  <w:footnote w:type="continuationSeparator" w:id="0">
    <w:p w14:paraId="70FFD526" w14:textId="77777777" w:rsidR="00FB2EC7" w:rsidRDefault="00FB2EC7" w:rsidP="006715E4">
      <w:pPr>
        <w:spacing w:after="0" w:line="240" w:lineRule="auto"/>
      </w:pPr>
      <w:r>
        <w:continuationSeparator/>
      </w:r>
    </w:p>
    <w:p w14:paraId="21A1145C" w14:textId="77777777" w:rsidR="00FB2EC7" w:rsidRDefault="00FB2EC7"/>
    <w:p w14:paraId="3B96C325" w14:textId="77777777" w:rsidR="00FB2EC7" w:rsidRDefault="00FB2EC7"/>
  </w:footnote>
  <w:footnote w:id="1">
    <w:p w14:paraId="6C006D83" w14:textId="19387D1A" w:rsidR="00FB2EC7" w:rsidRPr="00430EA3" w:rsidRDefault="00FB2EC7" w:rsidP="002F6383">
      <w:pPr>
        <w:pStyle w:val="FootnoteText"/>
      </w:pPr>
      <w:r>
        <w:rPr>
          <w:rStyle w:val="FootnoteReference"/>
        </w:rPr>
        <w:footnoteRef/>
      </w:r>
      <w:r>
        <w:t xml:space="preserve"> Efficacy is a term used to describe the relative energy efficiency of lighting products in lumens per watt.</w:t>
      </w:r>
    </w:p>
  </w:footnote>
  <w:footnote w:id="2">
    <w:p w14:paraId="5590AB00" w14:textId="77777777" w:rsidR="00FB2EC7" w:rsidRDefault="00FB2EC7" w:rsidP="00AF3C6C">
      <w:pPr>
        <w:pStyle w:val="E3FootnoteText"/>
      </w:pPr>
      <w:r>
        <w:rPr>
          <w:rStyle w:val="FootnoteReference"/>
        </w:rPr>
        <w:footnoteRef/>
      </w:r>
      <w:r>
        <w:t xml:space="preserve"> Products accepted for simplified registration will not be subject to compliance testing against MEPS efficacy requirements.</w:t>
      </w:r>
    </w:p>
  </w:footnote>
  <w:footnote w:id="3">
    <w:p w14:paraId="0FB39DCD" w14:textId="77777777" w:rsidR="00FB2EC7" w:rsidRDefault="00FB2EC7" w:rsidP="00AF3C6C">
      <w:pPr>
        <w:pStyle w:val="E3FootnoteText"/>
      </w:pPr>
      <w:r w:rsidRPr="00C91146">
        <w:rPr>
          <w:rStyle w:val="FootnoteReference"/>
          <w:rFonts w:asciiTheme="minorHAnsi" w:hAnsiTheme="minorHAnsi"/>
        </w:rPr>
        <w:footnoteRef/>
      </w:r>
      <w:r w:rsidRPr="00C91146">
        <w:t xml:space="preserve"> </w:t>
      </w:r>
      <w:r w:rsidRPr="00453F48">
        <w:t>Lamp testing was undertaken  by an independent accredited test laboratory</w:t>
      </w:r>
      <w:r w:rsidRPr="00DD7CBD">
        <w:t xml:space="preserve"> </w:t>
      </w:r>
    </w:p>
  </w:footnote>
  <w:footnote w:id="4">
    <w:p w14:paraId="64E5938A" w14:textId="2CCC7297" w:rsidR="00FB2EC7" w:rsidRPr="00132A97" w:rsidRDefault="00FB2EC7">
      <w:pPr>
        <w:pStyle w:val="FootnoteText"/>
        <w:rPr>
          <w:lang w:val="en-AU"/>
        </w:rPr>
      </w:pPr>
      <w:r>
        <w:rPr>
          <w:rStyle w:val="FootnoteReference"/>
        </w:rPr>
        <w:footnoteRef/>
      </w:r>
      <w:r>
        <w:t xml:space="preserve"> </w:t>
      </w:r>
      <w:r w:rsidRPr="001D173D">
        <w:rPr>
          <w:sz w:val="16"/>
          <w:szCs w:val="16"/>
        </w:rPr>
        <w:t>The Total investment column for New Zealand includes costs to consumers and product supply businesses to implement the option. The proportion of government costs to be incurred by the New Zealand Government has not been accounted for in this table, with all government costs included in the Australian table.</w:t>
      </w:r>
    </w:p>
  </w:footnote>
  <w:footnote w:id="5">
    <w:p w14:paraId="5DBBA0CC" w14:textId="77777777" w:rsidR="00FB2EC7" w:rsidRPr="005731FF" w:rsidRDefault="00FB2EC7" w:rsidP="003B62AD">
      <w:pPr>
        <w:pStyle w:val="E3FootnoteText"/>
      </w:pPr>
      <w:r w:rsidRPr="00934E1A">
        <w:rPr>
          <w:rStyle w:val="FootnoteReference"/>
        </w:rPr>
        <w:footnoteRef/>
      </w:r>
      <w:r w:rsidRPr="00934E1A">
        <w:t xml:space="preserve"> Based on the estimated</w:t>
      </w:r>
      <w:r>
        <w:t xml:space="preserve"> net benefit, divided by the number of tonnes abated cumulative to 2030. </w:t>
      </w:r>
    </w:p>
  </w:footnote>
  <w:footnote w:id="6">
    <w:p w14:paraId="4DE218DF" w14:textId="4E5C7052" w:rsidR="00FB2EC7" w:rsidRPr="004B2061" w:rsidRDefault="00FB2EC7" w:rsidP="005D0A94">
      <w:pPr>
        <w:pStyle w:val="E3FootnoteText"/>
      </w:pPr>
      <w:r>
        <w:rPr>
          <w:rStyle w:val="FootnoteReference"/>
        </w:rPr>
        <w:footnoteRef/>
      </w:r>
      <w:r>
        <w:t xml:space="preserve"> </w:t>
      </w:r>
      <w:r w:rsidRPr="003F72D7">
        <w:rPr>
          <w:i/>
        </w:rPr>
        <w:t>E3 2016 Residential Lighting Report</w:t>
      </w:r>
      <w:r>
        <w:t>: 68 of 180 houses fitted with dimmers, 23 of which were connected to mains voltage halogen light bulbs (13%)</w:t>
      </w:r>
      <w:r w:rsidR="00CF6EA7">
        <w:t>,</w:t>
      </w:r>
      <w:r>
        <w:t xml:space="preserve"> (no split between directional and non-directional). Extrapolated to the entire Australian housing stock, it is estimated that 1.2 million houses have at least one dimmer connected to a standard halogen light bulb.</w:t>
      </w:r>
    </w:p>
  </w:footnote>
  <w:footnote w:id="7">
    <w:p w14:paraId="4FB5A71B" w14:textId="1031ADE1" w:rsidR="00FB2EC7" w:rsidRPr="00551930" w:rsidRDefault="00FB2EC7" w:rsidP="005D0A94">
      <w:pPr>
        <w:pStyle w:val="E3FootnoteText"/>
      </w:pPr>
      <w:r>
        <w:rPr>
          <w:rStyle w:val="FootnoteReference"/>
        </w:rPr>
        <w:footnoteRef/>
      </w:r>
      <w:r>
        <w:t xml:space="preserve"> </w:t>
      </w:r>
      <w:r w:rsidRPr="003F72D7">
        <w:rPr>
          <w:i/>
        </w:rPr>
        <w:t>E3 2016 Residential Lighting Report</w:t>
      </w:r>
      <w:r>
        <w:t>: for houses fitted with dimmers, the average was 3.</w:t>
      </w:r>
    </w:p>
  </w:footnote>
  <w:footnote w:id="8">
    <w:p w14:paraId="4B2B90D0" w14:textId="1CDF76A6" w:rsidR="00FB2EC7" w:rsidRPr="00002A52" w:rsidRDefault="00FB2EC7" w:rsidP="00C96C27">
      <w:pPr>
        <w:pStyle w:val="E3FootnoteText"/>
      </w:pPr>
      <w:r>
        <w:rPr>
          <w:rStyle w:val="FootnoteReference"/>
        </w:rPr>
        <w:footnoteRef/>
      </w:r>
      <w:r>
        <w:t xml:space="preserve"> Based on lamp operating hours of 621 p.a.; $0.26c per kWh; 2,000 hours halogen  lifetime and 15,000 hours LED lifetime; $3 standard halogen and $7 LED replacement; $3 halogen MR16 and $7.50 LED replacement; $4 halogen GU10 and $10 LED replacement. Estimated savings are in nominal terms with no escalation applied to costs (conservative). </w:t>
      </w:r>
    </w:p>
  </w:footnote>
  <w:footnote w:id="9">
    <w:p w14:paraId="615F5301" w14:textId="77777777" w:rsidR="00FB2EC7" w:rsidRPr="003F72D7" w:rsidRDefault="00FB2EC7" w:rsidP="00C96C27">
      <w:pPr>
        <w:pStyle w:val="E3FootnoteText"/>
      </w:pPr>
      <w:r>
        <w:rPr>
          <w:rStyle w:val="FootnoteReference"/>
        </w:rPr>
        <w:footnoteRef/>
      </w:r>
      <w:r>
        <w:t xml:space="preserve"> Data from the </w:t>
      </w:r>
      <w:r w:rsidRPr="003F72D7">
        <w:rPr>
          <w:i/>
        </w:rPr>
        <w:t>E3 2016 Residential Lighting Report</w:t>
      </w:r>
      <w:r>
        <w:rPr>
          <w:i/>
        </w:rPr>
        <w:t xml:space="preserve"> and </w:t>
      </w:r>
      <w:r w:rsidRPr="003F72D7">
        <w:rPr>
          <w:i/>
        </w:rPr>
        <w:t>E3 Residential Baseline Study 2015</w:t>
      </w:r>
      <w:r>
        <w:rPr>
          <w:i/>
        </w:rPr>
        <w:t xml:space="preserve"> </w:t>
      </w:r>
      <w:r>
        <w:t xml:space="preserve">have been used to extrapolate the average number of halogen light bulbs in townhouses and detached homes. </w:t>
      </w:r>
    </w:p>
  </w:footnote>
  <w:footnote w:id="10">
    <w:p w14:paraId="419C0AB9" w14:textId="77777777" w:rsidR="00FB2EC7" w:rsidRPr="008C0798" w:rsidRDefault="00FB2EC7" w:rsidP="00C96C27">
      <w:pPr>
        <w:pStyle w:val="E3FootnoteText"/>
      </w:pPr>
      <w:r>
        <w:rPr>
          <w:rStyle w:val="FootnoteReference"/>
        </w:rPr>
        <w:footnoteRef/>
      </w:r>
      <w:r>
        <w:t xml:space="preserve"> Cleared for disclosure from Department of Immigration and Border Protection under Part 6 of the Australian Border Force Act 2015.</w:t>
      </w:r>
    </w:p>
  </w:footnote>
  <w:footnote w:id="11">
    <w:p w14:paraId="1A111B15" w14:textId="77777777" w:rsidR="00FB2EC7" w:rsidRPr="00DD33EE" w:rsidRDefault="00FB2EC7" w:rsidP="007359BF">
      <w:pPr>
        <w:pStyle w:val="FootnoteText"/>
        <w:rPr>
          <w:lang w:val="en-AU"/>
        </w:rPr>
      </w:pPr>
      <w:r>
        <w:rPr>
          <w:rStyle w:val="FootnoteReference"/>
        </w:rPr>
        <w:footnoteRef/>
      </w:r>
      <w:r>
        <w:t xml:space="preserve"> </w:t>
      </w:r>
      <w:r>
        <w:rPr>
          <w:lang w:val="en-AU"/>
        </w:rPr>
        <w:t xml:space="preserve">Note – all Tungsten filament GLS shape and </w:t>
      </w:r>
      <w:r w:rsidRPr="00444B24">
        <w:rPr>
          <w:lang w:val="en-AU"/>
        </w:rPr>
        <w:t>candle, fancy round decorative</w:t>
      </w:r>
      <w:r>
        <w:rPr>
          <w:lang w:val="en-AU"/>
        </w:rPr>
        <w:t xml:space="preserve"> &gt;25W are already phased-out </w:t>
      </w:r>
    </w:p>
  </w:footnote>
  <w:footnote w:id="12">
    <w:p w14:paraId="42BF9282" w14:textId="032C9BD1" w:rsidR="00FB2EC7" w:rsidRPr="00F9596F" w:rsidRDefault="00FB2EC7" w:rsidP="00F9596F">
      <w:pPr>
        <w:pStyle w:val="E3FootnoteText"/>
        <w:rPr>
          <w:lang w:val="en-AU"/>
        </w:rPr>
      </w:pPr>
      <w:r>
        <w:rPr>
          <w:rStyle w:val="FootnoteReference"/>
        </w:rPr>
        <w:footnoteRef/>
      </w:r>
      <w:r>
        <w:t xml:space="preserve"> S</w:t>
      </w:r>
      <w:r w:rsidRPr="00CB7857">
        <w:t xml:space="preserve">ource: </w:t>
      </w:r>
      <w:hyperlink r:id="rId1" w:history="1">
        <w:r w:rsidRPr="00F9596F">
          <w:rPr>
            <w:rStyle w:val="Hyperlink"/>
          </w:rPr>
          <w:t>http://www.nectogroup.com/sphbox/fckeditor/fckuserfiles/image/01454-NCT-Moduli-Newlab_newsletter_03_EN_03.jpg</w:t>
        </w:r>
      </w:hyperlink>
    </w:p>
  </w:footnote>
  <w:footnote w:id="13">
    <w:p w14:paraId="1B79413D" w14:textId="77777777" w:rsidR="00FB2EC7" w:rsidRDefault="00FB2EC7" w:rsidP="003776C5">
      <w:pPr>
        <w:pStyle w:val="FootnoteText"/>
      </w:pPr>
      <w:r>
        <w:rPr>
          <w:rStyle w:val="FootnoteReference"/>
        </w:rPr>
        <w:footnoteRef/>
      </w:r>
      <w:r>
        <w:t xml:space="preserve"> </w:t>
      </w:r>
      <w:r w:rsidRPr="004D30F3">
        <w:t xml:space="preserve">Note: referenced from EU Regulation No244 (2009) </w:t>
      </w:r>
    </w:p>
  </w:footnote>
  <w:footnote w:id="14">
    <w:p w14:paraId="15C8930F" w14:textId="77777777" w:rsidR="00FB2EC7" w:rsidRDefault="00FB2EC7" w:rsidP="003776C5">
      <w:pPr>
        <w:pStyle w:val="FootnoteText"/>
      </w:pPr>
      <w:r>
        <w:rPr>
          <w:rStyle w:val="FootnoteReference"/>
        </w:rPr>
        <w:footnoteRef/>
      </w:r>
      <w:r>
        <w:t xml:space="preserve"> </w:t>
      </w:r>
      <w:r w:rsidRPr="008F6077">
        <w:t>A picture-book guide may be produced to assist with scope determination</w:t>
      </w:r>
    </w:p>
  </w:footnote>
  <w:footnote w:id="15">
    <w:p w14:paraId="4ABE6E61" w14:textId="77777777" w:rsidR="00FB2EC7" w:rsidRDefault="00FB2EC7" w:rsidP="003776C5">
      <w:pPr>
        <w:pStyle w:val="FootnoteText"/>
      </w:pPr>
      <w:r>
        <w:rPr>
          <w:rStyle w:val="FootnoteReference"/>
        </w:rPr>
        <w:footnoteRef/>
      </w:r>
      <w:r>
        <w:t xml:space="preserve"> Colour codes – Purple: mandatory test for all products in scope. Green: Tests expected to be available already for most products.</w:t>
      </w:r>
    </w:p>
  </w:footnote>
  <w:footnote w:id="16">
    <w:p w14:paraId="069D6778" w14:textId="77777777" w:rsidR="00FB2EC7" w:rsidRDefault="00FB2EC7" w:rsidP="003776C5">
      <w:pPr>
        <w:pStyle w:val="FootnoteText"/>
      </w:pPr>
      <w:r>
        <w:rPr>
          <w:rStyle w:val="FootnoteReference"/>
        </w:rPr>
        <w:footnoteRef/>
      </w:r>
      <w:r>
        <w:t xml:space="preserve"> </w:t>
      </w:r>
      <w:r>
        <w:rPr>
          <w:rFonts w:cs="Times New Roman"/>
          <w:color w:val="000000"/>
        </w:rPr>
        <w:t xml:space="preserve">As </w:t>
      </w:r>
      <w:r w:rsidRPr="00CD4A11">
        <w:rPr>
          <w:rFonts w:cs="Times New Roman"/>
          <w:color w:val="000000"/>
        </w:rPr>
        <w:t>per</w:t>
      </w:r>
      <w:r>
        <w:rPr>
          <w:rFonts w:cs="Times New Roman"/>
          <w:color w:val="000000"/>
        </w:rPr>
        <w:t xml:space="preserve"> ANSI C78.377: 2015 </w:t>
      </w:r>
      <w:r w:rsidRPr="009420CB">
        <w:rPr>
          <w:rFonts w:cs="Times New Roman"/>
          <w:color w:val="000000"/>
        </w:rPr>
        <w:t>Specifications for the Chromaticity of</w:t>
      </w:r>
      <w:r>
        <w:rPr>
          <w:rFonts w:cs="Times New Roman"/>
          <w:color w:val="000000"/>
        </w:rPr>
        <w:t xml:space="preserve"> Solid State</w:t>
      </w:r>
      <w:r w:rsidRPr="009420CB">
        <w:rPr>
          <w:rFonts w:cs="Times New Roman"/>
          <w:color w:val="000000"/>
        </w:rPr>
        <w:t xml:space="preserve"> Lighting Products</w:t>
      </w:r>
    </w:p>
  </w:footnote>
  <w:footnote w:id="17">
    <w:p w14:paraId="5F970D1B" w14:textId="77777777" w:rsidR="00FB2EC7" w:rsidRDefault="00FB2EC7" w:rsidP="003776C5">
      <w:pPr>
        <w:pStyle w:val="FootnoteText"/>
      </w:pPr>
      <w:r>
        <w:rPr>
          <w:rStyle w:val="FootnoteReference"/>
        </w:rPr>
        <w:footnoteRef/>
      </w:r>
      <w:r>
        <w:t xml:space="preserve"> Refer to Lumen Maintenance Testing Explained paper.</w:t>
      </w:r>
    </w:p>
  </w:footnote>
  <w:footnote w:id="18">
    <w:p w14:paraId="40DEAC96" w14:textId="77777777" w:rsidR="00FB2EC7" w:rsidRDefault="00FB2EC7" w:rsidP="003776C5">
      <w:pPr>
        <w:pStyle w:val="FootnoteText"/>
      </w:pPr>
      <w:r>
        <w:rPr>
          <w:rStyle w:val="FootnoteReference"/>
        </w:rPr>
        <w:footnoteRef/>
      </w:r>
      <w:r>
        <w:t xml:space="preserve"> </w:t>
      </w:r>
      <w:r>
        <w:rPr>
          <w:color w:val="000000"/>
        </w:rPr>
        <w:t>IEC 61000-3-2, Table 2, Limits for Class C equipment</w:t>
      </w:r>
    </w:p>
  </w:footnote>
  <w:footnote w:id="19">
    <w:p w14:paraId="398FBFEC" w14:textId="77777777" w:rsidR="00FB2EC7" w:rsidRDefault="00FB2EC7" w:rsidP="003776C5">
      <w:r>
        <w:rPr>
          <w:rStyle w:val="FootnoteReference"/>
        </w:rPr>
        <w:footnoteRef/>
      </w:r>
      <w:r>
        <w:t xml:space="preserve"> </w:t>
      </w:r>
      <w:r w:rsidRPr="005E7E07">
        <w:rPr>
          <w:rFonts w:ascii="Calibri" w:eastAsia="Times New Roman" w:hAnsi="Calibri"/>
          <w:color w:val="000000"/>
          <w:sz w:val="20"/>
          <w:szCs w:val="20"/>
          <w:lang w:eastAsia="en-AU"/>
        </w:rPr>
        <w:t>Based on IEC 62471/CIE S009. Guidance is provided in IEC/TR 62778:2014</w:t>
      </w:r>
      <w:r w:rsidRPr="005E7E07">
        <w:rPr>
          <w:rFonts w:ascii="MS Gothic" w:eastAsia="MS Gothic" w:hAnsi="MS Gothic" w:cs="MS Gothic"/>
          <w:color w:val="000000"/>
          <w:sz w:val="20"/>
          <w:szCs w:val="20"/>
          <w:lang w:eastAsia="en-AU"/>
        </w:rPr>
        <w:t>:</w:t>
      </w:r>
      <w:r w:rsidRPr="005E7E07">
        <w:rPr>
          <w:rFonts w:ascii="Calibri" w:eastAsia="Times New Roman" w:hAnsi="Calibri"/>
          <w:color w:val="000000"/>
          <w:sz w:val="20"/>
          <w:szCs w:val="20"/>
          <w:lang w:eastAsia="en-AU"/>
        </w:rPr>
        <w:t>Application of IEC 62471 for the assessment of blue light hazard to light sources and luminaires</w:t>
      </w:r>
    </w:p>
  </w:footnote>
  <w:footnote w:id="20">
    <w:p w14:paraId="5AC29ADF" w14:textId="77777777" w:rsidR="00FB2EC7" w:rsidRDefault="00FB2EC7" w:rsidP="003776C5">
      <w:pPr>
        <w:pStyle w:val="FootnoteText"/>
      </w:pPr>
      <w:r>
        <w:rPr>
          <w:rStyle w:val="FootnoteReference"/>
        </w:rPr>
        <w:footnoteRef/>
      </w:r>
      <w:r>
        <w:t xml:space="preserve"> Feedback during stakeholder consultation indicated a preference for this requirement to be retained for all lamps subject to MEPS</w:t>
      </w:r>
    </w:p>
  </w:footnote>
  <w:footnote w:id="21">
    <w:p w14:paraId="76BC4A8E" w14:textId="77777777" w:rsidR="00FB2EC7" w:rsidRDefault="00FB2EC7" w:rsidP="003776C5">
      <w:pPr>
        <w:pStyle w:val="FootnoteText"/>
      </w:pPr>
      <w:r>
        <w:rPr>
          <w:rStyle w:val="FootnoteReference"/>
        </w:rPr>
        <w:footnoteRef/>
      </w:r>
      <w:r>
        <w:t xml:space="preserve"> </w:t>
      </w:r>
      <w:r w:rsidRPr="00940F3E">
        <w:t>The requirements are based on IEEE 1789-2015. The priority here is on restricting the visible modulation of light (including flicker) at frequencies ≤ 90 Hz, as more research is required on the effects of light modulation frequencies beyond 90 Hz (i.e. non-visible effects). NOTE1: In some particular instances, there is a strong sub-harmonic or inter-harmonic frequency in the luminance modulation waveform. In this case, the dominant light modulation frequency may not be clearly defined. The requirements should then be met for both the Fourier fundamental frequency and the sub/inter harmonic frequency. NOTE2: Due to the lack of a standard for the photometric</w:t>
      </w:r>
      <w:r>
        <w:t xml:space="preserve"> measurement of modulated light</w:t>
      </w:r>
      <w:r w:rsidRPr="00940F3E">
        <w:t>, the SSL Annex are continuing to work on this issue, consult with stakeholders including CIE TC 1-83 (authors of CIE TN 006:2016), and will issue an update when new guidance becomes available.</w:t>
      </w:r>
    </w:p>
  </w:footnote>
  <w:footnote w:id="22">
    <w:p w14:paraId="308518DB" w14:textId="77777777" w:rsidR="00FB2EC7" w:rsidRDefault="00FB2EC7" w:rsidP="003776C5">
      <w:pPr>
        <w:pStyle w:val="FootnoteText"/>
      </w:pPr>
      <w:r>
        <w:rPr>
          <w:rStyle w:val="FootnoteReference"/>
        </w:rPr>
        <w:footnoteRef/>
      </w:r>
      <w:r>
        <w:t xml:space="preserve"> Based on IEEE 1789:2015 test method part only – and not the threshold values as concerns about stringency noted and may require adjustments to thresholds. See flicker discussion paper.</w:t>
      </w:r>
    </w:p>
  </w:footnote>
  <w:footnote w:id="23">
    <w:p w14:paraId="7D17595B" w14:textId="77777777" w:rsidR="00FB2EC7" w:rsidRDefault="00FB2EC7" w:rsidP="003776C5">
      <w:pPr>
        <w:pStyle w:val="FootnoteText"/>
      </w:pPr>
      <w:r>
        <w:rPr>
          <w:rStyle w:val="FootnoteReference"/>
        </w:rPr>
        <w:footnoteRef/>
      </w:r>
      <w:r>
        <w:t xml:space="preserve"> M</w:t>
      </w:r>
      <w:r w:rsidRPr="00F651AF">
        <w:t>odified test method</w:t>
      </w:r>
      <w:r>
        <w:t xml:space="preserve"> to be developed.</w:t>
      </w:r>
    </w:p>
  </w:footnote>
  <w:footnote w:id="24">
    <w:p w14:paraId="03CBE30F" w14:textId="77777777" w:rsidR="00FB2EC7" w:rsidRDefault="00FB2EC7" w:rsidP="003776C5">
      <w:pPr>
        <w:pStyle w:val="FootnoteText"/>
      </w:pPr>
      <w:r>
        <w:rPr>
          <w:rStyle w:val="FootnoteReference"/>
        </w:rPr>
        <w:footnoteRef/>
      </w:r>
      <w:r>
        <w:t xml:space="preserve"> In the absence of an agreed test method, at the moment we would not require up-front test reports – this is currently designed to ensure that adequate information on transformer compatibility claims is provided.</w:t>
      </w:r>
    </w:p>
  </w:footnote>
  <w:footnote w:id="25">
    <w:p w14:paraId="3FD2789C" w14:textId="77777777" w:rsidR="00FB2EC7" w:rsidRDefault="00FB2EC7" w:rsidP="003776C5">
      <w:pPr>
        <w:pStyle w:val="FootnoteText"/>
      </w:pPr>
      <w:r>
        <w:rPr>
          <w:rStyle w:val="FootnoteReference"/>
        </w:rPr>
        <w:footnoteRef/>
      </w:r>
      <w:r>
        <w:t xml:space="preserve"> </w:t>
      </w:r>
      <w:r w:rsidRPr="000B6B9A">
        <w:t>Audible noise is from excessive peak current during supply cycle. Can a limit be set which would stop noise from being generated? (Similar to the new phase cut dimmer compatibility tech Report 63037)</w:t>
      </w:r>
    </w:p>
  </w:footnote>
  <w:footnote w:id="26">
    <w:p w14:paraId="0869E16D" w14:textId="77777777" w:rsidR="00FB2EC7" w:rsidRDefault="00FB2EC7" w:rsidP="00402CDD">
      <w:pPr>
        <w:pStyle w:val="E3FootnoteText"/>
      </w:pPr>
      <w:r>
        <w:rPr>
          <w:rStyle w:val="FootnoteReference"/>
        </w:rPr>
        <w:footnoteRef/>
      </w:r>
      <w:r>
        <w:t xml:space="preserve"> </w:t>
      </w:r>
      <w:r w:rsidRPr="00E02552">
        <w:t>In the absence of an agreed test method, at the moment we would not require up-front test reports – this is more designed to ensure that adequate information on dimming claims is provided.</w:t>
      </w:r>
    </w:p>
  </w:footnote>
  <w:footnote w:id="27">
    <w:p w14:paraId="60F9C386" w14:textId="77777777" w:rsidR="00FB2EC7" w:rsidRDefault="00FB2EC7" w:rsidP="00402CDD">
      <w:pPr>
        <w:pStyle w:val="E3FootnoteText"/>
      </w:pPr>
      <w:r>
        <w:rPr>
          <w:rStyle w:val="FootnoteReference"/>
        </w:rPr>
        <w:footnoteRef/>
      </w:r>
      <w:r>
        <w:t xml:space="preserve"> IEC Joint Working Committee </w:t>
      </w:r>
      <w:r w:rsidRPr="00DF396E">
        <w:t>TC 34 &amp; 23B on the interoperability of dimmers and LED products 34/305/DTR</w:t>
      </w:r>
      <w:r>
        <w:t xml:space="preserve"> may provide reference Also IEC TC document 34C/1187/DC on in-rush current may provide reference</w:t>
      </w:r>
    </w:p>
  </w:footnote>
  <w:footnote w:id="28">
    <w:p w14:paraId="68CEDCF8" w14:textId="77777777" w:rsidR="00FB2EC7" w:rsidRDefault="00FB2EC7" w:rsidP="00402CDD">
      <w:pPr>
        <w:pStyle w:val="E3FootnoteText"/>
      </w:pPr>
      <w:r>
        <w:rPr>
          <w:rStyle w:val="FootnoteReference"/>
        </w:rPr>
        <w:footnoteRef/>
      </w:r>
      <w:r>
        <w:t xml:space="preserve"> </w:t>
      </w:r>
      <w:r w:rsidRPr="000B6B9A">
        <w:t>Limits on in-rush current could prevent audible noise and negate concern for trying to test the audible noise directly.</w:t>
      </w:r>
    </w:p>
  </w:footnote>
  <w:footnote w:id="29">
    <w:p w14:paraId="63000882" w14:textId="4B5F2B53" w:rsidR="00FB2EC7" w:rsidRDefault="00FB2EC7" w:rsidP="00402CDD">
      <w:pPr>
        <w:pStyle w:val="E3FootnoteText"/>
      </w:pPr>
      <w:r>
        <w:rPr>
          <w:rStyle w:val="FootnoteReference"/>
        </w:rPr>
        <w:footnoteRef/>
      </w:r>
      <w:r>
        <w:t xml:space="preserve"> GLS halogen replacement wattages are indicative. </w:t>
      </w:r>
      <w:r w:rsidRPr="0036275B">
        <w:t>All lumen value</w:t>
      </w:r>
      <w:r>
        <w:t>s</w:t>
      </w:r>
      <w:r w:rsidRPr="0036275B">
        <w:t xml:space="preserve"> (except </w:t>
      </w:r>
      <w:r>
        <w:t>&gt;</w:t>
      </w:r>
      <w:r w:rsidRPr="0036275B">
        <w:t>1</w:t>
      </w:r>
      <w:r>
        <w:t>2</w:t>
      </w:r>
      <w:r w:rsidRPr="0036275B">
        <w:t xml:space="preserve">5W) align with IEC62612 </w:t>
      </w:r>
      <w:r w:rsidR="00402CDD" w:rsidRPr="0036275B">
        <w:t>and</w:t>
      </w:r>
      <w:r w:rsidRPr="0036275B">
        <w:t xml:space="preserve"> 1:2015 section 9.1 preferred rated luminous flux values</w:t>
      </w:r>
    </w:p>
  </w:footnote>
  <w:footnote w:id="30">
    <w:p w14:paraId="13534B15" w14:textId="77777777" w:rsidR="00FB2EC7" w:rsidRDefault="00FB2EC7" w:rsidP="00402CDD">
      <w:pPr>
        <w:pStyle w:val="E3FootnoteText"/>
      </w:pPr>
      <w:r>
        <w:rPr>
          <w:rStyle w:val="FootnoteReference"/>
        </w:rPr>
        <w:footnoteRef/>
      </w:r>
      <w:r>
        <w:t xml:space="preserve"> Based on IEA 4 E SSL averaged values for directional lamps</w:t>
      </w:r>
    </w:p>
  </w:footnote>
  <w:footnote w:id="31">
    <w:p w14:paraId="7D740EA9" w14:textId="77777777" w:rsidR="00FB2EC7" w:rsidRDefault="00FB2EC7" w:rsidP="00402CDD">
      <w:pPr>
        <w:pStyle w:val="E3FootnoteText"/>
      </w:pPr>
      <w:r>
        <w:rPr>
          <w:rStyle w:val="FootnoteReference"/>
        </w:rPr>
        <w:footnoteRef/>
      </w:r>
      <w:r>
        <w:t xml:space="preserve"> </w:t>
      </w:r>
      <w:r>
        <w:rPr>
          <w:color w:val="000000"/>
        </w:rPr>
        <w:t xml:space="preserve">Based on Design Lights Consortium </w:t>
      </w:r>
      <w:r w:rsidRPr="007577A6">
        <w:rPr>
          <w:color w:val="000000"/>
        </w:rPr>
        <w:t>DLC requirements with * extension</w:t>
      </w:r>
    </w:p>
  </w:footnote>
  <w:footnote w:id="32">
    <w:p w14:paraId="686365C6" w14:textId="77777777" w:rsidR="00FB2EC7" w:rsidRDefault="00FB2EC7" w:rsidP="00402CDD">
      <w:pPr>
        <w:pStyle w:val="E3FootnoteText"/>
      </w:pPr>
      <w:r>
        <w:rPr>
          <w:rStyle w:val="FootnoteReference"/>
        </w:rPr>
        <w:footnoteRef/>
      </w:r>
      <w:r>
        <w:t xml:space="preserve"> Note that the allowed variations between tested and rated values specified below do not apply to compliance with minimum performance requirements.</w:t>
      </w:r>
    </w:p>
  </w:footnote>
  <w:footnote w:id="33">
    <w:p w14:paraId="48444AD9" w14:textId="77777777" w:rsidR="00FB2EC7" w:rsidRDefault="00FB2EC7" w:rsidP="00402CDD">
      <w:pPr>
        <w:pStyle w:val="E3FootnoteText"/>
      </w:pPr>
      <w:r>
        <w:rPr>
          <w:rStyle w:val="FootnoteReference"/>
        </w:rPr>
        <w:footnoteRef/>
      </w:r>
      <w:r>
        <w:t xml:space="preserve"> Noting feedback that many types of professional and wholesale luminaires are supplied in plain packaging, the proposed package marking requirements for luminaires will be reviewed. We will examine options to allow package marking requirements to instead be shown on website and/or product data sheet where luminaries are not sold in retail outlets.</w:t>
      </w:r>
    </w:p>
  </w:footnote>
  <w:footnote w:id="34">
    <w:p w14:paraId="7EF85293" w14:textId="77777777" w:rsidR="00FB2EC7" w:rsidRDefault="00FB2EC7" w:rsidP="00402CDD">
      <w:pPr>
        <w:pStyle w:val="E3FootnoteText"/>
      </w:pPr>
      <w:r>
        <w:rPr>
          <w:rStyle w:val="FootnoteReference"/>
        </w:rPr>
        <w:footnoteRef/>
      </w:r>
      <w:r>
        <w:t xml:space="preserve"> </w:t>
      </w:r>
      <w:r w:rsidRPr="006A3FEE">
        <w:t>Stakeholder input sought on whether these values should be mandatory or only encouraged.</w:t>
      </w:r>
    </w:p>
  </w:footnote>
  <w:footnote w:id="35">
    <w:p w14:paraId="1784D940" w14:textId="1D85EE18" w:rsidR="00FB2EC7" w:rsidRDefault="00FB2EC7" w:rsidP="00402CDD">
      <w:pPr>
        <w:pStyle w:val="E3FootnoteText"/>
      </w:pPr>
      <w:r>
        <w:rPr>
          <w:rStyle w:val="FootnoteReference"/>
        </w:rPr>
        <w:footnoteRef/>
      </w:r>
      <w:r>
        <w:t xml:space="preserve"> </w:t>
      </w:r>
      <w:r w:rsidRPr="00C47B38">
        <w:t xml:space="preserve">Note these lumen values (except for the 150W which doesn't exist) align with the IEC62612 </w:t>
      </w:r>
      <w:r w:rsidR="00402CDD" w:rsidRPr="00C47B38">
        <w:t>and</w:t>
      </w:r>
      <w:r w:rsidRPr="00C47B38">
        <w:t xml:space="preserve"> 1:2015 section 9.1 prefe</w:t>
      </w:r>
      <w:r>
        <w:t>rred rated luminous flux values</w:t>
      </w:r>
    </w:p>
  </w:footnote>
  <w:footnote w:id="36">
    <w:p w14:paraId="5E8F2BDD" w14:textId="77777777" w:rsidR="00FB2EC7" w:rsidRDefault="00FB2EC7" w:rsidP="00CB74A7">
      <w:pPr>
        <w:pStyle w:val="E3FootnoteText"/>
      </w:pPr>
      <w:r>
        <w:rPr>
          <w:rStyle w:val="FootnoteReference"/>
        </w:rPr>
        <w:footnoteRef/>
      </w:r>
      <w:r>
        <w:t xml:space="preserve"> </w:t>
      </w:r>
      <w:r w:rsidRPr="009E2F7D">
        <w:t xml:space="preserve">We </w:t>
      </w:r>
      <w:r>
        <w:t>understand</w:t>
      </w:r>
      <w:r w:rsidRPr="009E2F7D">
        <w:t xml:space="preserve"> that a variation of the rated value below the tested value would not be allowed in EU. To discuss with TWG</w:t>
      </w:r>
    </w:p>
  </w:footnote>
  <w:footnote w:id="37">
    <w:p w14:paraId="35929F4B" w14:textId="77777777" w:rsidR="00FB2EC7" w:rsidRDefault="00FB2EC7" w:rsidP="00CB74A7">
      <w:pPr>
        <w:pStyle w:val="E3FootnoteText"/>
      </w:pPr>
      <w:r>
        <w:rPr>
          <w:rStyle w:val="FootnoteReference"/>
        </w:rPr>
        <w:footnoteRef/>
      </w:r>
      <w:r>
        <w:t xml:space="preserve"> Note that for maintained emergency lighting luminaires compliance with the performance requirements shall be met when the </w:t>
      </w:r>
      <w:r w:rsidRPr="00093073">
        <w:t xml:space="preserve">emergency components </w:t>
      </w:r>
      <w:r>
        <w:t xml:space="preserve">are </w:t>
      </w:r>
      <w:r w:rsidRPr="00093073">
        <w:t>disconnected</w:t>
      </w:r>
      <w:r>
        <w:t>.</w:t>
      </w:r>
    </w:p>
  </w:footnote>
  <w:footnote w:id="38">
    <w:p w14:paraId="54F5CA33" w14:textId="77777777" w:rsidR="00FB2EC7" w:rsidRDefault="00FB2EC7" w:rsidP="00CB74A7">
      <w:pPr>
        <w:pStyle w:val="E3FootnoteText"/>
      </w:pPr>
      <w:r>
        <w:rPr>
          <w:rStyle w:val="FootnoteReference"/>
        </w:rPr>
        <w:footnoteRef/>
      </w:r>
      <w:r>
        <w:t xml:space="preserve"> </w:t>
      </w:r>
      <w:r w:rsidRPr="00D55329">
        <w:t xml:space="preserve">Colour codes – Purple: mandatory test for all products in scope. Green: Tests </w:t>
      </w:r>
      <w:r>
        <w:t>expected</w:t>
      </w:r>
      <w:r w:rsidRPr="00D55329">
        <w:t xml:space="preserve"> to be available already for most products</w:t>
      </w:r>
    </w:p>
  </w:footnote>
  <w:footnote w:id="39">
    <w:p w14:paraId="745AEB14" w14:textId="77777777" w:rsidR="00FB2EC7" w:rsidRDefault="00FB2EC7" w:rsidP="00CB74A7">
      <w:pPr>
        <w:pStyle w:val="E3FootnoteText"/>
      </w:pPr>
      <w:r>
        <w:rPr>
          <w:rStyle w:val="FootnoteReference"/>
        </w:rPr>
        <w:footnoteRef/>
      </w:r>
      <w:r>
        <w:t xml:space="preserve"> Efficacy levels subject to market review closer to date</w:t>
      </w:r>
    </w:p>
  </w:footnote>
  <w:footnote w:id="40">
    <w:p w14:paraId="5EF95553" w14:textId="77777777" w:rsidR="00FB2EC7" w:rsidRDefault="00FB2EC7" w:rsidP="00CB74A7">
      <w:pPr>
        <w:pStyle w:val="E3FootnoteText"/>
      </w:pPr>
      <w:r>
        <w:rPr>
          <w:rStyle w:val="FootnoteReference"/>
        </w:rPr>
        <w:footnoteRef/>
      </w:r>
      <w:r>
        <w:t xml:space="preserve"> Sample size for small luminaires to be discussed with TWG</w:t>
      </w:r>
    </w:p>
  </w:footnote>
  <w:footnote w:id="41">
    <w:p w14:paraId="1E4B431F" w14:textId="77777777" w:rsidR="00FB2EC7" w:rsidRDefault="00FB2EC7" w:rsidP="00CB74A7">
      <w:pPr>
        <w:pStyle w:val="E3FootnoteText"/>
      </w:pPr>
      <w:r>
        <w:rPr>
          <w:rStyle w:val="FootnoteReference"/>
        </w:rPr>
        <w:footnoteRef/>
      </w:r>
      <w:r>
        <w:t xml:space="preserve"> As </w:t>
      </w:r>
      <w:r w:rsidRPr="00CD4A11">
        <w:t>per</w:t>
      </w:r>
      <w:r>
        <w:t xml:space="preserve"> ANSI C78.377: 2015 </w:t>
      </w:r>
      <w:r w:rsidRPr="009420CB">
        <w:t>Specifications for the Chromaticity of</w:t>
      </w:r>
      <w:r>
        <w:t xml:space="preserve"> Solid State</w:t>
      </w:r>
      <w:r w:rsidRPr="009420CB">
        <w:t xml:space="preserve"> Lighting Products</w:t>
      </w:r>
    </w:p>
  </w:footnote>
  <w:footnote w:id="42">
    <w:p w14:paraId="485ABA4D" w14:textId="77777777" w:rsidR="00FB2EC7" w:rsidRDefault="00FB2EC7" w:rsidP="00CB74A7">
      <w:pPr>
        <w:pStyle w:val="E3FootnoteText"/>
      </w:pPr>
      <w:r>
        <w:rPr>
          <w:rStyle w:val="FootnoteReference"/>
        </w:rPr>
        <w:footnoteRef/>
      </w:r>
      <w:r>
        <w:t xml:space="preserve"> Note: twice requirement of IEC 62722.2.1</w:t>
      </w:r>
    </w:p>
  </w:footnote>
  <w:footnote w:id="43">
    <w:p w14:paraId="5BAA0518" w14:textId="77777777" w:rsidR="00FB2EC7" w:rsidRDefault="00FB2EC7" w:rsidP="00CB74A7">
      <w:pPr>
        <w:pStyle w:val="E3FootnoteText"/>
      </w:pPr>
      <w:r>
        <w:rPr>
          <w:rStyle w:val="FootnoteReference"/>
        </w:rPr>
        <w:footnoteRef/>
      </w:r>
      <w:r>
        <w:t xml:space="preserve"> IEC 61000-3-2, Table 2, Limits for Class C equipment</w:t>
      </w:r>
    </w:p>
  </w:footnote>
  <w:footnote w:id="44">
    <w:p w14:paraId="1F0D7EE2" w14:textId="77777777" w:rsidR="00FB2EC7" w:rsidRDefault="00FB2EC7" w:rsidP="00CB74A7">
      <w:pPr>
        <w:pStyle w:val="E3FootnoteText"/>
      </w:pPr>
      <w:r>
        <w:rPr>
          <w:rStyle w:val="FootnoteReference"/>
        </w:rPr>
        <w:footnoteRef/>
      </w:r>
      <w:r>
        <w:t xml:space="preserve"> </w:t>
      </w:r>
      <w:r w:rsidRPr="00A02169">
        <w:t xml:space="preserve">  The requirements are based on IEEE 1789-2015. The priority here is on restricting the visible modulation of light (including flicker) at frequencies ≤ 90 Hz, as more research is required on the effects of light modulation frequencies beyond 90 Hz (i.e. non-visible effects). NOTE1: In some particular instances, there is a strong sub-harmonic or inter-harmonic frequency in the luminance modulation waveform. In this case, the dominant light modulation frequency may not be clearly defined. The requirements should then be met for both the Fourier fundamental frequency and the sub/inter harmonic frequency. NOTE2: Due to the lack of a standard for the photometric measurement of modulated light , the SSL Annex are continuing to work on this issue, consult with stakeholders including CIE TC 1-83 (authors of CIE TN 006:2016), and will issue an update when new guidance becomes available.</w:t>
      </w:r>
    </w:p>
  </w:footnote>
  <w:footnote w:id="45">
    <w:p w14:paraId="63C97206" w14:textId="77777777" w:rsidR="00FB2EC7" w:rsidRDefault="00FB2EC7" w:rsidP="00CB74A7">
      <w:pPr>
        <w:pStyle w:val="E3FootnoteText"/>
      </w:pPr>
      <w:r>
        <w:rPr>
          <w:rStyle w:val="FootnoteReference"/>
        </w:rPr>
        <w:footnoteRef/>
      </w:r>
      <w:r>
        <w:t xml:space="preserve"> Based on IEEE 1789:2015</w:t>
      </w:r>
      <w:r w:rsidRPr="00E96461">
        <w:t xml:space="preserve"> </w:t>
      </w:r>
      <w:r>
        <w:t>test method part only – and not the threshold values as c</w:t>
      </w:r>
      <w:r w:rsidRPr="00C057A8">
        <w:t xml:space="preserve">oncerns about stringency noted and may require adjustments to thresholds </w:t>
      </w:r>
    </w:p>
  </w:footnote>
  <w:footnote w:id="46">
    <w:p w14:paraId="42284CC9" w14:textId="77777777" w:rsidR="00FB2EC7" w:rsidRDefault="00FB2EC7" w:rsidP="00CB74A7">
      <w:pPr>
        <w:pStyle w:val="E3FootnoteText"/>
      </w:pPr>
      <w:r>
        <w:rPr>
          <w:rStyle w:val="FootnoteReference"/>
        </w:rPr>
        <w:footnoteRef/>
      </w:r>
      <w:r>
        <w:t xml:space="preserve"> Modified test method to be prepared.</w:t>
      </w:r>
    </w:p>
  </w:footnote>
  <w:footnote w:id="47">
    <w:p w14:paraId="1F16977C" w14:textId="77777777" w:rsidR="00FB2EC7" w:rsidRDefault="00FB2EC7" w:rsidP="00CB74A7">
      <w:pPr>
        <w:pStyle w:val="E3FootnoteText"/>
      </w:pPr>
      <w:r>
        <w:rPr>
          <w:rStyle w:val="FootnoteReference"/>
        </w:rPr>
        <w:footnoteRef/>
      </w:r>
      <w:r>
        <w:t xml:space="preserve"> </w:t>
      </w:r>
      <w:r w:rsidRPr="00E02552">
        <w:t>In the absence of an agreed test method, at the moment we would not require up-front test reports – this is more designed to ensure that adequate information on dimming claims is provided.</w:t>
      </w:r>
    </w:p>
  </w:footnote>
  <w:footnote w:id="48">
    <w:p w14:paraId="40BE2911" w14:textId="77777777" w:rsidR="00FB2EC7" w:rsidRDefault="00FB2EC7" w:rsidP="00CB74A7">
      <w:pPr>
        <w:pStyle w:val="E3FootnoteText"/>
      </w:pPr>
      <w:r>
        <w:rPr>
          <w:rStyle w:val="FootnoteReference"/>
        </w:rPr>
        <w:footnoteRef/>
      </w:r>
      <w:r>
        <w:t xml:space="preserve"> IEC Joint Working Committee </w:t>
      </w:r>
      <w:r w:rsidRPr="00DF396E">
        <w:t>TC 34 &amp; 23B on the interoperability of dimmers and LED products 34/305/DTR</w:t>
      </w:r>
      <w:r>
        <w:t xml:space="preserve"> may provide reference Also IEC TC document 34C/1187/DC on in-rush current may provide reference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EBE13" w14:textId="77777777" w:rsidR="00FB2EC7" w:rsidRDefault="00FB2EC7">
    <w:r>
      <w:rPr>
        <w:lang w:eastAsia="en-AU"/>
      </w:rPr>
      <w:drawing>
        <wp:anchor distT="0" distB="0" distL="114300" distR="114300" simplePos="0" relativeHeight="251657728" behindDoc="1" locked="0" layoutInCell="1" allowOverlap="1" wp14:anchorId="2EB0A66E" wp14:editId="49ED8EF8">
          <wp:simplePos x="0" y="0"/>
          <wp:positionH relativeFrom="page">
            <wp:posOffset>-3194</wp:posOffset>
          </wp:positionH>
          <wp:positionV relativeFrom="page">
            <wp:posOffset>34290</wp:posOffset>
          </wp:positionV>
          <wp:extent cx="7558768" cy="10692000"/>
          <wp:effectExtent l="0" t="0" r="4445" b="0"/>
          <wp:wrapNone/>
          <wp:docPr id="9" name="Picture 4" descr="Equipment Energy Efficiency (E3) Program logo"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3 Product Profile cov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768"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2B848" w14:textId="77777777" w:rsidR="00FB2EC7" w:rsidRDefault="00FB2EC7">
    <w:r>
      <w:rPr>
        <w:lang w:eastAsia="en-AU"/>
      </w:rPr>
      <w:drawing>
        <wp:anchor distT="0" distB="0" distL="114300" distR="114300" simplePos="0" relativeHeight="251654656" behindDoc="1" locked="1" layoutInCell="0" allowOverlap="1" wp14:anchorId="3992A519" wp14:editId="49D4843A">
          <wp:simplePos x="0" y="0"/>
          <wp:positionH relativeFrom="page">
            <wp:align>center</wp:align>
          </wp:positionH>
          <wp:positionV relativeFrom="page">
            <wp:align>top</wp:align>
          </wp:positionV>
          <wp:extent cx="6122670" cy="1796415"/>
          <wp:effectExtent l="0" t="0" r="0" b="0"/>
          <wp:wrapTopAndBottom/>
          <wp:docPr id="10" name="Picture 5" descr="decorative element"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3 Chapter Start - productProfile.jpg"/>
                  <pic:cNvPicPr>
                    <a:picLocks noChangeAspect="1" noChangeArrowheads="1"/>
                  </pic:cNvPicPr>
                </pic:nvPicPr>
                <pic:blipFill>
                  <a:blip r:embed="rId1">
                    <a:biLevel thresh="25000"/>
                    <a:extLst>
                      <a:ext uri="{28A0092B-C50C-407E-A947-70E740481C1C}">
                        <a14:useLocalDpi xmlns:a14="http://schemas.microsoft.com/office/drawing/2010/main" val="0"/>
                      </a:ext>
                    </a:extLst>
                  </a:blip>
                  <a:srcRect/>
                  <a:stretch>
                    <a:fillRect/>
                  </a:stretch>
                </pic:blipFill>
                <pic:spPr bwMode="auto">
                  <a:xfrm>
                    <a:off x="0" y="0"/>
                    <a:ext cx="6122670" cy="1796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45FFA" w14:textId="77777777" w:rsidR="00FB2EC7" w:rsidRDefault="00FB2EC7">
    <w:r>
      <w:rPr>
        <w:lang w:eastAsia="en-AU"/>
      </w:rPr>
      <w:drawing>
        <wp:anchor distT="0" distB="0" distL="114300" distR="114300" simplePos="0" relativeHeight="251656704" behindDoc="1" locked="1" layoutInCell="1" allowOverlap="1" wp14:anchorId="4619CC46" wp14:editId="66BE615C">
          <wp:simplePos x="0" y="0"/>
          <wp:positionH relativeFrom="page">
            <wp:align>center</wp:align>
          </wp:positionH>
          <wp:positionV relativeFrom="page">
            <wp:align>top</wp:align>
          </wp:positionV>
          <wp:extent cx="6078220" cy="1796415"/>
          <wp:effectExtent l="0" t="0" r="0" b="0"/>
          <wp:wrapNone/>
          <wp:docPr id="20" name="Picture 5"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3 Chapter Start - productProfile.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078778" cy="1796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8DCB5" w14:textId="77777777" w:rsidR="00FB2EC7" w:rsidRDefault="00FB2EC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514894" w14:textId="7839A8BF" w:rsidR="00FB2EC7" w:rsidRDefault="00FB2EC7">
    <w:r>
      <w:rPr>
        <w:lang w:eastAsia="en-AU"/>
      </w:rPr>
      <w:drawing>
        <wp:anchor distT="0" distB="0" distL="114300" distR="114300" simplePos="0" relativeHeight="251659776" behindDoc="1" locked="1" layoutInCell="1" allowOverlap="1" wp14:anchorId="570B990D" wp14:editId="7EC9E79E">
          <wp:simplePos x="0" y="0"/>
          <wp:positionH relativeFrom="margin">
            <wp:align>left</wp:align>
          </wp:positionH>
          <wp:positionV relativeFrom="page">
            <wp:posOffset>447040</wp:posOffset>
          </wp:positionV>
          <wp:extent cx="6078220" cy="1469390"/>
          <wp:effectExtent l="0" t="0" r="0" b="0"/>
          <wp:wrapNone/>
          <wp:docPr id="30" name="Picture 5"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3 Chapter Start - productProfile.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078220" cy="14693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ACFAFF" w14:textId="2C457879" w:rsidR="00FB2EC7" w:rsidRDefault="00FB2EC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4D71E" w14:textId="1354D203" w:rsidR="00FB2EC7" w:rsidRDefault="00FB2EC7"/>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8AE2DC" w14:textId="77777777" w:rsidR="00FB2EC7" w:rsidRDefault="00FB2EC7">
    <w:r>
      <w:rPr>
        <w:lang w:eastAsia="en-AU"/>
      </w:rPr>
      <w:drawing>
        <wp:anchor distT="0" distB="0" distL="114300" distR="114300" simplePos="0" relativeHeight="251655680" behindDoc="1" locked="1" layoutInCell="0" allowOverlap="0" wp14:anchorId="75281BD7" wp14:editId="1EC0F840">
          <wp:simplePos x="0" y="0"/>
          <wp:positionH relativeFrom="page">
            <wp:align>center</wp:align>
          </wp:positionH>
          <wp:positionV relativeFrom="page">
            <wp:posOffset>34290</wp:posOffset>
          </wp:positionV>
          <wp:extent cx="7597775" cy="10687050"/>
          <wp:effectExtent l="0" t="0" r="3175" b="0"/>
          <wp:wrapNone/>
          <wp:docPr id="32" name="Picture 32" descr="final page decorative element"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3_back-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775"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C36833C"/>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62C47634"/>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14C4E172"/>
    <w:lvl w:ilvl="0">
      <w:start w:val="1"/>
      <w:numFmt w:val="bullet"/>
      <w:pStyle w:val="E3SubBullets"/>
      <w:lvlText w:val="—"/>
      <w:lvlJc w:val="left"/>
      <w:pPr>
        <w:tabs>
          <w:tab w:val="num" w:pos="360"/>
        </w:tabs>
        <w:ind w:left="360" w:hanging="360"/>
      </w:pPr>
      <w:rPr>
        <w:rFonts w:ascii="Times New Roman" w:hAnsi="Times New Roman" w:hint="default"/>
        <w:color w:val="FF0000"/>
      </w:rPr>
    </w:lvl>
  </w:abstractNum>
  <w:abstractNum w:abstractNumId="3" w15:restartNumberingAfterBreak="0">
    <w:nsid w:val="027A40E6"/>
    <w:multiLevelType w:val="hybridMultilevel"/>
    <w:tmpl w:val="A8CC1882"/>
    <w:lvl w:ilvl="0" w:tplc="0C09000F">
      <w:start w:val="1"/>
      <w:numFmt w:val="decimal"/>
      <w:lvlText w:val="%1."/>
      <w:lvlJc w:val="left"/>
      <w:pPr>
        <w:ind w:left="720" w:hanging="360"/>
      </w:pPr>
      <w:rPr>
        <w:rFonts w:hint="default"/>
        <w:color w:val="000000"/>
        <w:sz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D00A07"/>
    <w:multiLevelType w:val="hybridMultilevel"/>
    <w:tmpl w:val="D0AE5C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5C50261"/>
    <w:multiLevelType w:val="hybridMultilevel"/>
    <w:tmpl w:val="D0EEB6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B3A664B"/>
    <w:multiLevelType w:val="hybridMultilevel"/>
    <w:tmpl w:val="2A625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9D362D"/>
    <w:multiLevelType w:val="hybridMultilevel"/>
    <w:tmpl w:val="23EA12C4"/>
    <w:lvl w:ilvl="0" w:tplc="9EB281C0">
      <w:start w:val="1"/>
      <w:numFmt w:val="bullet"/>
      <w:pStyle w:val="E3Bullets"/>
      <w:lvlText w:val="•"/>
      <w:lvlJc w:val="left"/>
      <w:pPr>
        <w:ind w:left="720" w:hanging="360"/>
      </w:pPr>
      <w:rPr>
        <w:rFonts w:ascii="Georgia" w:hAnsi="Georgia" w:hint="default"/>
        <w:color w:val="E31F2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117657"/>
    <w:multiLevelType w:val="hybridMultilevel"/>
    <w:tmpl w:val="82B61C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ABE2B03"/>
    <w:multiLevelType w:val="hybridMultilevel"/>
    <w:tmpl w:val="8F005C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F7330F6"/>
    <w:multiLevelType w:val="hybridMultilevel"/>
    <w:tmpl w:val="A8CC1882"/>
    <w:lvl w:ilvl="0" w:tplc="0C09000F">
      <w:start w:val="1"/>
      <w:numFmt w:val="decimal"/>
      <w:lvlText w:val="%1."/>
      <w:lvlJc w:val="left"/>
      <w:pPr>
        <w:ind w:left="720" w:hanging="360"/>
      </w:pPr>
      <w:rPr>
        <w:rFonts w:hint="default"/>
        <w:color w:val="000000"/>
        <w:sz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D97A91"/>
    <w:multiLevelType w:val="hybridMultilevel"/>
    <w:tmpl w:val="4CE08CF2"/>
    <w:lvl w:ilvl="0" w:tplc="EEB2D71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9FA22BD"/>
    <w:multiLevelType w:val="hybridMultilevel"/>
    <w:tmpl w:val="D3F282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F0D4FD8"/>
    <w:multiLevelType w:val="multilevel"/>
    <w:tmpl w:val="E320DF42"/>
    <w:lvl w:ilvl="0">
      <w:start w:val="1"/>
      <w:numFmt w:val="decimal"/>
      <w:pStyle w:val="Heading1"/>
      <w:lvlText w:val="%1."/>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2E77B75"/>
    <w:multiLevelType w:val="hybridMultilevel"/>
    <w:tmpl w:val="FAE84C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34E06FD"/>
    <w:multiLevelType w:val="hybridMultilevel"/>
    <w:tmpl w:val="89FE7922"/>
    <w:lvl w:ilvl="0" w:tplc="24728464">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3D41C28"/>
    <w:multiLevelType w:val="hybridMultilevel"/>
    <w:tmpl w:val="A29CB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5A3F2D"/>
    <w:multiLevelType w:val="hybridMultilevel"/>
    <w:tmpl w:val="BF7ED9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9E54BC"/>
    <w:multiLevelType w:val="hybridMultilevel"/>
    <w:tmpl w:val="6F6CDE0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B8271D7"/>
    <w:multiLevelType w:val="hybridMultilevel"/>
    <w:tmpl w:val="E6500E6A"/>
    <w:lvl w:ilvl="0" w:tplc="003C453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C7279D0"/>
    <w:multiLevelType w:val="hybridMultilevel"/>
    <w:tmpl w:val="F29A8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1F45411"/>
    <w:multiLevelType w:val="hybridMultilevel"/>
    <w:tmpl w:val="C3CCE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3906FB7"/>
    <w:multiLevelType w:val="hybridMultilevel"/>
    <w:tmpl w:val="DE6C5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6A64FB"/>
    <w:multiLevelType w:val="hybridMultilevel"/>
    <w:tmpl w:val="CE46D960"/>
    <w:lvl w:ilvl="0" w:tplc="FFC60D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B9D60A7"/>
    <w:multiLevelType w:val="hybridMultilevel"/>
    <w:tmpl w:val="A8CC1882"/>
    <w:lvl w:ilvl="0" w:tplc="0C09000F">
      <w:start w:val="1"/>
      <w:numFmt w:val="decimal"/>
      <w:lvlText w:val="%1."/>
      <w:lvlJc w:val="left"/>
      <w:pPr>
        <w:ind w:left="720" w:hanging="360"/>
      </w:pPr>
      <w:rPr>
        <w:rFonts w:hint="default"/>
        <w:color w:val="000000"/>
        <w:sz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D2816A6"/>
    <w:multiLevelType w:val="hybridMultilevel"/>
    <w:tmpl w:val="4790C83C"/>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FAC086B"/>
    <w:multiLevelType w:val="hybridMultilevel"/>
    <w:tmpl w:val="562C6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A15E53"/>
    <w:multiLevelType w:val="hybridMultilevel"/>
    <w:tmpl w:val="2B468A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F7E7817"/>
    <w:multiLevelType w:val="hybridMultilevel"/>
    <w:tmpl w:val="C2ACB2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4924B9D"/>
    <w:multiLevelType w:val="hybridMultilevel"/>
    <w:tmpl w:val="E6500E6A"/>
    <w:lvl w:ilvl="0" w:tplc="003C453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1" w15:restartNumberingAfterBreak="0">
    <w:nsid w:val="787C06D5"/>
    <w:multiLevelType w:val="hybridMultilevel"/>
    <w:tmpl w:val="A8CC1882"/>
    <w:lvl w:ilvl="0" w:tplc="0C09000F">
      <w:start w:val="1"/>
      <w:numFmt w:val="decimal"/>
      <w:lvlText w:val="%1."/>
      <w:lvlJc w:val="left"/>
      <w:pPr>
        <w:ind w:left="720" w:hanging="360"/>
      </w:pPr>
      <w:rPr>
        <w:rFonts w:hint="default"/>
        <w:color w:val="000000"/>
        <w:sz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F703B69"/>
    <w:multiLevelType w:val="hybridMultilevel"/>
    <w:tmpl w:val="D8A84A78"/>
    <w:lvl w:ilvl="0" w:tplc="670A6F94">
      <w:start w:val="1"/>
      <w:numFmt w:val="bullet"/>
      <w:pStyle w:val="E3SubSubBullets"/>
      <w:lvlText w:val="▪"/>
      <w:lvlJc w:val="left"/>
      <w:pPr>
        <w:ind w:left="964" w:hanging="360"/>
      </w:pPr>
      <w:rPr>
        <w:rFonts w:ascii="Georgia" w:hAnsi="Georgia" w:cs="Times New Roman" w:hint="default"/>
        <w:color w:val="FF0000"/>
      </w:rPr>
    </w:lvl>
    <w:lvl w:ilvl="1" w:tplc="04090003" w:tentative="1">
      <w:start w:val="1"/>
      <w:numFmt w:val="bullet"/>
      <w:lvlText w:val="o"/>
      <w:lvlJc w:val="left"/>
      <w:pPr>
        <w:ind w:left="1684" w:hanging="360"/>
      </w:pPr>
      <w:rPr>
        <w:rFonts w:ascii="Courier New" w:hAnsi="Courier New" w:cs="Courier New" w:hint="default"/>
      </w:rPr>
    </w:lvl>
    <w:lvl w:ilvl="2" w:tplc="04090005" w:tentative="1">
      <w:start w:val="1"/>
      <w:numFmt w:val="bullet"/>
      <w:lvlText w:val=""/>
      <w:lvlJc w:val="left"/>
      <w:pPr>
        <w:ind w:left="2404" w:hanging="360"/>
      </w:pPr>
      <w:rPr>
        <w:rFonts w:ascii="Wingdings" w:hAnsi="Wingdings" w:hint="default"/>
      </w:rPr>
    </w:lvl>
    <w:lvl w:ilvl="3" w:tplc="04090001" w:tentative="1">
      <w:start w:val="1"/>
      <w:numFmt w:val="bullet"/>
      <w:lvlText w:val=""/>
      <w:lvlJc w:val="left"/>
      <w:pPr>
        <w:ind w:left="3124" w:hanging="360"/>
      </w:pPr>
      <w:rPr>
        <w:rFonts w:ascii="Symbol" w:hAnsi="Symbol" w:hint="default"/>
      </w:rPr>
    </w:lvl>
    <w:lvl w:ilvl="4" w:tplc="04090003" w:tentative="1">
      <w:start w:val="1"/>
      <w:numFmt w:val="bullet"/>
      <w:lvlText w:val="o"/>
      <w:lvlJc w:val="left"/>
      <w:pPr>
        <w:ind w:left="3844" w:hanging="360"/>
      </w:pPr>
      <w:rPr>
        <w:rFonts w:ascii="Courier New" w:hAnsi="Courier New" w:cs="Courier New" w:hint="default"/>
      </w:rPr>
    </w:lvl>
    <w:lvl w:ilvl="5" w:tplc="04090005" w:tentative="1">
      <w:start w:val="1"/>
      <w:numFmt w:val="bullet"/>
      <w:lvlText w:val=""/>
      <w:lvlJc w:val="left"/>
      <w:pPr>
        <w:ind w:left="4564" w:hanging="360"/>
      </w:pPr>
      <w:rPr>
        <w:rFonts w:ascii="Wingdings" w:hAnsi="Wingdings" w:hint="default"/>
      </w:rPr>
    </w:lvl>
    <w:lvl w:ilvl="6" w:tplc="04090001" w:tentative="1">
      <w:start w:val="1"/>
      <w:numFmt w:val="bullet"/>
      <w:lvlText w:val=""/>
      <w:lvlJc w:val="left"/>
      <w:pPr>
        <w:ind w:left="5284" w:hanging="360"/>
      </w:pPr>
      <w:rPr>
        <w:rFonts w:ascii="Symbol" w:hAnsi="Symbol" w:hint="default"/>
      </w:rPr>
    </w:lvl>
    <w:lvl w:ilvl="7" w:tplc="04090003" w:tentative="1">
      <w:start w:val="1"/>
      <w:numFmt w:val="bullet"/>
      <w:lvlText w:val="o"/>
      <w:lvlJc w:val="left"/>
      <w:pPr>
        <w:ind w:left="6004" w:hanging="360"/>
      </w:pPr>
      <w:rPr>
        <w:rFonts w:ascii="Courier New" w:hAnsi="Courier New" w:cs="Courier New" w:hint="default"/>
      </w:rPr>
    </w:lvl>
    <w:lvl w:ilvl="8" w:tplc="04090005" w:tentative="1">
      <w:start w:val="1"/>
      <w:numFmt w:val="bullet"/>
      <w:lvlText w:val=""/>
      <w:lvlJc w:val="left"/>
      <w:pPr>
        <w:ind w:left="6724" w:hanging="360"/>
      </w:pPr>
      <w:rPr>
        <w:rFonts w:ascii="Wingdings" w:hAnsi="Wingdings" w:hint="default"/>
      </w:rPr>
    </w:lvl>
  </w:abstractNum>
  <w:num w:numId="1">
    <w:abstractNumId w:val="13"/>
  </w:num>
  <w:num w:numId="2">
    <w:abstractNumId w:val="2"/>
  </w:num>
  <w:num w:numId="3">
    <w:abstractNumId w:val="7"/>
  </w:num>
  <w:num w:numId="4">
    <w:abstractNumId w:val="32"/>
  </w:num>
  <w:num w:numId="5">
    <w:abstractNumId w:val="0"/>
  </w:num>
  <w:num w:numId="6">
    <w:abstractNumId w:val="21"/>
  </w:num>
  <w:num w:numId="7">
    <w:abstractNumId w:val="26"/>
  </w:num>
  <w:num w:numId="8">
    <w:abstractNumId w:val="8"/>
  </w:num>
  <w:num w:numId="9">
    <w:abstractNumId w:val="5"/>
  </w:num>
  <w:num w:numId="10">
    <w:abstractNumId w:val="1"/>
  </w:num>
  <w:num w:numId="11">
    <w:abstractNumId w:val="30"/>
  </w:num>
  <w:num w:numId="12">
    <w:abstractNumId w:val="17"/>
  </w:num>
  <w:num w:numId="13">
    <w:abstractNumId w:val="27"/>
  </w:num>
  <w:num w:numId="14">
    <w:abstractNumId w:val="15"/>
  </w:num>
  <w:num w:numId="15">
    <w:abstractNumId w:val="16"/>
  </w:num>
  <w:num w:numId="16">
    <w:abstractNumId w:val="23"/>
  </w:num>
  <w:num w:numId="17">
    <w:abstractNumId w:val="12"/>
  </w:num>
  <w:num w:numId="18">
    <w:abstractNumId w:val="20"/>
  </w:num>
  <w:num w:numId="19">
    <w:abstractNumId w:val="18"/>
  </w:num>
  <w:num w:numId="20">
    <w:abstractNumId w:val="22"/>
  </w:num>
  <w:num w:numId="21">
    <w:abstractNumId w:val="19"/>
  </w:num>
  <w:num w:numId="22">
    <w:abstractNumId w:val="11"/>
  </w:num>
  <w:num w:numId="23">
    <w:abstractNumId w:val="29"/>
  </w:num>
  <w:num w:numId="24">
    <w:abstractNumId w:val="3"/>
  </w:num>
  <w:num w:numId="25">
    <w:abstractNumId w:val="10"/>
  </w:num>
  <w:num w:numId="26">
    <w:abstractNumId w:val="31"/>
  </w:num>
  <w:num w:numId="27">
    <w:abstractNumId w:val="24"/>
  </w:num>
  <w:num w:numId="28">
    <w:abstractNumId w:val="6"/>
  </w:num>
  <w:num w:numId="29">
    <w:abstractNumId w:val="4"/>
  </w:num>
  <w:num w:numId="30">
    <w:abstractNumId w:val="9"/>
  </w:num>
  <w:num w:numId="31">
    <w:abstractNumId w:val="25"/>
  </w:num>
  <w:num w:numId="32">
    <w:abstractNumId w:val="14"/>
  </w:num>
  <w:num w:numId="33">
    <w:abstractNumId w:val="2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defaultTabStop w:val="720"/>
  <w:drawingGridHorizontalSpacing w:val="95"/>
  <w:displayHorizontalDrawingGridEvery w:val="2"/>
  <w:characterSpacingControl w:val="doNotCompress"/>
  <w:hdrShapeDefaults>
    <o:shapedefaults v:ext="edit" spidmax="80900" style="mso-position-horizontal-relative:page;mso-position-vertical-relative:page;v-text-anchor:bottom" o:allowincell="f" o:allowoverlap="f"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26E"/>
    <w:rsid w:val="00001A65"/>
    <w:rsid w:val="00002A52"/>
    <w:rsid w:val="0001092A"/>
    <w:rsid w:val="00012A68"/>
    <w:rsid w:val="00013851"/>
    <w:rsid w:val="00015ECD"/>
    <w:rsid w:val="0001643A"/>
    <w:rsid w:val="000212A7"/>
    <w:rsid w:val="0002429F"/>
    <w:rsid w:val="00026B9E"/>
    <w:rsid w:val="00030017"/>
    <w:rsid w:val="000329A3"/>
    <w:rsid w:val="00033A40"/>
    <w:rsid w:val="00034ED5"/>
    <w:rsid w:val="000369BF"/>
    <w:rsid w:val="00036F34"/>
    <w:rsid w:val="00040241"/>
    <w:rsid w:val="00040D9F"/>
    <w:rsid w:val="000422D4"/>
    <w:rsid w:val="00042632"/>
    <w:rsid w:val="000429C1"/>
    <w:rsid w:val="0004303B"/>
    <w:rsid w:val="00044F58"/>
    <w:rsid w:val="00046105"/>
    <w:rsid w:val="00046631"/>
    <w:rsid w:val="00046BCE"/>
    <w:rsid w:val="00050B6B"/>
    <w:rsid w:val="0005126F"/>
    <w:rsid w:val="000519AC"/>
    <w:rsid w:val="000522E3"/>
    <w:rsid w:val="000524FE"/>
    <w:rsid w:val="00053D5B"/>
    <w:rsid w:val="00053EEB"/>
    <w:rsid w:val="00053F0E"/>
    <w:rsid w:val="0005465C"/>
    <w:rsid w:val="00055D6E"/>
    <w:rsid w:val="00055F5E"/>
    <w:rsid w:val="000564C6"/>
    <w:rsid w:val="00057472"/>
    <w:rsid w:val="0006073D"/>
    <w:rsid w:val="00060A8C"/>
    <w:rsid w:val="0006207D"/>
    <w:rsid w:val="000628E2"/>
    <w:rsid w:val="0006438C"/>
    <w:rsid w:val="000662F6"/>
    <w:rsid w:val="00066859"/>
    <w:rsid w:val="00067121"/>
    <w:rsid w:val="000705CD"/>
    <w:rsid w:val="00075FB5"/>
    <w:rsid w:val="00077527"/>
    <w:rsid w:val="00080DC2"/>
    <w:rsid w:val="0008142D"/>
    <w:rsid w:val="000829CC"/>
    <w:rsid w:val="00082B43"/>
    <w:rsid w:val="00082BD5"/>
    <w:rsid w:val="00085923"/>
    <w:rsid w:val="00087211"/>
    <w:rsid w:val="00090456"/>
    <w:rsid w:val="00091F62"/>
    <w:rsid w:val="00091F6B"/>
    <w:rsid w:val="00092242"/>
    <w:rsid w:val="000948E2"/>
    <w:rsid w:val="00095DA5"/>
    <w:rsid w:val="00097ED5"/>
    <w:rsid w:val="000A0522"/>
    <w:rsid w:val="000A0740"/>
    <w:rsid w:val="000A07F5"/>
    <w:rsid w:val="000A1754"/>
    <w:rsid w:val="000A1B75"/>
    <w:rsid w:val="000A2098"/>
    <w:rsid w:val="000A2666"/>
    <w:rsid w:val="000A271E"/>
    <w:rsid w:val="000A2E6B"/>
    <w:rsid w:val="000A4336"/>
    <w:rsid w:val="000A4B2B"/>
    <w:rsid w:val="000A72DB"/>
    <w:rsid w:val="000A7636"/>
    <w:rsid w:val="000B07EA"/>
    <w:rsid w:val="000B44F5"/>
    <w:rsid w:val="000B48B4"/>
    <w:rsid w:val="000B4C15"/>
    <w:rsid w:val="000B527E"/>
    <w:rsid w:val="000B5BCD"/>
    <w:rsid w:val="000B6410"/>
    <w:rsid w:val="000C0448"/>
    <w:rsid w:val="000C0894"/>
    <w:rsid w:val="000C42B3"/>
    <w:rsid w:val="000D097D"/>
    <w:rsid w:val="000D13B4"/>
    <w:rsid w:val="000D446F"/>
    <w:rsid w:val="000D5151"/>
    <w:rsid w:val="000D7980"/>
    <w:rsid w:val="000E100D"/>
    <w:rsid w:val="000E53F1"/>
    <w:rsid w:val="000E61B1"/>
    <w:rsid w:val="000E6574"/>
    <w:rsid w:val="000E660E"/>
    <w:rsid w:val="000F0102"/>
    <w:rsid w:val="000F1FE6"/>
    <w:rsid w:val="000F3585"/>
    <w:rsid w:val="000F3F8E"/>
    <w:rsid w:val="000F402D"/>
    <w:rsid w:val="000F4C63"/>
    <w:rsid w:val="000F7B31"/>
    <w:rsid w:val="0010082F"/>
    <w:rsid w:val="0010167A"/>
    <w:rsid w:val="00105F4C"/>
    <w:rsid w:val="0010791E"/>
    <w:rsid w:val="00112F0A"/>
    <w:rsid w:val="00115E01"/>
    <w:rsid w:val="00116F81"/>
    <w:rsid w:val="00117848"/>
    <w:rsid w:val="00121207"/>
    <w:rsid w:val="0012172E"/>
    <w:rsid w:val="00121E13"/>
    <w:rsid w:val="00122336"/>
    <w:rsid w:val="0012328D"/>
    <w:rsid w:val="0012442D"/>
    <w:rsid w:val="00124A56"/>
    <w:rsid w:val="00125303"/>
    <w:rsid w:val="0012535D"/>
    <w:rsid w:val="001264DD"/>
    <w:rsid w:val="0012732B"/>
    <w:rsid w:val="00127ACB"/>
    <w:rsid w:val="00127F36"/>
    <w:rsid w:val="00132A97"/>
    <w:rsid w:val="00132DE9"/>
    <w:rsid w:val="00133351"/>
    <w:rsid w:val="00133BE4"/>
    <w:rsid w:val="001340D8"/>
    <w:rsid w:val="0013450C"/>
    <w:rsid w:val="00135085"/>
    <w:rsid w:val="00135197"/>
    <w:rsid w:val="00135A2B"/>
    <w:rsid w:val="00135ADA"/>
    <w:rsid w:val="001372D4"/>
    <w:rsid w:val="001377D2"/>
    <w:rsid w:val="00137A5D"/>
    <w:rsid w:val="00141125"/>
    <w:rsid w:val="00142CCF"/>
    <w:rsid w:val="0014416C"/>
    <w:rsid w:val="0014538A"/>
    <w:rsid w:val="00146E43"/>
    <w:rsid w:val="00147010"/>
    <w:rsid w:val="001475C4"/>
    <w:rsid w:val="001526CD"/>
    <w:rsid w:val="00153F39"/>
    <w:rsid w:val="001541BC"/>
    <w:rsid w:val="001601E3"/>
    <w:rsid w:val="0016451B"/>
    <w:rsid w:val="0016486B"/>
    <w:rsid w:val="00165057"/>
    <w:rsid w:val="00166587"/>
    <w:rsid w:val="00167228"/>
    <w:rsid w:val="00167669"/>
    <w:rsid w:val="00170482"/>
    <w:rsid w:val="0017142A"/>
    <w:rsid w:val="0017183D"/>
    <w:rsid w:val="00171939"/>
    <w:rsid w:val="00172C83"/>
    <w:rsid w:val="001733FB"/>
    <w:rsid w:val="0017633A"/>
    <w:rsid w:val="00177B71"/>
    <w:rsid w:val="00177F41"/>
    <w:rsid w:val="00184000"/>
    <w:rsid w:val="0018591D"/>
    <w:rsid w:val="001868F8"/>
    <w:rsid w:val="00191705"/>
    <w:rsid w:val="00193485"/>
    <w:rsid w:val="00193809"/>
    <w:rsid w:val="00193E3B"/>
    <w:rsid w:val="001940B8"/>
    <w:rsid w:val="001958BF"/>
    <w:rsid w:val="00195A2E"/>
    <w:rsid w:val="00196227"/>
    <w:rsid w:val="001A061B"/>
    <w:rsid w:val="001A0D79"/>
    <w:rsid w:val="001A1201"/>
    <w:rsid w:val="001A1E13"/>
    <w:rsid w:val="001A3424"/>
    <w:rsid w:val="001A47EB"/>
    <w:rsid w:val="001A4897"/>
    <w:rsid w:val="001A50DD"/>
    <w:rsid w:val="001A630F"/>
    <w:rsid w:val="001A6A48"/>
    <w:rsid w:val="001A78C5"/>
    <w:rsid w:val="001A7BDA"/>
    <w:rsid w:val="001B1E24"/>
    <w:rsid w:val="001B1E46"/>
    <w:rsid w:val="001B2927"/>
    <w:rsid w:val="001B5E9C"/>
    <w:rsid w:val="001B7C9E"/>
    <w:rsid w:val="001C00F6"/>
    <w:rsid w:val="001C06DF"/>
    <w:rsid w:val="001C2178"/>
    <w:rsid w:val="001C2C73"/>
    <w:rsid w:val="001C56AC"/>
    <w:rsid w:val="001C6001"/>
    <w:rsid w:val="001C60E4"/>
    <w:rsid w:val="001C6C14"/>
    <w:rsid w:val="001C7E98"/>
    <w:rsid w:val="001D173D"/>
    <w:rsid w:val="001D1853"/>
    <w:rsid w:val="001D1E92"/>
    <w:rsid w:val="001D3974"/>
    <w:rsid w:val="001D3D5C"/>
    <w:rsid w:val="001D3F1D"/>
    <w:rsid w:val="001D4370"/>
    <w:rsid w:val="001D494A"/>
    <w:rsid w:val="001D4B84"/>
    <w:rsid w:val="001D5068"/>
    <w:rsid w:val="001D7062"/>
    <w:rsid w:val="001E0094"/>
    <w:rsid w:val="001E0AC3"/>
    <w:rsid w:val="001E1189"/>
    <w:rsid w:val="001E219F"/>
    <w:rsid w:val="001E286F"/>
    <w:rsid w:val="001E3476"/>
    <w:rsid w:val="001E49B5"/>
    <w:rsid w:val="001E55D2"/>
    <w:rsid w:val="001E5FBA"/>
    <w:rsid w:val="001E62EA"/>
    <w:rsid w:val="001F0739"/>
    <w:rsid w:val="001F1665"/>
    <w:rsid w:val="001F1FBD"/>
    <w:rsid w:val="001F2A03"/>
    <w:rsid w:val="001F3026"/>
    <w:rsid w:val="001F4506"/>
    <w:rsid w:val="001F45D3"/>
    <w:rsid w:val="001F5A4D"/>
    <w:rsid w:val="001F60FF"/>
    <w:rsid w:val="001F68FD"/>
    <w:rsid w:val="001F69FE"/>
    <w:rsid w:val="001F7E3C"/>
    <w:rsid w:val="00200BDD"/>
    <w:rsid w:val="00205A33"/>
    <w:rsid w:val="002063EC"/>
    <w:rsid w:val="00206F74"/>
    <w:rsid w:val="00210351"/>
    <w:rsid w:val="00210DFD"/>
    <w:rsid w:val="00212F02"/>
    <w:rsid w:val="00215614"/>
    <w:rsid w:val="002167E5"/>
    <w:rsid w:val="00217C5B"/>
    <w:rsid w:val="00217F63"/>
    <w:rsid w:val="00221444"/>
    <w:rsid w:val="0022226E"/>
    <w:rsid w:val="00224320"/>
    <w:rsid w:val="002244E5"/>
    <w:rsid w:val="00224BC8"/>
    <w:rsid w:val="00224D42"/>
    <w:rsid w:val="002258E1"/>
    <w:rsid w:val="002259E2"/>
    <w:rsid w:val="0023021B"/>
    <w:rsid w:val="00231F7B"/>
    <w:rsid w:val="0023329F"/>
    <w:rsid w:val="00233CBF"/>
    <w:rsid w:val="00237356"/>
    <w:rsid w:val="002401C1"/>
    <w:rsid w:val="00240EE9"/>
    <w:rsid w:val="00241191"/>
    <w:rsid w:val="00241A23"/>
    <w:rsid w:val="00243C7D"/>
    <w:rsid w:val="00244A40"/>
    <w:rsid w:val="002457F9"/>
    <w:rsid w:val="002505CB"/>
    <w:rsid w:val="002510DB"/>
    <w:rsid w:val="002515AF"/>
    <w:rsid w:val="00251F9F"/>
    <w:rsid w:val="00252EBB"/>
    <w:rsid w:val="00253411"/>
    <w:rsid w:val="0025373F"/>
    <w:rsid w:val="00253F68"/>
    <w:rsid w:val="002543F4"/>
    <w:rsid w:val="00254880"/>
    <w:rsid w:val="002559DA"/>
    <w:rsid w:val="00257BA3"/>
    <w:rsid w:val="002602C6"/>
    <w:rsid w:val="00260BDB"/>
    <w:rsid w:val="002631CB"/>
    <w:rsid w:val="002632AC"/>
    <w:rsid w:val="00263FA2"/>
    <w:rsid w:val="00264D8F"/>
    <w:rsid w:val="00266512"/>
    <w:rsid w:val="002670CE"/>
    <w:rsid w:val="0026787C"/>
    <w:rsid w:val="0027026A"/>
    <w:rsid w:val="00270D83"/>
    <w:rsid w:val="00271564"/>
    <w:rsid w:val="002733FC"/>
    <w:rsid w:val="00273F90"/>
    <w:rsid w:val="0027504F"/>
    <w:rsid w:val="0027562A"/>
    <w:rsid w:val="00276292"/>
    <w:rsid w:val="00277C66"/>
    <w:rsid w:val="0028177F"/>
    <w:rsid w:val="00284ABD"/>
    <w:rsid w:val="002853A6"/>
    <w:rsid w:val="0029071F"/>
    <w:rsid w:val="0029171A"/>
    <w:rsid w:val="002917CC"/>
    <w:rsid w:val="002929B3"/>
    <w:rsid w:val="00295318"/>
    <w:rsid w:val="002979D2"/>
    <w:rsid w:val="00297E80"/>
    <w:rsid w:val="002A020D"/>
    <w:rsid w:val="002A1CD9"/>
    <w:rsid w:val="002A3926"/>
    <w:rsid w:val="002A3B7B"/>
    <w:rsid w:val="002A409D"/>
    <w:rsid w:val="002A45C8"/>
    <w:rsid w:val="002A5FF6"/>
    <w:rsid w:val="002A7F9E"/>
    <w:rsid w:val="002B00FA"/>
    <w:rsid w:val="002B1501"/>
    <w:rsid w:val="002B1E09"/>
    <w:rsid w:val="002B35F2"/>
    <w:rsid w:val="002B3620"/>
    <w:rsid w:val="002B46E5"/>
    <w:rsid w:val="002C5C7E"/>
    <w:rsid w:val="002C5F6E"/>
    <w:rsid w:val="002C674C"/>
    <w:rsid w:val="002D069D"/>
    <w:rsid w:val="002D1A26"/>
    <w:rsid w:val="002D1EF2"/>
    <w:rsid w:val="002D21B3"/>
    <w:rsid w:val="002D253C"/>
    <w:rsid w:val="002D25B7"/>
    <w:rsid w:val="002D44EE"/>
    <w:rsid w:val="002E0822"/>
    <w:rsid w:val="002E1236"/>
    <w:rsid w:val="002E20F0"/>
    <w:rsid w:val="002E3BA0"/>
    <w:rsid w:val="002E4925"/>
    <w:rsid w:val="002E540B"/>
    <w:rsid w:val="002E6A95"/>
    <w:rsid w:val="002F14C1"/>
    <w:rsid w:val="002F626A"/>
    <w:rsid w:val="002F6383"/>
    <w:rsid w:val="002F6CFF"/>
    <w:rsid w:val="002F7EDC"/>
    <w:rsid w:val="003021EE"/>
    <w:rsid w:val="003040D5"/>
    <w:rsid w:val="0030472F"/>
    <w:rsid w:val="00306C4B"/>
    <w:rsid w:val="00306C63"/>
    <w:rsid w:val="00306E5A"/>
    <w:rsid w:val="00306F77"/>
    <w:rsid w:val="0030778E"/>
    <w:rsid w:val="00310FF1"/>
    <w:rsid w:val="003110E2"/>
    <w:rsid w:val="00313C97"/>
    <w:rsid w:val="00315B13"/>
    <w:rsid w:val="00315B64"/>
    <w:rsid w:val="00315D60"/>
    <w:rsid w:val="0031694C"/>
    <w:rsid w:val="00320B45"/>
    <w:rsid w:val="00321082"/>
    <w:rsid w:val="00321165"/>
    <w:rsid w:val="003225BA"/>
    <w:rsid w:val="00323DF8"/>
    <w:rsid w:val="003245AE"/>
    <w:rsid w:val="00324B50"/>
    <w:rsid w:val="00325DAB"/>
    <w:rsid w:val="00325E19"/>
    <w:rsid w:val="003260C7"/>
    <w:rsid w:val="00326DA1"/>
    <w:rsid w:val="0033597A"/>
    <w:rsid w:val="00336559"/>
    <w:rsid w:val="00340A86"/>
    <w:rsid w:val="00341896"/>
    <w:rsid w:val="00343437"/>
    <w:rsid w:val="003440B1"/>
    <w:rsid w:val="00347A0D"/>
    <w:rsid w:val="003501DE"/>
    <w:rsid w:val="003515C8"/>
    <w:rsid w:val="00351C25"/>
    <w:rsid w:val="00352A8E"/>
    <w:rsid w:val="00353402"/>
    <w:rsid w:val="00353BE0"/>
    <w:rsid w:val="003543AA"/>
    <w:rsid w:val="0035465E"/>
    <w:rsid w:val="00355FC5"/>
    <w:rsid w:val="0035679B"/>
    <w:rsid w:val="003569C7"/>
    <w:rsid w:val="003600AF"/>
    <w:rsid w:val="003600E4"/>
    <w:rsid w:val="003645DB"/>
    <w:rsid w:val="00364D23"/>
    <w:rsid w:val="00365177"/>
    <w:rsid w:val="00365238"/>
    <w:rsid w:val="00365398"/>
    <w:rsid w:val="003654D3"/>
    <w:rsid w:val="0036665B"/>
    <w:rsid w:val="00367677"/>
    <w:rsid w:val="003717D6"/>
    <w:rsid w:val="00371B6E"/>
    <w:rsid w:val="00372F8B"/>
    <w:rsid w:val="00373E7B"/>
    <w:rsid w:val="00374483"/>
    <w:rsid w:val="003745F2"/>
    <w:rsid w:val="003747C2"/>
    <w:rsid w:val="003776C5"/>
    <w:rsid w:val="003809AB"/>
    <w:rsid w:val="0038121C"/>
    <w:rsid w:val="00383C2D"/>
    <w:rsid w:val="00384F64"/>
    <w:rsid w:val="00385AC8"/>
    <w:rsid w:val="00385B00"/>
    <w:rsid w:val="003873EC"/>
    <w:rsid w:val="00387C55"/>
    <w:rsid w:val="00391765"/>
    <w:rsid w:val="0039398A"/>
    <w:rsid w:val="003947E4"/>
    <w:rsid w:val="00397BEE"/>
    <w:rsid w:val="00397F9E"/>
    <w:rsid w:val="003A2E03"/>
    <w:rsid w:val="003A5EEB"/>
    <w:rsid w:val="003A676F"/>
    <w:rsid w:val="003A71DE"/>
    <w:rsid w:val="003A7497"/>
    <w:rsid w:val="003B0270"/>
    <w:rsid w:val="003B0FF4"/>
    <w:rsid w:val="003B11CD"/>
    <w:rsid w:val="003B1235"/>
    <w:rsid w:val="003B19C2"/>
    <w:rsid w:val="003B28F1"/>
    <w:rsid w:val="003B312C"/>
    <w:rsid w:val="003B3B33"/>
    <w:rsid w:val="003B4385"/>
    <w:rsid w:val="003B5508"/>
    <w:rsid w:val="003B62AD"/>
    <w:rsid w:val="003B6BE5"/>
    <w:rsid w:val="003B6CE7"/>
    <w:rsid w:val="003C4695"/>
    <w:rsid w:val="003C469D"/>
    <w:rsid w:val="003C5599"/>
    <w:rsid w:val="003C55D6"/>
    <w:rsid w:val="003C572B"/>
    <w:rsid w:val="003C626A"/>
    <w:rsid w:val="003C6480"/>
    <w:rsid w:val="003C7CDD"/>
    <w:rsid w:val="003D3C4B"/>
    <w:rsid w:val="003D6742"/>
    <w:rsid w:val="003D74D9"/>
    <w:rsid w:val="003E0468"/>
    <w:rsid w:val="003E0A69"/>
    <w:rsid w:val="003E0EC5"/>
    <w:rsid w:val="003E120B"/>
    <w:rsid w:val="003E1EA2"/>
    <w:rsid w:val="003E320D"/>
    <w:rsid w:val="003E5BCC"/>
    <w:rsid w:val="003E5EF5"/>
    <w:rsid w:val="003E6DF3"/>
    <w:rsid w:val="003F10A8"/>
    <w:rsid w:val="003F16C6"/>
    <w:rsid w:val="003F2EC9"/>
    <w:rsid w:val="003F3E88"/>
    <w:rsid w:val="003F4C6D"/>
    <w:rsid w:val="003F5776"/>
    <w:rsid w:val="003F5778"/>
    <w:rsid w:val="003F5C26"/>
    <w:rsid w:val="003F72D7"/>
    <w:rsid w:val="003F74AA"/>
    <w:rsid w:val="0040139A"/>
    <w:rsid w:val="004019EC"/>
    <w:rsid w:val="00402CDD"/>
    <w:rsid w:val="00405C8C"/>
    <w:rsid w:val="00406F1C"/>
    <w:rsid w:val="0040785A"/>
    <w:rsid w:val="00407924"/>
    <w:rsid w:val="0040799E"/>
    <w:rsid w:val="00407F88"/>
    <w:rsid w:val="00411631"/>
    <w:rsid w:val="004135D6"/>
    <w:rsid w:val="00414D80"/>
    <w:rsid w:val="00415559"/>
    <w:rsid w:val="00415A9A"/>
    <w:rsid w:val="0041673C"/>
    <w:rsid w:val="00416AAF"/>
    <w:rsid w:val="00417BE3"/>
    <w:rsid w:val="00421346"/>
    <w:rsid w:val="00424CF9"/>
    <w:rsid w:val="00424E23"/>
    <w:rsid w:val="0042579E"/>
    <w:rsid w:val="00425B65"/>
    <w:rsid w:val="00425E8F"/>
    <w:rsid w:val="00426210"/>
    <w:rsid w:val="00426816"/>
    <w:rsid w:val="004271E0"/>
    <w:rsid w:val="004312F6"/>
    <w:rsid w:val="00433212"/>
    <w:rsid w:val="004343C4"/>
    <w:rsid w:val="00435657"/>
    <w:rsid w:val="00442203"/>
    <w:rsid w:val="00442C9A"/>
    <w:rsid w:val="00443230"/>
    <w:rsid w:val="004441F3"/>
    <w:rsid w:val="00444428"/>
    <w:rsid w:val="00444B24"/>
    <w:rsid w:val="00446832"/>
    <w:rsid w:val="004508D4"/>
    <w:rsid w:val="00452289"/>
    <w:rsid w:val="00453580"/>
    <w:rsid w:val="00453F48"/>
    <w:rsid w:val="0045625A"/>
    <w:rsid w:val="00457101"/>
    <w:rsid w:val="004571E2"/>
    <w:rsid w:val="00461374"/>
    <w:rsid w:val="00462E11"/>
    <w:rsid w:val="00464B34"/>
    <w:rsid w:val="004658EC"/>
    <w:rsid w:val="00466BCD"/>
    <w:rsid w:val="0046721F"/>
    <w:rsid w:val="00467555"/>
    <w:rsid w:val="00467798"/>
    <w:rsid w:val="00471D34"/>
    <w:rsid w:val="00472115"/>
    <w:rsid w:val="00472AF4"/>
    <w:rsid w:val="004743DD"/>
    <w:rsid w:val="00476457"/>
    <w:rsid w:val="00480B83"/>
    <w:rsid w:val="00480F88"/>
    <w:rsid w:val="004814F7"/>
    <w:rsid w:val="004819ED"/>
    <w:rsid w:val="00482C4E"/>
    <w:rsid w:val="00483976"/>
    <w:rsid w:val="00483A53"/>
    <w:rsid w:val="004855A6"/>
    <w:rsid w:val="0048672C"/>
    <w:rsid w:val="004944BB"/>
    <w:rsid w:val="00495815"/>
    <w:rsid w:val="00495C1F"/>
    <w:rsid w:val="004963A1"/>
    <w:rsid w:val="00496C0A"/>
    <w:rsid w:val="004A0B72"/>
    <w:rsid w:val="004A15C1"/>
    <w:rsid w:val="004A247A"/>
    <w:rsid w:val="004A29FB"/>
    <w:rsid w:val="004A29FD"/>
    <w:rsid w:val="004A314E"/>
    <w:rsid w:val="004A6CEE"/>
    <w:rsid w:val="004A7BA9"/>
    <w:rsid w:val="004B0F65"/>
    <w:rsid w:val="004B1B77"/>
    <w:rsid w:val="004B2061"/>
    <w:rsid w:val="004B3A72"/>
    <w:rsid w:val="004B3B23"/>
    <w:rsid w:val="004B5036"/>
    <w:rsid w:val="004B5065"/>
    <w:rsid w:val="004B7668"/>
    <w:rsid w:val="004B77E3"/>
    <w:rsid w:val="004C1E12"/>
    <w:rsid w:val="004C22A9"/>
    <w:rsid w:val="004C3BC3"/>
    <w:rsid w:val="004C594E"/>
    <w:rsid w:val="004C67F0"/>
    <w:rsid w:val="004D0DB0"/>
    <w:rsid w:val="004D2F7B"/>
    <w:rsid w:val="004D353C"/>
    <w:rsid w:val="004D360A"/>
    <w:rsid w:val="004D4526"/>
    <w:rsid w:val="004D5DE6"/>
    <w:rsid w:val="004E0555"/>
    <w:rsid w:val="004E1A03"/>
    <w:rsid w:val="004E3E6F"/>
    <w:rsid w:val="004E4808"/>
    <w:rsid w:val="004E4B32"/>
    <w:rsid w:val="004E4E67"/>
    <w:rsid w:val="004F1569"/>
    <w:rsid w:val="004F2768"/>
    <w:rsid w:val="004F38DE"/>
    <w:rsid w:val="004F597E"/>
    <w:rsid w:val="00500664"/>
    <w:rsid w:val="005006F5"/>
    <w:rsid w:val="005061CD"/>
    <w:rsid w:val="00506349"/>
    <w:rsid w:val="00511154"/>
    <w:rsid w:val="005115E8"/>
    <w:rsid w:val="00512C1C"/>
    <w:rsid w:val="00513F1F"/>
    <w:rsid w:val="00516DA5"/>
    <w:rsid w:val="005202A3"/>
    <w:rsid w:val="00520953"/>
    <w:rsid w:val="005213C2"/>
    <w:rsid w:val="00522469"/>
    <w:rsid w:val="00523963"/>
    <w:rsid w:val="0052442C"/>
    <w:rsid w:val="00525935"/>
    <w:rsid w:val="00525D59"/>
    <w:rsid w:val="0053007C"/>
    <w:rsid w:val="0053402D"/>
    <w:rsid w:val="00534457"/>
    <w:rsid w:val="00535A57"/>
    <w:rsid w:val="00535BD3"/>
    <w:rsid w:val="00536DC1"/>
    <w:rsid w:val="00537796"/>
    <w:rsid w:val="00543DD0"/>
    <w:rsid w:val="005454D6"/>
    <w:rsid w:val="00545AF8"/>
    <w:rsid w:val="00545C65"/>
    <w:rsid w:val="00545CDA"/>
    <w:rsid w:val="00550A49"/>
    <w:rsid w:val="00551930"/>
    <w:rsid w:val="00554937"/>
    <w:rsid w:val="00554B4F"/>
    <w:rsid w:val="00554C36"/>
    <w:rsid w:val="00555A1D"/>
    <w:rsid w:val="00556478"/>
    <w:rsid w:val="005603C5"/>
    <w:rsid w:val="005641F1"/>
    <w:rsid w:val="005652A8"/>
    <w:rsid w:val="00567B01"/>
    <w:rsid w:val="00567E69"/>
    <w:rsid w:val="00571D44"/>
    <w:rsid w:val="00573B19"/>
    <w:rsid w:val="00573CB8"/>
    <w:rsid w:val="00573DCC"/>
    <w:rsid w:val="0058079D"/>
    <w:rsid w:val="0058088C"/>
    <w:rsid w:val="00580B83"/>
    <w:rsid w:val="00581BC1"/>
    <w:rsid w:val="00583216"/>
    <w:rsid w:val="005833E4"/>
    <w:rsid w:val="0058503E"/>
    <w:rsid w:val="00585664"/>
    <w:rsid w:val="00586EC2"/>
    <w:rsid w:val="005879A8"/>
    <w:rsid w:val="00587D29"/>
    <w:rsid w:val="00590510"/>
    <w:rsid w:val="00590718"/>
    <w:rsid w:val="005933B0"/>
    <w:rsid w:val="00595A17"/>
    <w:rsid w:val="005971BB"/>
    <w:rsid w:val="00597B01"/>
    <w:rsid w:val="00597D98"/>
    <w:rsid w:val="005A01CF"/>
    <w:rsid w:val="005A16D8"/>
    <w:rsid w:val="005A2E86"/>
    <w:rsid w:val="005A43F0"/>
    <w:rsid w:val="005A5AE1"/>
    <w:rsid w:val="005A63C7"/>
    <w:rsid w:val="005A6AC3"/>
    <w:rsid w:val="005B0F82"/>
    <w:rsid w:val="005B17D0"/>
    <w:rsid w:val="005B18BD"/>
    <w:rsid w:val="005B18CE"/>
    <w:rsid w:val="005B1C42"/>
    <w:rsid w:val="005B30B9"/>
    <w:rsid w:val="005B4450"/>
    <w:rsid w:val="005B48C2"/>
    <w:rsid w:val="005B5B86"/>
    <w:rsid w:val="005B672F"/>
    <w:rsid w:val="005B78FB"/>
    <w:rsid w:val="005B7FE0"/>
    <w:rsid w:val="005C0BD7"/>
    <w:rsid w:val="005C1ED2"/>
    <w:rsid w:val="005C29AD"/>
    <w:rsid w:val="005C4D03"/>
    <w:rsid w:val="005C4DC2"/>
    <w:rsid w:val="005C4EF1"/>
    <w:rsid w:val="005D0A94"/>
    <w:rsid w:val="005D158D"/>
    <w:rsid w:val="005D3CC3"/>
    <w:rsid w:val="005D4B5B"/>
    <w:rsid w:val="005D5516"/>
    <w:rsid w:val="005D55CE"/>
    <w:rsid w:val="005D7D95"/>
    <w:rsid w:val="005E13CC"/>
    <w:rsid w:val="005E1D97"/>
    <w:rsid w:val="005E1DFF"/>
    <w:rsid w:val="005E21D3"/>
    <w:rsid w:val="005E45F9"/>
    <w:rsid w:val="005E550D"/>
    <w:rsid w:val="005E603C"/>
    <w:rsid w:val="005E6295"/>
    <w:rsid w:val="005E7011"/>
    <w:rsid w:val="005F5045"/>
    <w:rsid w:val="005F568D"/>
    <w:rsid w:val="006007E2"/>
    <w:rsid w:val="00600A84"/>
    <w:rsid w:val="006010D8"/>
    <w:rsid w:val="006016ED"/>
    <w:rsid w:val="00602E2A"/>
    <w:rsid w:val="00604660"/>
    <w:rsid w:val="00606CBA"/>
    <w:rsid w:val="006076E1"/>
    <w:rsid w:val="00611BE3"/>
    <w:rsid w:val="006158C5"/>
    <w:rsid w:val="0061708C"/>
    <w:rsid w:val="00620AB1"/>
    <w:rsid w:val="006227CC"/>
    <w:rsid w:val="00622DB3"/>
    <w:rsid w:val="006243D3"/>
    <w:rsid w:val="00624973"/>
    <w:rsid w:val="0062501C"/>
    <w:rsid w:val="006255FA"/>
    <w:rsid w:val="006302F9"/>
    <w:rsid w:val="00630390"/>
    <w:rsid w:val="00630578"/>
    <w:rsid w:val="00632770"/>
    <w:rsid w:val="00632AD1"/>
    <w:rsid w:val="00633649"/>
    <w:rsid w:val="00633790"/>
    <w:rsid w:val="00633C40"/>
    <w:rsid w:val="00633E8B"/>
    <w:rsid w:val="006350AE"/>
    <w:rsid w:val="00635148"/>
    <w:rsid w:val="00636F61"/>
    <w:rsid w:val="0064166D"/>
    <w:rsid w:val="00642E75"/>
    <w:rsid w:val="006432F8"/>
    <w:rsid w:val="00645C4F"/>
    <w:rsid w:val="006461E3"/>
    <w:rsid w:val="006469A6"/>
    <w:rsid w:val="00650581"/>
    <w:rsid w:val="006519F8"/>
    <w:rsid w:val="00656C49"/>
    <w:rsid w:val="006610B1"/>
    <w:rsid w:val="00661556"/>
    <w:rsid w:val="00663696"/>
    <w:rsid w:val="00665302"/>
    <w:rsid w:val="00666D95"/>
    <w:rsid w:val="00670C02"/>
    <w:rsid w:val="006715E4"/>
    <w:rsid w:val="0067211B"/>
    <w:rsid w:val="0067219E"/>
    <w:rsid w:val="006726B6"/>
    <w:rsid w:val="00673DA5"/>
    <w:rsid w:val="00674AC6"/>
    <w:rsid w:val="00675C03"/>
    <w:rsid w:val="00675EFD"/>
    <w:rsid w:val="00677AC3"/>
    <w:rsid w:val="00680694"/>
    <w:rsid w:val="00680960"/>
    <w:rsid w:val="00681370"/>
    <w:rsid w:val="0068187F"/>
    <w:rsid w:val="0068379B"/>
    <w:rsid w:val="00684260"/>
    <w:rsid w:val="00687660"/>
    <w:rsid w:val="0069133C"/>
    <w:rsid w:val="0069178F"/>
    <w:rsid w:val="00691A9A"/>
    <w:rsid w:val="00692221"/>
    <w:rsid w:val="00692B57"/>
    <w:rsid w:val="0069324A"/>
    <w:rsid w:val="00694754"/>
    <w:rsid w:val="00696DC2"/>
    <w:rsid w:val="00697D63"/>
    <w:rsid w:val="006A0E14"/>
    <w:rsid w:val="006A0FF5"/>
    <w:rsid w:val="006A24D4"/>
    <w:rsid w:val="006A3792"/>
    <w:rsid w:val="006A5E05"/>
    <w:rsid w:val="006A5F1D"/>
    <w:rsid w:val="006A6628"/>
    <w:rsid w:val="006B00C9"/>
    <w:rsid w:val="006B0D40"/>
    <w:rsid w:val="006B1B68"/>
    <w:rsid w:val="006B380A"/>
    <w:rsid w:val="006B5AD4"/>
    <w:rsid w:val="006B62B8"/>
    <w:rsid w:val="006B72F0"/>
    <w:rsid w:val="006C13F4"/>
    <w:rsid w:val="006C28AB"/>
    <w:rsid w:val="006C3065"/>
    <w:rsid w:val="006C38E2"/>
    <w:rsid w:val="006C4022"/>
    <w:rsid w:val="006C5B47"/>
    <w:rsid w:val="006C61C3"/>
    <w:rsid w:val="006D1444"/>
    <w:rsid w:val="006D1483"/>
    <w:rsid w:val="006D166E"/>
    <w:rsid w:val="006D17AC"/>
    <w:rsid w:val="006D2683"/>
    <w:rsid w:val="006D2C3A"/>
    <w:rsid w:val="006D4007"/>
    <w:rsid w:val="006D4DAF"/>
    <w:rsid w:val="006D5922"/>
    <w:rsid w:val="006D77C1"/>
    <w:rsid w:val="006E022A"/>
    <w:rsid w:val="006E0BF2"/>
    <w:rsid w:val="006E35CB"/>
    <w:rsid w:val="006E41EE"/>
    <w:rsid w:val="006E5EE9"/>
    <w:rsid w:val="006F09CA"/>
    <w:rsid w:val="00700257"/>
    <w:rsid w:val="00701074"/>
    <w:rsid w:val="007010FE"/>
    <w:rsid w:val="00702629"/>
    <w:rsid w:val="007040CB"/>
    <w:rsid w:val="00705D6E"/>
    <w:rsid w:val="00705DC7"/>
    <w:rsid w:val="0071188B"/>
    <w:rsid w:val="00712841"/>
    <w:rsid w:val="007129AA"/>
    <w:rsid w:val="00713A24"/>
    <w:rsid w:val="0071740E"/>
    <w:rsid w:val="00720AAD"/>
    <w:rsid w:val="00720C13"/>
    <w:rsid w:val="00721648"/>
    <w:rsid w:val="00722A1B"/>
    <w:rsid w:val="00724152"/>
    <w:rsid w:val="00726B4F"/>
    <w:rsid w:val="00727F41"/>
    <w:rsid w:val="00730090"/>
    <w:rsid w:val="007313A9"/>
    <w:rsid w:val="00732B0F"/>
    <w:rsid w:val="00732EF0"/>
    <w:rsid w:val="00732FDC"/>
    <w:rsid w:val="00734404"/>
    <w:rsid w:val="00734416"/>
    <w:rsid w:val="007359BF"/>
    <w:rsid w:val="00735BC5"/>
    <w:rsid w:val="00740461"/>
    <w:rsid w:val="00741038"/>
    <w:rsid w:val="00742045"/>
    <w:rsid w:val="00742B57"/>
    <w:rsid w:val="00743989"/>
    <w:rsid w:val="00744A12"/>
    <w:rsid w:val="0074551B"/>
    <w:rsid w:val="0075032B"/>
    <w:rsid w:val="00751795"/>
    <w:rsid w:val="00751999"/>
    <w:rsid w:val="00752DF7"/>
    <w:rsid w:val="00752F3D"/>
    <w:rsid w:val="00753AF0"/>
    <w:rsid w:val="00754E96"/>
    <w:rsid w:val="00756B46"/>
    <w:rsid w:val="007605E4"/>
    <w:rsid w:val="007610C7"/>
    <w:rsid w:val="0076372A"/>
    <w:rsid w:val="00763C65"/>
    <w:rsid w:val="007662A2"/>
    <w:rsid w:val="00767689"/>
    <w:rsid w:val="007679B1"/>
    <w:rsid w:val="007679F4"/>
    <w:rsid w:val="00772C83"/>
    <w:rsid w:val="00774623"/>
    <w:rsid w:val="00775637"/>
    <w:rsid w:val="007759BD"/>
    <w:rsid w:val="007768F1"/>
    <w:rsid w:val="007769FA"/>
    <w:rsid w:val="00776C34"/>
    <w:rsid w:val="00780836"/>
    <w:rsid w:val="00781C8D"/>
    <w:rsid w:val="00782F67"/>
    <w:rsid w:val="0078309F"/>
    <w:rsid w:val="0078348A"/>
    <w:rsid w:val="00784018"/>
    <w:rsid w:val="0079391A"/>
    <w:rsid w:val="007942B7"/>
    <w:rsid w:val="00794923"/>
    <w:rsid w:val="00795D77"/>
    <w:rsid w:val="007A1DFB"/>
    <w:rsid w:val="007A2DE1"/>
    <w:rsid w:val="007A47DE"/>
    <w:rsid w:val="007A4AF9"/>
    <w:rsid w:val="007B0E2F"/>
    <w:rsid w:val="007B37F4"/>
    <w:rsid w:val="007B5A04"/>
    <w:rsid w:val="007C19D1"/>
    <w:rsid w:val="007C4946"/>
    <w:rsid w:val="007D18FF"/>
    <w:rsid w:val="007D1D0D"/>
    <w:rsid w:val="007D2A2A"/>
    <w:rsid w:val="007D40C4"/>
    <w:rsid w:val="007D5469"/>
    <w:rsid w:val="007D5C18"/>
    <w:rsid w:val="007D6460"/>
    <w:rsid w:val="007D6AF5"/>
    <w:rsid w:val="007E0351"/>
    <w:rsid w:val="007E085B"/>
    <w:rsid w:val="007E0CA2"/>
    <w:rsid w:val="007E2C0D"/>
    <w:rsid w:val="007E5957"/>
    <w:rsid w:val="007E7AFC"/>
    <w:rsid w:val="007F0500"/>
    <w:rsid w:val="007F05F9"/>
    <w:rsid w:val="007F5959"/>
    <w:rsid w:val="007F7728"/>
    <w:rsid w:val="00800FBA"/>
    <w:rsid w:val="0080281E"/>
    <w:rsid w:val="00803BCF"/>
    <w:rsid w:val="00804C06"/>
    <w:rsid w:val="00806093"/>
    <w:rsid w:val="00807575"/>
    <w:rsid w:val="00807E34"/>
    <w:rsid w:val="00813136"/>
    <w:rsid w:val="00813B8F"/>
    <w:rsid w:val="00814A1C"/>
    <w:rsid w:val="00814FAF"/>
    <w:rsid w:val="008153A1"/>
    <w:rsid w:val="0082061B"/>
    <w:rsid w:val="0082128F"/>
    <w:rsid w:val="008218C2"/>
    <w:rsid w:val="00821C19"/>
    <w:rsid w:val="0082269F"/>
    <w:rsid w:val="00823F42"/>
    <w:rsid w:val="008246D2"/>
    <w:rsid w:val="00827E55"/>
    <w:rsid w:val="00830406"/>
    <w:rsid w:val="008316EE"/>
    <w:rsid w:val="0083578C"/>
    <w:rsid w:val="008358C7"/>
    <w:rsid w:val="00836979"/>
    <w:rsid w:val="00836CC3"/>
    <w:rsid w:val="00837734"/>
    <w:rsid w:val="00840556"/>
    <w:rsid w:val="00841990"/>
    <w:rsid w:val="008424FC"/>
    <w:rsid w:val="008445A0"/>
    <w:rsid w:val="008510A1"/>
    <w:rsid w:val="008548D6"/>
    <w:rsid w:val="00854A28"/>
    <w:rsid w:val="00854F58"/>
    <w:rsid w:val="008618D1"/>
    <w:rsid w:val="00862F76"/>
    <w:rsid w:val="00864012"/>
    <w:rsid w:val="008655ED"/>
    <w:rsid w:val="0087092A"/>
    <w:rsid w:val="00870AB8"/>
    <w:rsid w:val="008740DA"/>
    <w:rsid w:val="0087502E"/>
    <w:rsid w:val="00875AAB"/>
    <w:rsid w:val="00877010"/>
    <w:rsid w:val="008777FF"/>
    <w:rsid w:val="00877BDE"/>
    <w:rsid w:val="00880042"/>
    <w:rsid w:val="00880122"/>
    <w:rsid w:val="0088020F"/>
    <w:rsid w:val="00881E67"/>
    <w:rsid w:val="00881F6E"/>
    <w:rsid w:val="00882543"/>
    <w:rsid w:val="0088295C"/>
    <w:rsid w:val="00882CA2"/>
    <w:rsid w:val="008837C5"/>
    <w:rsid w:val="00883CF2"/>
    <w:rsid w:val="00886A47"/>
    <w:rsid w:val="00890A4C"/>
    <w:rsid w:val="00890AA1"/>
    <w:rsid w:val="00890C3A"/>
    <w:rsid w:val="00892EBB"/>
    <w:rsid w:val="008937F7"/>
    <w:rsid w:val="00894A05"/>
    <w:rsid w:val="0089511A"/>
    <w:rsid w:val="00895CB5"/>
    <w:rsid w:val="008A13C6"/>
    <w:rsid w:val="008A31D1"/>
    <w:rsid w:val="008A400C"/>
    <w:rsid w:val="008A40C6"/>
    <w:rsid w:val="008A4452"/>
    <w:rsid w:val="008A519C"/>
    <w:rsid w:val="008A5733"/>
    <w:rsid w:val="008A638C"/>
    <w:rsid w:val="008B19FF"/>
    <w:rsid w:val="008B2031"/>
    <w:rsid w:val="008B4637"/>
    <w:rsid w:val="008B56C1"/>
    <w:rsid w:val="008B5B44"/>
    <w:rsid w:val="008C0798"/>
    <w:rsid w:val="008C0AB2"/>
    <w:rsid w:val="008C1E65"/>
    <w:rsid w:val="008C5470"/>
    <w:rsid w:val="008C6776"/>
    <w:rsid w:val="008D06A2"/>
    <w:rsid w:val="008D1179"/>
    <w:rsid w:val="008D2792"/>
    <w:rsid w:val="008D4978"/>
    <w:rsid w:val="008D4B94"/>
    <w:rsid w:val="008D7676"/>
    <w:rsid w:val="008E01C7"/>
    <w:rsid w:val="008E152F"/>
    <w:rsid w:val="008E209A"/>
    <w:rsid w:val="008E4ADE"/>
    <w:rsid w:val="008E69A6"/>
    <w:rsid w:val="008E7193"/>
    <w:rsid w:val="008E7208"/>
    <w:rsid w:val="008F1535"/>
    <w:rsid w:val="008F2606"/>
    <w:rsid w:val="008F44B0"/>
    <w:rsid w:val="008F6554"/>
    <w:rsid w:val="008F6945"/>
    <w:rsid w:val="00905DA5"/>
    <w:rsid w:val="0090643C"/>
    <w:rsid w:val="009064A4"/>
    <w:rsid w:val="009064C1"/>
    <w:rsid w:val="00907E0C"/>
    <w:rsid w:val="00910D9E"/>
    <w:rsid w:val="009118D3"/>
    <w:rsid w:val="0091296F"/>
    <w:rsid w:val="00912C16"/>
    <w:rsid w:val="00912CFD"/>
    <w:rsid w:val="0091445D"/>
    <w:rsid w:val="0091466D"/>
    <w:rsid w:val="0092053E"/>
    <w:rsid w:val="00920C3D"/>
    <w:rsid w:val="00921593"/>
    <w:rsid w:val="00924390"/>
    <w:rsid w:val="0092455C"/>
    <w:rsid w:val="009301C2"/>
    <w:rsid w:val="00932A51"/>
    <w:rsid w:val="009351A9"/>
    <w:rsid w:val="0093713B"/>
    <w:rsid w:val="009379AD"/>
    <w:rsid w:val="00937ABC"/>
    <w:rsid w:val="009409DC"/>
    <w:rsid w:val="00940A14"/>
    <w:rsid w:val="00941653"/>
    <w:rsid w:val="00942B5C"/>
    <w:rsid w:val="0094387C"/>
    <w:rsid w:val="00943F92"/>
    <w:rsid w:val="00944700"/>
    <w:rsid w:val="00944BE7"/>
    <w:rsid w:val="00947B33"/>
    <w:rsid w:val="00950565"/>
    <w:rsid w:val="00951B58"/>
    <w:rsid w:val="0095408D"/>
    <w:rsid w:val="00954098"/>
    <w:rsid w:val="0095457E"/>
    <w:rsid w:val="00955576"/>
    <w:rsid w:val="0095671A"/>
    <w:rsid w:val="00956FCE"/>
    <w:rsid w:val="00960EFA"/>
    <w:rsid w:val="00963417"/>
    <w:rsid w:val="00964C33"/>
    <w:rsid w:val="00967106"/>
    <w:rsid w:val="009719B0"/>
    <w:rsid w:val="009723C5"/>
    <w:rsid w:val="00973480"/>
    <w:rsid w:val="009758BF"/>
    <w:rsid w:val="00975F47"/>
    <w:rsid w:val="00976D57"/>
    <w:rsid w:val="00976D9F"/>
    <w:rsid w:val="00977530"/>
    <w:rsid w:val="00977D32"/>
    <w:rsid w:val="00981027"/>
    <w:rsid w:val="00982C67"/>
    <w:rsid w:val="00986640"/>
    <w:rsid w:val="009874ED"/>
    <w:rsid w:val="00987744"/>
    <w:rsid w:val="00991A5D"/>
    <w:rsid w:val="00991F9F"/>
    <w:rsid w:val="00993F9A"/>
    <w:rsid w:val="00994FB6"/>
    <w:rsid w:val="00995011"/>
    <w:rsid w:val="00996D25"/>
    <w:rsid w:val="00996D6E"/>
    <w:rsid w:val="009972FD"/>
    <w:rsid w:val="00997A91"/>
    <w:rsid w:val="009A3533"/>
    <w:rsid w:val="009A6B96"/>
    <w:rsid w:val="009B1796"/>
    <w:rsid w:val="009B21AF"/>
    <w:rsid w:val="009B2628"/>
    <w:rsid w:val="009B2D73"/>
    <w:rsid w:val="009B2FD5"/>
    <w:rsid w:val="009B30D2"/>
    <w:rsid w:val="009B46A3"/>
    <w:rsid w:val="009B52C2"/>
    <w:rsid w:val="009B5DC1"/>
    <w:rsid w:val="009B6C12"/>
    <w:rsid w:val="009B6DA8"/>
    <w:rsid w:val="009B7242"/>
    <w:rsid w:val="009C02B5"/>
    <w:rsid w:val="009C2AFE"/>
    <w:rsid w:val="009C2EB4"/>
    <w:rsid w:val="009C6E73"/>
    <w:rsid w:val="009C7BF2"/>
    <w:rsid w:val="009C7CD5"/>
    <w:rsid w:val="009D007F"/>
    <w:rsid w:val="009D2249"/>
    <w:rsid w:val="009D3838"/>
    <w:rsid w:val="009D3B59"/>
    <w:rsid w:val="009D5895"/>
    <w:rsid w:val="009D618D"/>
    <w:rsid w:val="009D70C3"/>
    <w:rsid w:val="009D7C7A"/>
    <w:rsid w:val="009E0A6B"/>
    <w:rsid w:val="009E1092"/>
    <w:rsid w:val="009E54F1"/>
    <w:rsid w:val="009E6B3E"/>
    <w:rsid w:val="009F11F8"/>
    <w:rsid w:val="009F17F9"/>
    <w:rsid w:val="009F3BD7"/>
    <w:rsid w:val="009F4AF8"/>
    <w:rsid w:val="009F4D05"/>
    <w:rsid w:val="009F619C"/>
    <w:rsid w:val="009F622E"/>
    <w:rsid w:val="009F715F"/>
    <w:rsid w:val="009F732E"/>
    <w:rsid w:val="00A0378E"/>
    <w:rsid w:val="00A04FAE"/>
    <w:rsid w:val="00A05028"/>
    <w:rsid w:val="00A05D5E"/>
    <w:rsid w:val="00A11B71"/>
    <w:rsid w:val="00A13246"/>
    <w:rsid w:val="00A1348D"/>
    <w:rsid w:val="00A13B35"/>
    <w:rsid w:val="00A14F2D"/>
    <w:rsid w:val="00A1509A"/>
    <w:rsid w:val="00A15CAE"/>
    <w:rsid w:val="00A16000"/>
    <w:rsid w:val="00A17905"/>
    <w:rsid w:val="00A201A0"/>
    <w:rsid w:val="00A208B9"/>
    <w:rsid w:val="00A23AEE"/>
    <w:rsid w:val="00A24498"/>
    <w:rsid w:val="00A248D7"/>
    <w:rsid w:val="00A26AE5"/>
    <w:rsid w:val="00A31BB8"/>
    <w:rsid w:val="00A327A9"/>
    <w:rsid w:val="00A36492"/>
    <w:rsid w:val="00A37703"/>
    <w:rsid w:val="00A37E0E"/>
    <w:rsid w:val="00A4118E"/>
    <w:rsid w:val="00A434C0"/>
    <w:rsid w:val="00A43CBB"/>
    <w:rsid w:val="00A46C97"/>
    <w:rsid w:val="00A525BB"/>
    <w:rsid w:val="00A536E2"/>
    <w:rsid w:val="00A56187"/>
    <w:rsid w:val="00A57595"/>
    <w:rsid w:val="00A57D92"/>
    <w:rsid w:val="00A613A1"/>
    <w:rsid w:val="00A61708"/>
    <w:rsid w:val="00A632B4"/>
    <w:rsid w:val="00A63929"/>
    <w:rsid w:val="00A647E5"/>
    <w:rsid w:val="00A677F9"/>
    <w:rsid w:val="00A7025F"/>
    <w:rsid w:val="00A715C4"/>
    <w:rsid w:val="00A7259C"/>
    <w:rsid w:val="00A7590E"/>
    <w:rsid w:val="00A75DD1"/>
    <w:rsid w:val="00A76AC9"/>
    <w:rsid w:val="00A773BB"/>
    <w:rsid w:val="00A804BA"/>
    <w:rsid w:val="00A81F33"/>
    <w:rsid w:val="00A829B5"/>
    <w:rsid w:val="00A84525"/>
    <w:rsid w:val="00A86B04"/>
    <w:rsid w:val="00A86CFB"/>
    <w:rsid w:val="00A909D3"/>
    <w:rsid w:val="00A9114E"/>
    <w:rsid w:val="00A9272B"/>
    <w:rsid w:val="00A92D1C"/>
    <w:rsid w:val="00A939B4"/>
    <w:rsid w:val="00A93F88"/>
    <w:rsid w:val="00A967A4"/>
    <w:rsid w:val="00A971DE"/>
    <w:rsid w:val="00A97C50"/>
    <w:rsid w:val="00AA1002"/>
    <w:rsid w:val="00AA4C6F"/>
    <w:rsid w:val="00AA587B"/>
    <w:rsid w:val="00AA5F20"/>
    <w:rsid w:val="00AA6B53"/>
    <w:rsid w:val="00AA6B9D"/>
    <w:rsid w:val="00AA6F69"/>
    <w:rsid w:val="00AA7326"/>
    <w:rsid w:val="00AB2A49"/>
    <w:rsid w:val="00AB4488"/>
    <w:rsid w:val="00AB4BBC"/>
    <w:rsid w:val="00AB5DDE"/>
    <w:rsid w:val="00AB68FB"/>
    <w:rsid w:val="00AB710B"/>
    <w:rsid w:val="00AB7FFE"/>
    <w:rsid w:val="00AC21E8"/>
    <w:rsid w:val="00AC3C34"/>
    <w:rsid w:val="00AC406A"/>
    <w:rsid w:val="00AC7024"/>
    <w:rsid w:val="00AD0932"/>
    <w:rsid w:val="00AD18C6"/>
    <w:rsid w:val="00AD2052"/>
    <w:rsid w:val="00AD4351"/>
    <w:rsid w:val="00AD4A1D"/>
    <w:rsid w:val="00AD4FFB"/>
    <w:rsid w:val="00AE0006"/>
    <w:rsid w:val="00AE04D4"/>
    <w:rsid w:val="00AE17DA"/>
    <w:rsid w:val="00AE351B"/>
    <w:rsid w:val="00AE36E1"/>
    <w:rsid w:val="00AE4366"/>
    <w:rsid w:val="00AE4B7F"/>
    <w:rsid w:val="00AE4F4A"/>
    <w:rsid w:val="00AE5007"/>
    <w:rsid w:val="00AF1EC2"/>
    <w:rsid w:val="00AF3C6C"/>
    <w:rsid w:val="00AF4C13"/>
    <w:rsid w:val="00AF5F26"/>
    <w:rsid w:val="00AF7F4B"/>
    <w:rsid w:val="00AF7F8E"/>
    <w:rsid w:val="00B01EB0"/>
    <w:rsid w:val="00B03FD1"/>
    <w:rsid w:val="00B04B8B"/>
    <w:rsid w:val="00B07A1E"/>
    <w:rsid w:val="00B10EF4"/>
    <w:rsid w:val="00B10F67"/>
    <w:rsid w:val="00B12000"/>
    <w:rsid w:val="00B123A0"/>
    <w:rsid w:val="00B12DE0"/>
    <w:rsid w:val="00B13BCB"/>
    <w:rsid w:val="00B17B06"/>
    <w:rsid w:val="00B17D14"/>
    <w:rsid w:val="00B17E7C"/>
    <w:rsid w:val="00B214E3"/>
    <w:rsid w:val="00B21D10"/>
    <w:rsid w:val="00B22279"/>
    <w:rsid w:val="00B23E3F"/>
    <w:rsid w:val="00B23FB6"/>
    <w:rsid w:val="00B2536E"/>
    <w:rsid w:val="00B27116"/>
    <w:rsid w:val="00B27737"/>
    <w:rsid w:val="00B2783F"/>
    <w:rsid w:val="00B3031E"/>
    <w:rsid w:val="00B33319"/>
    <w:rsid w:val="00B33F49"/>
    <w:rsid w:val="00B3696B"/>
    <w:rsid w:val="00B379DF"/>
    <w:rsid w:val="00B40702"/>
    <w:rsid w:val="00B4338A"/>
    <w:rsid w:val="00B44A8E"/>
    <w:rsid w:val="00B44DF9"/>
    <w:rsid w:val="00B45017"/>
    <w:rsid w:val="00B45063"/>
    <w:rsid w:val="00B45C95"/>
    <w:rsid w:val="00B45FB2"/>
    <w:rsid w:val="00B46968"/>
    <w:rsid w:val="00B473A1"/>
    <w:rsid w:val="00B47DB6"/>
    <w:rsid w:val="00B5058D"/>
    <w:rsid w:val="00B50863"/>
    <w:rsid w:val="00B512C7"/>
    <w:rsid w:val="00B51F37"/>
    <w:rsid w:val="00B52831"/>
    <w:rsid w:val="00B53303"/>
    <w:rsid w:val="00B538EA"/>
    <w:rsid w:val="00B53BAF"/>
    <w:rsid w:val="00B547C4"/>
    <w:rsid w:val="00B5529F"/>
    <w:rsid w:val="00B552E0"/>
    <w:rsid w:val="00B560D7"/>
    <w:rsid w:val="00B60147"/>
    <w:rsid w:val="00B6046A"/>
    <w:rsid w:val="00B625ED"/>
    <w:rsid w:val="00B63592"/>
    <w:rsid w:val="00B64821"/>
    <w:rsid w:val="00B6489C"/>
    <w:rsid w:val="00B64E90"/>
    <w:rsid w:val="00B65B99"/>
    <w:rsid w:val="00B729A0"/>
    <w:rsid w:val="00B73B26"/>
    <w:rsid w:val="00B75ECB"/>
    <w:rsid w:val="00B7668A"/>
    <w:rsid w:val="00B778AE"/>
    <w:rsid w:val="00B80304"/>
    <w:rsid w:val="00B81D9A"/>
    <w:rsid w:val="00B826D1"/>
    <w:rsid w:val="00B8365F"/>
    <w:rsid w:val="00B85145"/>
    <w:rsid w:val="00B87D77"/>
    <w:rsid w:val="00B9111C"/>
    <w:rsid w:val="00B91FE0"/>
    <w:rsid w:val="00B93ACC"/>
    <w:rsid w:val="00B943B8"/>
    <w:rsid w:val="00B94D96"/>
    <w:rsid w:val="00B94EA0"/>
    <w:rsid w:val="00B95412"/>
    <w:rsid w:val="00B97008"/>
    <w:rsid w:val="00BA0E59"/>
    <w:rsid w:val="00BA1021"/>
    <w:rsid w:val="00BA115F"/>
    <w:rsid w:val="00BA18F3"/>
    <w:rsid w:val="00BA208F"/>
    <w:rsid w:val="00BA2561"/>
    <w:rsid w:val="00BA2893"/>
    <w:rsid w:val="00BA307D"/>
    <w:rsid w:val="00BA3F8C"/>
    <w:rsid w:val="00BA53BF"/>
    <w:rsid w:val="00BA57FF"/>
    <w:rsid w:val="00BB0ACD"/>
    <w:rsid w:val="00BB0EEC"/>
    <w:rsid w:val="00BB1686"/>
    <w:rsid w:val="00BB1B4E"/>
    <w:rsid w:val="00BB3497"/>
    <w:rsid w:val="00BB3924"/>
    <w:rsid w:val="00BB394A"/>
    <w:rsid w:val="00BB3A57"/>
    <w:rsid w:val="00BB4960"/>
    <w:rsid w:val="00BB5846"/>
    <w:rsid w:val="00BB6322"/>
    <w:rsid w:val="00BB704F"/>
    <w:rsid w:val="00BC09BB"/>
    <w:rsid w:val="00BC3BBB"/>
    <w:rsid w:val="00BC460D"/>
    <w:rsid w:val="00BC5E14"/>
    <w:rsid w:val="00BC6AA0"/>
    <w:rsid w:val="00BD074F"/>
    <w:rsid w:val="00BD0CDF"/>
    <w:rsid w:val="00BD2A26"/>
    <w:rsid w:val="00BD4A35"/>
    <w:rsid w:val="00BD5549"/>
    <w:rsid w:val="00BE071A"/>
    <w:rsid w:val="00BE20EB"/>
    <w:rsid w:val="00BE3C4D"/>
    <w:rsid w:val="00BE4030"/>
    <w:rsid w:val="00BE67A3"/>
    <w:rsid w:val="00BE7035"/>
    <w:rsid w:val="00BE717B"/>
    <w:rsid w:val="00BE73F5"/>
    <w:rsid w:val="00BE79FB"/>
    <w:rsid w:val="00BF0449"/>
    <w:rsid w:val="00BF1080"/>
    <w:rsid w:val="00BF1F4A"/>
    <w:rsid w:val="00BF30BC"/>
    <w:rsid w:val="00BF36A8"/>
    <w:rsid w:val="00BF3B37"/>
    <w:rsid w:val="00BF480E"/>
    <w:rsid w:val="00BF52BE"/>
    <w:rsid w:val="00BF648D"/>
    <w:rsid w:val="00C011D8"/>
    <w:rsid w:val="00C01795"/>
    <w:rsid w:val="00C02AF0"/>
    <w:rsid w:val="00C04581"/>
    <w:rsid w:val="00C053D2"/>
    <w:rsid w:val="00C06E10"/>
    <w:rsid w:val="00C10BAB"/>
    <w:rsid w:val="00C11DB6"/>
    <w:rsid w:val="00C15434"/>
    <w:rsid w:val="00C157FA"/>
    <w:rsid w:val="00C1688C"/>
    <w:rsid w:val="00C178A0"/>
    <w:rsid w:val="00C17D91"/>
    <w:rsid w:val="00C21B9F"/>
    <w:rsid w:val="00C21D3C"/>
    <w:rsid w:val="00C23560"/>
    <w:rsid w:val="00C23713"/>
    <w:rsid w:val="00C23F1F"/>
    <w:rsid w:val="00C250E7"/>
    <w:rsid w:val="00C268BA"/>
    <w:rsid w:val="00C2766B"/>
    <w:rsid w:val="00C30351"/>
    <w:rsid w:val="00C304EF"/>
    <w:rsid w:val="00C3204A"/>
    <w:rsid w:val="00C40225"/>
    <w:rsid w:val="00C41ADA"/>
    <w:rsid w:val="00C427EF"/>
    <w:rsid w:val="00C43A03"/>
    <w:rsid w:val="00C47151"/>
    <w:rsid w:val="00C504B6"/>
    <w:rsid w:val="00C50FC2"/>
    <w:rsid w:val="00C5152F"/>
    <w:rsid w:val="00C51C90"/>
    <w:rsid w:val="00C52D9D"/>
    <w:rsid w:val="00C52E49"/>
    <w:rsid w:val="00C53E78"/>
    <w:rsid w:val="00C57398"/>
    <w:rsid w:val="00C61080"/>
    <w:rsid w:val="00C620FE"/>
    <w:rsid w:val="00C62433"/>
    <w:rsid w:val="00C6393C"/>
    <w:rsid w:val="00C64057"/>
    <w:rsid w:val="00C64957"/>
    <w:rsid w:val="00C65453"/>
    <w:rsid w:val="00C66A2F"/>
    <w:rsid w:val="00C66B33"/>
    <w:rsid w:val="00C70B42"/>
    <w:rsid w:val="00C713F5"/>
    <w:rsid w:val="00C75667"/>
    <w:rsid w:val="00C77202"/>
    <w:rsid w:val="00C77ADB"/>
    <w:rsid w:val="00C83343"/>
    <w:rsid w:val="00C8473E"/>
    <w:rsid w:val="00C84DA1"/>
    <w:rsid w:val="00C85E8B"/>
    <w:rsid w:val="00C86086"/>
    <w:rsid w:val="00C87424"/>
    <w:rsid w:val="00C87673"/>
    <w:rsid w:val="00C87B97"/>
    <w:rsid w:val="00C907A8"/>
    <w:rsid w:val="00C924F1"/>
    <w:rsid w:val="00C93425"/>
    <w:rsid w:val="00C93A47"/>
    <w:rsid w:val="00C94C11"/>
    <w:rsid w:val="00C95A55"/>
    <w:rsid w:val="00C965A6"/>
    <w:rsid w:val="00C96B69"/>
    <w:rsid w:val="00C96C27"/>
    <w:rsid w:val="00CA156B"/>
    <w:rsid w:val="00CA2060"/>
    <w:rsid w:val="00CA2E8B"/>
    <w:rsid w:val="00CA3138"/>
    <w:rsid w:val="00CA38B5"/>
    <w:rsid w:val="00CA3B18"/>
    <w:rsid w:val="00CA45DE"/>
    <w:rsid w:val="00CA6360"/>
    <w:rsid w:val="00CA6FC1"/>
    <w:rsid w:val="00CA7CC4"/>
    <w:rsid w:val="00CB1B21"/>
    <w:rsid w:val="00CB2DBF"/>
    <w:rsid w:val="00CB3CB0"/>
    <w:rsid w:val="00CB3F46"/>
    <w:rsid w:val="00CB4A6C"/>
    <w:rsid w:val="00CB5B84"/>
    <w:rsid w:val="00CB69FA"/>
    <w:rsid w:val="00CB73FE"/>
    <w:rsid w:val="00CB74A7"/>
    <w:rsid w:val="00CB7857"/>
    <w:rsid w:val="00CB7E21"/>
    <w:rsid w:val="00CC072D"/>
    <w:rsid w:val="00CC0E83"/>
    <w:rsid w:val="00CC202B"/>
    <w:rsid w:val="00CC2D01"/>
    <w:rsid w:val="00CC36CC"/>
    <w:rsid w:val="00CC479D"/>
    <w:rsid w:val="00CC610D"/>
    <w:rsid w:val="00CC7DAD"/>
    <w:rsid w:val="00CD07FC"/>
    <w:rsid w:val="00CD0832"/>
    <w:rsid w:val="00CD0837"/>
    <w:rsid w:val="00CD30FE"/>
    <w:rsid w:val="00CD6F94"/>
    <w:rsid w:val="00CD7098"/>
    <w:rsid w:val="00CE0559"/>
    <w:rsid w:val="00CE20C6"/>
    <w:rsid w:val="00CE23F4"/>
    <w:rsid w:val="00CE3B94"/>
    <w:rsid w:val="00CE3BFD"/>
    <w:rsid w:val="00CE57D1"/>
    <w:rsid w:val="00CE587D"/>
    <w:rsid w:val="00CE5D41"/>
    <w:rsid w:val="00CF1134"/>
    <w:rsid w:val="00CF136C"/>
    <w:rsid w:val="00CF23CE"/>
    <w:rsid w:val="00CF47B0"/>
    <w:rsid w:val="00CF4830"/>
    <w:rsid w:val="00CF5F31"/>
    <w:rsid w:val="00CF63BA"/>
    <w:rsid w:val="00CF6EA7"/>
    <w:rsid w:val="00D00274"/>
    <w:rsid w:val="00D00FF0"/>
    <w:rsid w:val="00D038AE"/>
    <w:rsid w:val="00D05240"/>
    <w:rsid w:val="00D05B55"/>
    <w:rsid w:val="00D06720"/>
    <w:rsid w:val="00D075F6"/>
    <w:rsid w:val="00D07A30"/>
    <w:rsid w:val="00D10C88"/>
    <w:rsid w:val="00D112C3"/>
    <w:rsid w:val="00D12387"/>
    <w:rsid w:val="00D12FEB"/>
    <w:rsid w:val="00D132FC"/>
    <w:rsid w:val="00D14B3E"/>
    <w:rsid w:val="00D14FB0"/>
    <w:rsid w:val="00D153D9"/>
    <w:rsid w:val="00D15883"/>
    <w:rsid w:val="00D163A8"/>
    <w:rsid w:val="00D16571"/>
    <w:rsid w:val="00D17A63"/>
    <w:rsid w:val="00D20033"/>
    <w:rsid w:val="00D20469"/>
    <w:rsid w:val="00D22E11"/>
    <w:rsid w:val="00D236A6"/>
    <w:rsid w:val="00D259F0"/>
    <w:rsid w:val="00D25DFD"/>
    <w:rsid w:val="00D30CD2"/>
    <w:rsid w:val="00D31BB1"/>
    <w:rsid w:val="00D32176"/>
    <w:rsid w:val="00D32D1B"/>
    <w:rsid w:val="00D331EA"/>
    <w:rsid w:val="00D333E8"/>
    <w:rsid w:val="00D36B4B"/>
    <w:rsid w:val="00D36F0C"/>
    <w:rsid w:val="00D37382"/>
    <w:rsid w:val="00D40162"/>
    <w:rsid w:val="00D41E3A"/>
    <w:rsid w:val="00D4271B"/>
    <w:rsid w:val="00D42FAA"/>
    <w:rsid w:val="00D44F4B"/>
    <w:rsid w:val="00D50CC1"/>
    <w:rsid w:val="00D53831"/>
    <w:rsid w:val="00D538DC"/>
    <w:rsid w:val="00D54053"/>
    <w:rsid w:val="00D54188"/>
    <w:rsid w:val="00D5586C"/>
    <w:rsid w:val="00D55D0A"/>
    <w:rsid w:val="00D56F30"/>
    <w:rsid w:val="00D6040C"/>
    <w:rsid w:val="00D63194"/>
    <w:rsid w:val="00D64A75"/>
    <w:rsid w:val="00D663E8"/>
    <w:rsid w:val="00D668E1"/>
    <w:rsid w:val="00D70CCD"/>
    <w:rsid w:val="00D71EDE"/>
    <w:rsid w:val="00D76658"/>
    <w:rsid w:val="00D76942"/>
    <w:rsid w:val="00D818F8"/>
    <w:rsid w:val="00D8267C"/>
    <w:rsid w:val="00D826A4"/>
    <w:rsid w:val="00D82BE1"/>
    <w:rsid w:val="00D834F6"/>
    <w:rsid w:val="00D83913"/>
    <w:rsid w:val="00D83B0F"/>
    <w:rsid w:val="00D8787F"/>
    <w:rsid w:val="00D87BB2"/>
    <w:rsid w:val="00D905B5"/>
    <w:rsid w:val="00D908B0"/>
    <w:rsid w:val="00D90937"/>
    <w:rsid w:val="00D909A6"/>
    <w:rsid w:val="00D92571"/>
    <w:rsid w:val="00D9356B"/>
    <w:rsid w:val="00D93713"/>
    <w:rsid w:val="00D937C2"/>
    <w:rsid w:val="00D94E31"/>
    <w:rsid w:val="00D955B6"/>
    <w:rsid w:val="00D95AA6"/>
    <w:rsid w:val="00DA2945"/>
    <w:rsid w:val="00DA66E3"/>
    <w:rsid w:val="00DB04BE"/>
    <w:rsid w:val="00DB056F"/>
    <w:rsid w:val="00DB06C1"/>
    <w:rsid w:val="00DB2C2E"/>
    <w:rsid w:val="00DB39F0"/>
    <w:rsid w:val="00DB3A87"/>
    <w:rsid w:val="00DB483F"/>
    <w:rsid w:val="00DB5349"/>
    <w:rsid w:val="00DB7EEE"/>
    <w:rsid w:val="00DC107B"/>
    <w:rsid w:val="00DC143B"/>
    <w:rsid w:val="00DC1801"/>
    <w:rsid w:val="00DC2628"/>
    <w:rsid w:val="00DC3876"/>
    <w:rsid w:val="00DC4491"/>
    <w:rsid w:val="00DC47AC"/>
    <w:rsid w:val="00DC4B87"/>
    <w:rsid w:val="00DC5B21"/>
    <w:rsid w:val="00DC620D"/>
    <w:rsid w:val="00DC6F41"/>
    <w:rsid w:val="00DD0B64"/>
    <w:rsid w:val="00DD3326"/>
    <w:rsid w:val="00DD33EE"/>
    <w:rsid w:val="00DD3699"/>
    <w:rsid w:val="00DD38DD"/>
    <w:rsid w:val="00DD3EFB"/>
    <w:rsid w:val="00DD4053"/>
    <w:rsid w:val="00DD45AF"/>
    <w:rsid w:val="00DD5E11"/>
    <w:rsid w:val="00DD6248"/>
    <w:rsid w:val="00DD6A21"/>
    <w:rsid w:val="00DD6A72"/>
    <w:rsid w:val="00DD6AE5"/>
    <w:rsid w:val="00DD7887"/>
    <w:rsid w:val="00DD7BAC"/>
    <w:rsid w:val="00DE04A7"/>
    <w:rsid w:val="00DE0757"/>
    <w:rsid w:val="00DE09E2"/>
    <w:rsid w:val="00DE2107"/>
    <w:rsid w:val="00DE25D9"/>
    <w:rsid w:val="00DE26D4"/>
    <w:rsid w:val="00DE34D6"/>
    <w:rsid w:val="00DE3A80"/>
    <w:rsid w:val="00DE4B74"/>
    <w:rsid w:val="00DE4BF2"/>
    <w:rsid w:val="00DE551B"/>
    <w:rsid w:val="00DE6410"/>
    <w:rsid w:val="00DE6DF6"/>
    <w:rsid w:val="00DE7E25"/>
    <w:rsid w:val="00DF18C6"/>
    <w:rsid w:val="00DF3CD1"/>
    <w:rsid w:val="00DF50E0"/>
    <w:rsid w:val="00DF55A3"/>
    <w:rsid w:val="00DF57E7"/>
    <w:rsid w:val="00DF5B07"/>
    <w:rsid w:val="00DF5FC5"/>
    <w:rsid w:val="00DF6F72"/>
    <w:rsid w:val="00E02E2B"/>
    <w:rsid w:val="00E057A9"/>
    <w:rsid w:val="00E0716E"/>
    <w:rsid w:val="00E07D8E"/>
    <w:rsid w:val="00E10EBA"/>
    <w:rsid w:val="00E10F2C"/>
    <w:rsid w:val="00E11146"/>
    <w:rsid w:val="00E15D53"/>
    <w:rsid w:val="00E1640B"/>
    <w:rsid w:val="00E212E4"/>
    <w:rsid w:val="00E23C9D"/>
    <w:rsid w:val="00E25E44"/>
    <w:rsid w:val="00E260C1"/>
    <w:rsid w:val="00E26A1E"/>
    <w:rsid w:val="00E300CC"/>
    <w:rsid w:val="00E3080B"/>
    <w:rsid w:val="00E30DF3"/>
    <w:rsid w:val="00E311CD"/>
    <w:rsid w:val="00E314B0"/>
    <w:rsid w:val="00E350C8"/>
    <w:rsid w:val="00E360D7"/>
    <w:rsid w:val="00E36946"/>
    <w:rsid w:val="00E36BEA"/>
    <w:rsid w:val="00E36FFB"/>
    <w:rsid w:val="00E371F9"/>
    <w:rsid w:val="00E3780F"/>
    <w:rsid w:val="00E40CBD"/>
    <w:rsid w:val="00E432CE"/>
    <w:rsid w:val="00E44B41"/>
    <w:rsid w:val="00E451EE"/>
    <w:rsid w:val="00E4620D"/>
    <w:rsid w:val="00E47F64"/>
    <w:rsid w:val="00E50964"/>
    <w:rsid w:val="00E51838"/>
    <w:rsid w:val="00E51927"/>
    <w:rsid w:val="00E522F1"/>
    <w:rsid w:val="00E536C1"/>
    <w:rsid w:val="00E5501F"/>
    <w:rsid w:val="00E55296"/>
    <w:rsid w:val="00E57D00"/>
    <w:rsid w:val="00E57ECF"/>
    <w:rsid w:val="00E625E6"/>
    <w:rsid w:val="00E638CE"/>
    <w:rsid w:val="00E6402B"/>
    <w:rsid w:val="00E67143"/>
    <w:rsid w:val="00E67E32"/>
    <w:rsid w:val="00E67EB6"/>
    <w:rsid w:val="00E67F24"/>
    <w:rsid w:val="00E70ABD"/>
    <w:rsid w:val="00E72D5E"/>
    <w:rsid w:val="00E73257"/>
    <w:rsid w:val="00E7437F"/>
    <w:rsid w:val="00E77D98"/>
    <w:rsid w:val="00E77FF7"/>
    <w:rsid w:val="00E80395"/>
    <w:rsid w:val="00E804B5"/>
    <w:rsid w:val="00E807F5"/>
    <w:rsid w:val="00E80CE0"/>
    <w:rsid w:val="00E8305F"/>
    <w:rsid w:val="00E83459"/>
    <w:rsid w:val="00E83D48"/>
    <w:rsid w:val="00E84408"/>
    <w:rsid w:val="00E84DC0"/>
    <w:rsid w:val="00E850B1"/>
    <w:rsid w:val="00E85BE0"/>
    <w:rsid w:val="00E87FC8"/>
    <w:rsid w:val="00E913C7"/>
    <w:rsid w:val="00E91D20"/>
    <w:rsid w:val="00E929B1"/>
    <w:rsid w:val="00E9322B"/>
    <w:rsid w:val="00E96948"/>
    <w:rsid w:val="00E978C8"/>
    <w:rsid w:val="00E97CDA"/>
    <w:rsid w:val="00EA05F5"/>
    <w:rsid w:val="00EA06F3"/>
    <w:rsid w:val="00EA16B9"/>
    <w:rsid w:val="00EA1840"/>
    <w:rsid w:val="00EA3DD2"/>
    <w:rsid w:val="00EA56F5"/>
    <w:rsid w:val="00EA6DAB"/>
    <w:rsid w:val="00EA6E4A"/>
    <w:rsid w:val="00EB1070"/>
    <w:rsid w:val="00EB16AC"/>
    <w:rsid w:val="00EB29AA"/>
    <w:rsid w:val="00EB2C49"/>
    <w:rsid w:val="00EB3C3D"/>
    <w:rsid w:val="00EB795B"/>
    <w:rsid w:val="00EC181D"/>
    <w:rsid w:val="00EC629A"/>
    <w:rsid w:val="00EC67C5"/>
    <w:rsid w:val="00ED33EE"/>
    <w:rsid w:val="00ED5DCA"/>
    <w:rsid w:val="00ED6D93"/>
    <w:rsid w:val="00ED6E17"/>
    <w:rsid w:val="00EE07CE"/>
    <w:rsid w:val="00EE1360"/>
    <w:rsid w:val="00EE2071"/>
    <w:rsid w:val="00EE2F5B"/>
    <w:rsid w:val="00EE537C"/>
    <w:rsid w:val="00EE5A0F"/>
    <w:rsid w:val="00EE63B1"/>
    <w:rsid w:val="00EF0A17"/>
    <w:rsid w:val="00EF3A4A"/>
    <w:rsid w:val="00EF4405"/>
    <w:rsid w:val="00EF4BEA"/>
    <w:rsid w:val="00EF538E"/>
    <w:rsid w:val="00EF5E95"/>
    <w:rsid w:val="00EF618C"/>
    <w:rsid w:val="00EF7666"/>
    <w:rsid w:val="00EF7696"/>
    <w:rsid w:val="00F01C13"/>
    <w:rsid w:val="00F029CE"/>
    <w:rsid w:val="00F02E4D"/>
    <w:rsid w:val="00F0333E"/>
    <w:rsid w:val="00F03EB1"/>
    <w:rsid w:val="00F04056"/>
    <w:rsid w:val="00F071D2"/>
    <w:rsid w:val="00F12AF2"/>
    <w:rsid w:val="00F12F7E"/>
    <w:rsid w:val="00F13B27"/>
    <w:rsid w:val="00F13DE7"/>
    <w:rsid w:val="00F1433D"/>
    <w:rsid w:val="00F1530C"/>
    <w:rsid w:val="00F17A66"/>
    <w:rsid w:val="00F23361"/>
    <w:rsid w:val="00F2347F"/>
    <w:rsid w:val="00F23798"/>
    <w:rsid w:val="00F24023"/>
    <w:rsid w:val="00F24AE6"/>
    <w:rsid w:val="00F250C1"/>
    <w:rsid w:val="00F273FA"/>
    <w:rsid w:val="00F27EBC"/>
    <w:rsid w:val="00F30DD5"/>
    <w:rsid w:val="00F31416"/>
    <w:rsid w:val="00F31CCC"/>
    <w:rsid w:val="00F31E0B"/>
    <w:rsid w:val="00F322D7"/>
    <w:rsid w:val="00F3410B"/>
    <w:rsid w:val="00F3466B"/>
    <w:rsid w:val="00F34E1A"/>
    <w:rsid w:val="00F3621A"/>
    <w:rsid w:val="00F370AB"/>
    <w:rsid w:val="00F37FEA"/>
    <w:rsid w:val="00F40F67"/>
    <w:rsid w:val="00F4123A"/>
    <w:rsid w:val="00F41526"/>
    <w:rsid w:val="00F45CC1"/>
    <w:rsid w:val="00F526F3"/>
    <w:rsid w:val="00F53A70"/>
    <w:rsid w:val="00F547D9"/>
    <w:rsid w:val="00F549CC"/>
    <w:rsid w:val="00F5587F"/>
    <w:rsid w:val="00F57B4F"/>
    <w:rsid w:val="00F61BE0"/>
    <w:rsid w:val="00F62A82"/>
    <w:rsid w:val="00F643E9"/>
    <w:rsid w:val="00F660D1"/>
    <w:rsid w:val="00F70AAB"/>
    <w:rsid w:val="00F71355"/>
    <w:rsid w:val="00F726C9"/>
    <w:rsid w:val="00F738D8"/>
    <w:rsid w:val="00F73EBD"/>
    <w:rsid w:val="00F80184"/>
    <w:rsid w:val="00F80B15"/>
    <w:rsid w:val="00F80F08"/>
    <w:rsid w:val="00F82527"/>
    <w:rsid w:val="00F85DB0"/>
    <w:rsid w:val="00F86618"/>
    <w:rsid w:val="00F90C38"/>
    <w:rsid w:val="00F95760"/>
    <w:rsid w:val="00F9596F"/>
    <w:rsid w:val="00FA0BF7"/>
    <w:rsid w:val="00FA36C1"/>
    <w:rsid w:val="00FA4134"/>
    <w:rsid w:val="00FA455D"/>
    <w:rsid w:val="00FA4773"/>
    <w:rsid w:val="00FA49C7"/>
    <w:rsid w:val="00FA4E90"/>
    <w:rsid w:val="00FA58C1"/>
    <w:rsid w:val="00FB13D5"/>
    <w:rsid w:val="00FB167C"/>
    <w:rsid w:val="00FB2EC7"/>
    <w:rsid w:val="00FB65F1"/>
    <w:rsid w:val="00FB7A41"/>
    <w:rsid w:val="00FC03E9"/>
    <w:rsid w:val="00FC1213"/>
    <w:rsid w:val="00FC4650"/>
    <w:rsid w:val="00FC49BF"/>
    <w:rsid w:val="00FC5291"/>
    <w:rsid w:val="00FC5E43"/>
    <w:rsid w:val="00FC6263"/>
    <w:rsid w:val="00FC7896"/>
    <w:rsid w:val="00FD1199"/>
    <w:rsid w:val="00FD1439"/>
    <w:rsid w:val="00FD397D"/>
    <w:rsid w:val="00FD3A0C"/>
    <w:rsid w:val="00FE2A2F"/>
    <w:rsid w:val="00FE36B7"/>
    <w:rsid w:val="00FF2423"/>
    <w:rsid w:val="00FF30A8"/>
    <w:rsid w:val="00FF3287"/>
    <w:rsid w:val="00FF4043"/>
    <w:rsid w:val="00FF4DCD"/>
    <w:rsid w:val="00FF4FD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0900" style="mso-position-horizontal-relative:page;mso-position-vertical-relative:page;v-text-anchor:bottom" o:allowincell="f" o:allowoverlap="f" fill="f" fillcolor="white" stroke="f">
      <v:fill color="white" on="f"/>
      <v:stroke on="f"/>
      <v:textbox inset="0,0,0,0"/>
    </o:shapedefaults>
    <o:shapelayout v:ext="edit">
      <o:idmap v:ext="edit" data="1"/>
    </o:shapelayout>
  </w:shapeDefaults>
  <w:decimalSymbol w:val="."/>
  <w:listSeparator w:val=","/>
  <w14:docId w14:val="50E2FE90"/>
  <w15:docId w15:val="{74AB6172-2137-4825-A64E-78311DC47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15E4"/>
    <w:pPr>
      <w:spacing w:after="113" w:line="278" w:lineRule="auto"/>
    </w:pPr>
    <w:rPr>
      <w:rFonts w:ascii="Georgia" w:eastAsia="Cambria" w:hAnsi="Georgia"/>
      <w:noProof/>
      <w:sz w:val="19"/>
      <w:szCs w:val="24"/>
    </w:rPr>
  </w:style>
  <w:style w:type="paragraph" w:styleId="Heading1">
    <w:name w:val="heading 1"/>
    <w:basedOn w:val="Normal"/>
    <w:next w:val="Normal"/>
    <w:link w:val="Heading1Char"/>
    <w:uiPriority w:val="9"/>
    <w:qFormat/>
    <w:rsid w:val="002B35F2"/>
    <w:pPr>
      <w:keepNext/>
      <w:keepLines/>
      <w:numPr>
        <w:numId w:val="1"/>
      </w:numPr>
      <w:spacing w:after="0"/>
      <w:outlineLvl w:val="0"/>
    </w:pPr>
    <w:rPr>
      <w:rFonts w:ascii="Helvetica" w:eastAsia="Times New Roman" w:hAnsi="Helvetica"/>
      <w:b/>
      <w:bCs/>
      <w:color w:val="F2F2F2"/>
      <w:sz w:val="40"/>
      <w:szCs w:val="32"/>
    </w:rPr>
  </w:style>
  <w:style w:type="paragraph" w:styleId="Heading2">
    <w:name w:val="heading 2"/>
    <w:basedOn w:val="E3Heading2"/>
    <w:next w:val="E3BodyText"/>
    <w:link w:val="Heading2Char"/>
    <w:uiPriority w:val="9"/>
    <w:unhideWhenUsed/>
    <w:qFormat/>
    <w:rsid w:val="00EE1360"/>
    <w:pPr>
      <w:tabs>
        <w:tab w:val="left" w:pos="425"/>
      </w:tabs>
      <w:spacing w:before="300"/>
      <w:outlineLvl w:val="1"/>
    </w:pPr>
    <w:rPr>
      <w:rFonts w:eastAsia="Times New Roman"/>
      <w:bCs/>
    </w:rPr>
  </w:style>
  <w:style w:type="paragraph" w:styleId="Heading3">
    <w:name w:val="heading 3"/>
    <w:basedOn w:val="E3Heading4"/>
    <w:next w:val="E3BodyText"/>
    <w:link w:val="Heading3Char"/>
    <w:uiPriority w:val="9"/>
    <w:unhideWhenUsed/>
    <w:qFormat/>
    <w:rsid w:val="00B729A0"/>
    <w:pPr>
      <w:keepLines/>
      <w:spacing w:before="113"/>
      <w:outlineLvl w:val="2"/>
    </w:pPr>
    <w:rPr>
      <w:rFonts w:eastAsia="Times New Roman"/>
      <w:bCs w:val="0"/>
      <w:color w:val="DA001D" w:themeColor="accent2"/>
    </w:rPr>
  </w:style>
  <w:style w:type="paragraph" w:styleId="Heading4">
    <w:name w:val="heading 4"/>
    <w:basedOn w:val="E3Heading4"/>
    <w:next w:val="Normal"/>
    <w:link w:val="Heading4Char"/>
    <w:uiPriority w:val="9"/>
    <w:qFormat/>
    <w:rsid w:val="00B729A0"/>
    <w:pPr>
      <w:keepLines/>
      <w:spacing w:before="113"/>
      <w:outlineLvl w:val="3"/>
    </w:pPr>
    <w:rPr>
      <w:rFonts w:eastAsia="Times New Roman"/>
      <w:bCs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B35F2"/>
    <w:rPr>
      <w:rFonts w:ascii="Helvetica" w:eastAsia="Times New Roman" w:hAnsi="Helvetica"/>
      <w:b/>
      <w:bCs/>
      <w:noProof/>
      <w:color w:val="F2F2F2"/>
      <w:sz w:val="40"/>
      <w:szCs w:val="32"/>
    </w:rPr>
  </w:style>
  <w:style w:type="paragraph" w:customStyle="1" w:styleId="E3Heading2">
    <w:name w:val="E3 Heading 2"/>
    <w:basedOn w:val="E3Heading1"/>
    <w:next w:val="E3BodyText"/>
    <w:qFormat/>
    <w:rsid w:val="00950565"/>
    <w:pPr>
      <w:keepLines/>
      <w:autoSpaceDE w:val="0"/>
      <w:autoSpaceDN w:val="0"/>
      <w:adjustRightInd w:val="0"/>
      <w:spacing w:line="240" w:lineRule="auto"/>
      <w:contextualSpacing/>
    </w:pPr>
    <w:rPr>
      <w:rFonts w:eastAsia="Calibri" w:cs="Arial"/>
      <w:color w:val="000000" w:themeColor="text1"/>
      <w:sz w:val="32"/>
      <w:szCs w:val="26"/>
      <w:lang w:val="en-US"/>
    </w:rPr>
  </w:style>
  <w:style w:type="paragraph" w:customStyle="1" w:styleId="E3Heading1">
    <w:name w:val="E3 Heading 1"/>
    <w:basedOn w:val="Normal"/>
    <w:next w:val="E3BodyText"/>
    <w:qFormat/>
    <w:rsid w:val="00097ED5"/>
    <w:pPr>
      <w:keepNext/>
      <w:suppressLineNumbers/>
      <w:suppressAutoHyphens/>
      <w:spacing w:after="160"/>
    </w:pPr>
    <w:rPr>
      <w:rFonts w:ascii="Helvetica" w:hAnsi="Helvetica" w:cs="Helvetica"/>
      <w:b/>
      <w:sz w:val="40"/>
      <w:szCs w:val="40"/>
    </w:rPr>
  </w:style>
  <w:style w:type="paragraph" w:customStyle="1" w:styleId="E3BodyText">
    <w:name w:val="E3 Body Text"/>
    <w:autoRedefine/>
    <w:qFormat/>
    <w:rsid w:val="00C96C27"/>
    <w:pPr>
      <w:autoSpaceDE w:val="0"/>
      <w:autoSpaceDN w:val="0"/>
      <w:adjustRightInd w:val="0"/>
      <w:spacing w:after="113" w:line="300" w:lineRule="auto"/>
    </w:pPr>
    <w:rPr>
      <w:rFonts w:eastAsia="Times New Roman" w:cs="Georgia"/>
      <w:sz w:val="24"/>
      <w:szCs w:val="24"/>
      <w:lang w:val="en-GB" w:eastAsia="en-AU"/>
    </w:rPr>
  </w:style>
  <w:style w:type="character" w:customStyle="1" w:styleId="Heading2Char">
    <w:name w:val="Heading 2 Char"/>
    <w:link w:val="Heading2"/>
    <w:uiPriority w:val="9"/>
    <w:rsid w:val="00EE1360"/>
    <w:rPr>
      <w:rFonts w:ascii="Helvetica" w:eastAsia="Times New Roman" w:hAnsi="Helvetica" w:cs="Arial"/>
      <w:b/>
      <w:bCs/>
      <w:color w:val="000000" w:themeColor="text1"/>
      <w:sz w:val="28"/>
      <w:szCs w:val="26"/>
      <w:lang w:val="en-US"/>
    </w:rPr>
  </w:style>
  <w:style w:type="paragraph" w:customStyle="1" w:styleId="E3Heading4">
    <w:name w:val="E3 Heading 4"/>
    <w:basedOn w:val="Default"/>
    <w:qFormat/>
    <w:rsid w:val="00950565"/>
    <w:pPr>
      <w:keepNext/>
      <w:widowControl/>
      <w:spacing w:after="113"/>
    </w:pPr>
    <w:rPr>
      <w:rFonts w:ascii="Georgia" w:hAnsi="Georgia" w:cs="Georgia"/>
      <w:b/>
      <w:bCs/>
      <w:szCs w:val="19"/>
    </w:rPr>
  </w:style>
  <w:style w:type="paragraph" w:customStyle="1" w:styleId="Default">
    <w:name w:val="Default"/>
    <w:rsid w:val="009B2FD5"/>
    <w:pPr>
      <w:widowControl w:val="0"/>
      <w:autoSpaceDE w:val="0"/>
      <w:autoSpaceDN w:val="0"/>
      <w:adjustRightInd w:val="0"/>
    </w:pPr>
    <w:rPr>
      <w:rFonts w:ascii="Arial" w:hAnsi="Arial" w:cs="Arial"/>
      <w:color w:val="000000"/>
      <w:sz w:val="24"/>
      <w:szCs w:val="24"/>
      <w:lang w:val="en-US"/>
    </w:rPr>
  </w:style>
  <w:style w:type="character" w:customStyle="1" w:styleId="Heading3Char">
    <w:name w:val="Heading 3 Char"/>
    <w:link w:val="Heading3"/>
    <w:uiPriority w:val="9"/>
    <w:rsid w:val="00B729A0"/>
    <w:rPr>
      <w:rFonts w:ascii="Georgia" w:eastAsia="Times New Roman" w:hAnsi="Georgia" w:cs="Georgia"/>
      <w:b/>
      <w:color w:val="DA001D" w:themeColor="accent2"/>
      <w:sz w:val="24"/>
      <w:szCs w:val="19"/>
      <w:lang w:val="en-US"/>
    </w:rPr>
  </w:style>
  <w:style w:type="character" w:customStyle="1" w:styleId="Heading4Char">
    <w:name w:val="Heading 4 Char"/>
    <w:link w:val="Heading4"/>
    <w:uiPriority w:val="9"/>
    <w:rsid w:val="00B729A0"/>
    <w:rPr>
      <w:rFonts w:ascii="Georgia" w:eastAsia="Times New Roman" w:hAnsi="Georgia" w:cs="Georgia"/>
      <w:b/>
      <w:iCs/>
      <w:color w:val="000000"/>
      <w:sz w:val="24"/>
      <w:szCs w:val="19"/>
      <w:lang w:val="en-US"/>
    </w:rPr>
  </w:style>
  <w:style w:type="paragraph" w:customStyle="1" w:styleId="E3Bullets">
    <w:name w:val="E3 Bullets"/>
    <w:basedOn w:val="E3BodyText"/>
    <w:link w:val="E3BulletsChar"/>
    <w:qFormat/>
    <w:rsid w:val="00EE1360"/>
    <w:pPr>
      <w:numPr>
        <w:numId w:val="3"/>
      </w:numPr>
      <w:spacing w:after="120"/>
      <w:contextualSpacing/>
    </w:pPr>
  </w:style>
  <w:style w:type="character" w:customStyle="1" w:styleId="E3BulletsChar">
    <w:name w:val="E3 Bullets Char"/>
    <w:link w:val="E3Bullets"/>
    <w:rsid w:val="00EE1360"/>
    <w:rPr>
      <w:rFonts w:eastAsia="Times New Roman" w:cs="Georgia"/>
      <w:sz w:val="24"/>
      <w:szCs w:val="24"/>
      <w:lang w:val="en-GB" w:eastAsia="en-AU"/>
    </w:rPr>
  </w:style>
  <w:style w:type="paragraph" w:customStyle="1" w:styleId="E3BodyIntroductionText">
    <w:name w:val="E3 Body Introduction Text"/>
    <w:basedOn w:val="E3BodyText"/>
    <w:qFormat/>
    <w:rsid w:val="00EC181D"/>
    <w:pPr>
      <w:widowControl w:val="0"/>
      <w:spacing w:line="240" w:lineRule="auto"/>
    </w:pPr>
    <w:rPr>
      <w:i/>
      <w:iCs/>
    </w:rPr>
  </w:style>
  <w:style w:type="character" w:styleId="CommentReference">
    <w:name w:val="annotation reference"/>
    <w:uiPriority w:val="99"/>
    <w:unhideWhenUsed/>
    <w:rsid w:val="00B729A0"/>
    <w:rPr>
      <w:sz w:val="20"/>
      <w:szCs w:val="16"/>
    </w:rPr>
  </w:style>
  <w:style w:type="paragraph" w:styleId="CommentText">
    <w:name w:val="annotation text"/>
    <w:basedOn w:val="Normal"/>
    <w:link w:val="CommentTextChar"/>
    <w:uiPriority w:val="99"/>
    <w:unhideWhenUsed/>
    <w:rsid w:val="006715E4"/>
    <w:pPr>
      <w:spacing w:after="200" w:line="240" w:lineRule="auto"/>
    </w:pPr>
    <w:rPr>
      <w:rFonts w:ascii="Cambria" w:hAnsi="Cambria"/>
      <w:sz w:val="20"/>
      <w:szCs w:val="20"/>
    </w:rPr>
  </w:style>
  <w:style w:type="character" w:customStyle="1" w:styleId="CommentTextChar">
    <w:name w:val="Comment Text Char"/>
    <w:link w:val="CommentText"/>
    <w:uiPriority w:val="99"/>
    <w:rsid w:val="006715E4"/>
    <w:rPr>
      <w:rFonts w:ascii="Cambria" w:eastAsia="Cambria" w:hAnsi="Cambria" w:cs="Times New Roman"/>
      <w:sz w:val="20"/>
      <w:szCs w:val="20"/>
      <w:lang w:val="en-AU"/>
    </w:rPr>
  </w:style>
  <w:style w:type="paragraph" w:customStyle="1" w:styleId="E3ChapterTitle">
    <w:name w:val="E3 Chapter Title"/>
    <w:basedOn w:val="Heading1"/>
    <w:next w:val="E3BodyText"/>
    <w:qFormat/>
    <w:rsid w:val="0075032B"/>
    <w:pPr>
      <w:numPr>
        <w:numId w:val="0"/>
      </w:numPr>
      <w:spacing w:before="120" w:after="1440"/>
      <w:ind w:left="567"/>
    </w:pPr>
    <w:rPr>
      <w:color w:val="FFFFFF" w:themeColor="background1"/>
    </w:rPr>
  </w:style>
  <w:style w:type="paragraph" w:customStyle="1" w:styleId="E3CoverFooter">
    <w:name w:val="E3 Cover Footer"/>
    <w:basedOn w:val="Normal"/>
    <w:qFormat/>
    <w:rsid w:val="006715E4"/>
    <w:rPr>
      <w:rFonts w:ascii="Helvetica" w:hAnsi="Helvetica"/>
      <w:b/>
      <w:color w:val="808080"/>
      <w:sz w:val="24"/>
    </w:rPr>
  </w:style>
  <w:style w:type="paragraph" w:styleId="FootnoteText">
    <w:name w:val="footnote text"/>
    <w:aliases w:val="(NECG) Footnote Text,Footnote Text1 Char,Footnote Text Char Ch,ALTS FOOTNOTE,AR Footnote Text,Footnote,Char, Char"/>
    <w:basedOn w:val="E3BodyText"/>
    <w:link w:val="FootnoteTextChar"/>
    <w:uiPriority w:val="99"/>
    <w:qFormat/>
    <w:rsid w:val="00B729A0"/>
    <w:pPr>
      <w:spacing w:after="0"/>
    </w:pPr>
    <w:rPr>
      <w:color w:val="000000" w:themeColor="text1"/>
      <w:sz w:val="19"/>
    </w:rPr>
  </w:style>
  <w:style w:type="character" w:customStyle="1" w:styleId="FootnoteTextChar">
    <w:name w:val="Footnote Text Char"/>
    <w:aliases w:val="(NECG) Footnote Text Char,Footnote Text1 Char Char,Footnote Text Char Ch Char,ALTS FOOTNOTE Char,AR Footnote Text Char,Footnote Char,Char Char, Char Char"/>
    <w:link w:val="FootnoteText"/>
    <w:uiPriority w:val="99"/>
    <w:rsid w:val="00B729A0"/>
    <w:rPr>
      <w:rFonts w:ascii="Georgia" w:hAnsi="Georgia" w:cs="Georgia"/>
      <w:color w:val="000000" w:themeColor="text1"/>
      <w:sz w:val="19"/>
      <w:szCs w:val="19"/>
      <w:lang w:val="en-US"/>
    </w:rPr>
  </w:style>
  <w:style w:type="paragraph" w:customStyle="1" w:styleId="E3FootnoteText">
    <w:name w:val="E3 Footnote Text"/>
    <w:basedOn w:val="FootnoteText"/>
    <w:qFormat/>
    <w:rsid w:val="00324B50"/>
    <w:rPr>
      <w:sz w:val="20"/>
    </w:rPr>
  </w:style>
  <w:style w:type="paragraph" w:customStyle="1" w:styleId="E3Heading3">
    <w:name w:val="E3 Heading 3"/>
    <w:basedOn w:val="Heading2"/>
    <w:next w:val="Normal"/>
    <w:qFormat/>
    <w:rsid w:val="00950565"/>
    <w:pPr>
      <w:spacing w:before="120" w:after="120"/>
      <w:contextualSpacing w:val="0"/>
    </w:pPr>
    <w:rPr>
      <w:rFonts w:ascii="Georgia" w:hAnsi="Georgia" w:cs="Georgia"/>
      <w:bCs w:val="0"/>
      <w:color w:val="DA001D" w:themeColor="accent2"/>
      <w:sz w:val="28"/>
      <w:szCs w:val="22"/>
    </w:rPr>
  </w:style>
  <w:style w:type="paragraph" w:customStyle="1" w:styleId="E3SubBullets">
    <w:name w:val="E3 Sub Bullets"/>
    <w:basedOn w:val="E3Bullets"/>
    <w:qFormat/>
    <w:rsid w:val="008424FC"/>
    <w:pPr>
      <w:numPr>
        <w:numId w:val="2"/>
      </w:numPr>
      <w:ind w:left="488" w:hanging="244"/>
    </w:pPr>
  </w:style>
  <w:style w:type="paragraph" w:styleId="Subtitle">
    <w:name w:val="Subtitle"/>
    <w:basedOn w:val="Normal"/>
    <w:next w:val="Normal"/>
    <w:link w:val="SubtitleChar"/>
    <w:rsid w:val="006715E4"/>
    <w:rPr>
      <w:rFonts w:ascii="Helvetica" w:hAnsi="Helvetica"/>
      <w:b/>
      <w:sz w:val="24"/>
    </w:rPr>
  </w:style>
  <w:style w:type="character" w:customStyle="1" w:styleId="SubtitleChar">
    <w:name w:val="Subtitle Char"/>
    <w:link w:val="Subtitle"/>
    <w:rsid w:val="006715E4"/>
    <w:rPr>
      <w:rFonts w:ascii="Helvetica" w:eastAsia="Cambria" w:hAnsi="Helvetica" w:cs="Times New Roman"/>
      <w:b/>
      <w:sz w:val="24"/>
      <w:szCs w:val="24"/>
    </w:rPr>
  </w:style>
  <w:style w:type="paragraph" w:customStyle="1" w:styleId="E3Subtitle">
    <w:name w:val="E3 Sub title"/>
    <w:qFormat/>
    <w:rsid w:val="00950565"/>
    <w:pPr>
      <w:spacing w:after="113"/>
    </w:pPr>
    <w:rPr>
      <w:rFonts w:ascii="Helvetica" w:eastAsia="Cambria" w:hAnsi="Helvetica"/>
      <w:b/>
      <w:sz w:val="24"/>
      <w:szCs w:val="24"/>
    </w:rPr>
  </w:style>
  <w:style w:type="paragraph" w:customStyle="1" w:styleId="E3Title">
    <w:name w:val="E3 Title"/>
    <w:basedOn w:val="Normal"/>
    <w:rsid w:val="00FA58C1"/>
    <w:pPr>
      <w:spacing w:after="0"/>
    </w:pPr>
    <w:rPr>
      <w:rFonts w:ascii="Helvetica" w:hAnsi="Helvetica"/>
      <w:b/>
      <w:color w:val="F2F2F2"/>
      <w:sz w:val="60"/>
    </w:rPr>
  </w:style>
  <w:style w:type="paragraph" w:styleId="Title">
    <w:name w:val="Title"/>
    <w:basedOn w:val="Heading1"/>
    <w:next w:val="Normal"/>
    <w:link w:val="TitleChar"/>
    <w:rsid w:val="006715E4"/>
    <w:pPr>
      <w:numPr>
        <w:numId w:val="0"/>
      </w:numPr>
    </w:pPr>
  </w:style>
  <w:style w:type="character" w:customStyle="1" w:styleId="TitleChar">
    <w:name w:val="Title Char"/>
    <w:link w:val="Title"/>
    <w:rsid w:val="006715E4"/>
    <w:rPr>
      <w:rFonts w:ascii="Helvetica" w:eastAsia="Times New Roman" w:hAnsi="Helvetica" w:cs="Times New Roman"/>
      <w:b/>
      <w:bCs/>
      <w:color w:val="F2F2F2"/>
      <w:sz w:val="40"/>
      <w:szCs w:val="32"/>
    </w:rPr>
  </w:style>
  <w:style w:type="paragraph" w:customStyle="1" w:styleId="E3TOCTitle">
    <w:name w:val="E3 TOC Title"/>
    <w:basedOn w:val="Title"/>
    <w:rsid w:val="006715E4"/>
  </w:style>
  <w:style w:type="paragraph" w:customStyle="1" w:styleId="E3Underline">
    <w:name w:val="E3 Underline"/>
    <w:basedOn w:val="E3BodyText"/>
    <w:rsid w:val="00324B50"/>
    <w:pPr>
      <w:tabs>
        <w:tab w:val="left" w:pos="480"/>
      </w:tabs>
    </w:pPr>
    <w:rPr>
      <w:b/>
      <w:i/>
      <w:u w:val="single"/>
    </w:rPr>
  </w:style>
  <w:style w:type="paragraph" w:styleId="Footer">
    <w:name w:val="footer"/>
    <w:basedOn w:val="E3BodyText"/>
    <w:link w:val="FooterChar"/>
    <w:uiPriority w:val="99"/>
    <w:unhideWhenUsed/>
    <w:rsid w:val="00B729A0"/>
    <w:pPr>
      <w:tabs>
        <w:tab w:val="center" w:pos="4320"/>
        <w:tab w:val="right" w:pos="8640"/>
      </w:tabs>
      <w:spacing w:after="0" w:line="240" w:lineRule="auto"/>
      <w:jc w:val="right"/>
    </w:pPr>
    <w:rPr>
      <w:rFonts w:ascii="Helvetica" w:hAnsi="Helvetica"/>
      <w:b/>
      <w:sz w:val="20"/>
    </w:rPr>
  </w:style>
  <w:style w:type="character" w:customStyle="1" w:styleId="FooterChar">
    <w:name w:val="Footer Char"/>
    <w:link w:val="Footer"/>
    <w:uiPriority w:val="99"/>
    <w:rsid w:val="00B729A0"/>
    <w:rPr>
      <w:rFonts w:ascii="Helvetica" w:hAnsi="Helvetica" w:cs="Georgia"/>
      <w:b/>
      <w:color w:val="000000"/>
      <w:szCs w:val="19"/>
      <w:lang w:val="en-US"/>
    </w:rPr>
  </w:style>
  <w:style w:type="character" w:styleId="FootnoteReference">
    <w:name w:val="footnote reference"/>
    <w:aliases w:val="(NECG) Footnote Reference,EN Footnote Reference,SUPERS,number"/>
    <w:uiPriority w:val="99"/>
    <w:rsid w:val="006715E4"/>
    <w:rPr>
      <w:vertAlign w:val="superscript"/>
    </w:rPr>
  </w:style>
  <w:style w:type="character" w:styleId="Hyperlink">
    <w:name w:val="Hyperlink"/>
    <w:uiPriority w:val="99"/>
    <w:unhideWhenUsed/>
    <w:rsid w:val="00B729A0"/>
    <w:rPr>
      <w:color w:val="3366FF"/>
      <w:u w:val="single"/>
    </w:rPr>
  </w:style>
  <w:style w:type="character" w:styleId="PageNumber">
    <w:name w:val="page number"/>
    <w:rsid w:val="00324B50"/>
    <w:rPr>
      <w:rFonts w:ascii="Georgia" w:hAnsi="Georgia"/>
      <w:b/>
      <w:i/>
      <w:sz w:val="20"/>
    </w:rPr>
  </w:style>
  <w:style w:type="table" w:styleId="TableGrid">
    <w:name w:val="Table Grid"/>
    <w:basedOn w:val="TableNormal"/>
    <w:uiPriority w:val="59"/>
    <w:rsid w:val="006715E4"/>
    <w:pPr>
      <w:spacing w:before="40" w:after="40"/>
    </w:pPr>
    <w:rPr>
      <w:rFonts w:ascii="Helvetica Neue Light" w:eastAsia="Times New Roman" w:hAnsi="Helvetica Neue Light"/>
      <w:sz w:val="17"/>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3TableHeading">
    <w:name w:val="E3 Table Heading"/>
    <w:basedOn w:val="E3BodyText"/>
    <w:qFormat/>
    <w:locked/>
    <w:rsid w:val="00EC181D"/>
    <w:pPr>
      <w:spacing w:before="60" w:after="60" w:line="240" w:lineRule="auto"/>
    </w:pPr>
    <w:rPr>
      <w:rFonts w:ascii="Helvetica" w:hAnsi="Helvetica" w:cs="Helvetica"/>
      <w:b/>
      <w:color w:val="FFFFFF" w:themeColor="background1"/>
      <w:sz w:val="22"/>
      <w:szCs w:val="14"/>
    </w:rPr>
  </w:style>
  <w:style w:type="paragraph" w:styleId="TableofAuthorities">
    <w:name w:val="table of authorities"/>
    <w:basedOn w:val="Normal"/>
    <w:next w:val="Normal"/>
    <w:rsid w:val="006715E4"/>
    <w:pPr>
      <w:spacing w:after="0"/>
      <w:ind w:left="190" w:hanging="190"/>
    </w:pPr>
  </w:style>
  <w:style w:type="paragraph" w:styleId="TableofFigures">
    <w:name w:val="table of figures"/>
    <w:basedOn w:val="E3BodyText"/>
    <w:next w:val="Normal"/>
    <w:uiPriority w:val="99"/>
    <w:rsid w:val="00FE2A2F"/>
    <w:pPr>
      <w:spacing w:after="0"/>
    </w:pPr>
  </w:style>
  <w:style w:type="paragraph" w:customStyle="1" w:styleId="E3TableSubHeading">
    <w:name w:val="E3 Table Sub Heading"/>
    <w:basedOn w:val="E3TableHeading"/>
    <w:qFormat/>
    <w:locked/>
    <w:rsid w:val="00EC181D"/>
    <w:rPr>
      <w:rFonts w:ascii="Georgia" w:hAnsi="Georgia"/>
      <w:b w:val="0"/>
      <w:color w:val="000000" w:themeColor="text1"/>
    </w:rPr>
  </w:style>
  <w:style w:type="paragraph" w:customStyle="1" w:styleId="E3Tabletext">
    <w:name w:val="E3 Table text"/>
    <w:basedOn w:val="E3BodyText"/>
    <w:autoRedefine/>
    <w:qFormat/>
    <w:locked/>
    <w:rsid w:val="00F82527"/>
    <w:pPr>
      <w:tabs>
        <w:tab w:val="left" w:pos="3293"/>
      </w:tabs>
      <w:spacing w:before="240" w:after="60"/>
      <w:ind w:left="35"/>
    </w:pPr>
    <w:rPr>
      <w:rFonts w:asciiTheme="minorHAnsi" w:hAnsiTheme="minorHAnsi"/>
      <w:bCs/>
      <w:sz w:val="20"/>
      <w:szCs w:val="14"/>
    </w:rPr>
  </w:style>
  <w:style w:type="paragraph" w:styleId="TOC1">
    <w:name w:val="toc 1"/>
    <w:basedOn w:val="E3BodyText"/>
    <w:next w:val="TOC2"/>
    <w:autoRedefine/>
    <w:uiPriority w:val="39"/>
    <w:rsid w:val="00B729A0"/>
    <w:pPr>
      <w:widowControl w:val="0"/>
      <w:tabs>
        <w:tab w:val="right" w:leader="dot" w:pos="9629"/>
      </w:tabs>
      <w:spacing w:before="120" w:after="0" w:line="276" w:lineRule="auto"/>
    </w:pPr>
    <w:rPr>
      <w:rFonts w:ascii="Helvetica" w:hAnsi="Helvetica"/>
      <w:b/>
      <w:caps/>
      <w:color w:val="000000" w:themeColor="text1"/>
    </w:rPr>
  </w:style>
  <w:style w:type="paragraph" w:styleId="TOC2">
    <w:name w:val="toc 2"/>
    <w:basedOn w:val="E3BodyText"/>
    <w:next w:val="E3BodyText"/>
    <w:autoRedefine/>
    <w:uiPriority w:val="39"/>
    <w:rsid w:val="00B729A0"/>
    <w:pPr>
      <w:widowControl w:val="0"/>
      <w:spacing w:after="0" w:line="276" w:lineRule="auto"/>
      <w:ind w:left="200"/>
    </w:pPr>
    <w:rPr>
      <w:szCs w:val="22"/>
    </w:rPr>
  </w:style>
  <w:style w:type="paragraph" w:styleId="TOC3">
    <w:name w:val="toc 3"/>
    <w:basedOn w:val="TOC2"/>
    <w:next w:val="E3BodyText"/>
    <w:autoRedefine/>
    <w:uiPriority w:val="39"/>
    <w:rsid w:val="00B729A0"/>
    <w:pPr>
      <w:ind w:left="380"/>
    </w:pPr>
  </w:style>
  <w:style w:type="paragraph" w:styleId="TOC4">
    <w:name w:val="toc 4"/>
    <w:basedOn w:val="TOC3"/>
    <w:next w:val="Normal"/>
    <w:autoRedefine/>
    <w:uiPriority w:val="39"/>
    <w:unhideWhenUsed/>
    <w:rsid w:val="002A7F9E"/>
    <w:pPr>
      <w:ind w:left="567"/>
    </w:pPr>
    <w:rPr>
      <w:rFonts w:eastAsia="MS Mincho"/>
    </w:rPr>
  </w:style>
  <w:style w:type="paragraph" w:styleId="BalloonText">
    <w:name w:val="Balloon Text"/>
    <w:basedOn w:val="Normal"/>
    <w:link w:val="BalloonTextChar"/>
    <w:uiPriority w:val="99"/>
    <w:semiHidden/>
    <w:unhideWhenUsed/>
    <w:rsid w:val="00C3035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30351"/>
    <w:rPr>
      <w:rFonts w:ascii="Tahoma" w:eastAsia="Cambria" w:hAnsi="Tahoma" w:cs="Tahoma"/>
      <w:sz w:val="16"/>
      <w:szCs w:val="16"/>
    </w:rPr>
  </w:style>
  <w:style w:type="paragraph" w:styleId="DocumentMap">
    <w:name w:val="Document Map"/>
    <w:basedOn w:val="Normal"/>
    <w:link w:val="DocumentMapChar"/>
    <w:uiPriority w:val="99"/>
    <w:semiHidden/>
    <w:unhideWhenUsed/>
    <w:rsid w:val="009E6B3E"/>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9E6B3E"/>
    <w:rPr>
      <w:rFonts w:ascii="Tahoma" w:eastAsia="Cambria" w:hAnsi="Tahoma" w:cs="Tahoma"/>
      <w:sz w:val="16"/>
      <w:szCs w:val="16"/>
    </w:rPr>
  </w:style>
  <w:style w:type="paragraph" w:customStyle="1" w:styleId="E3TableTitles">
    <w:name w:val="E3 Table Titles"/>
    <w:basedOn w:val="E3BodyText"/>
    <w:qFormat/>
    <w:rsid w:val="00EC181D"/>
    <w:pPr>
      <w:spacing w:before="360" w:line="276" w:lineRule="auto"/>
    </w:pPr>
    <w:rPr>
      <w:rFonts w:eastAsia="Cambria"/>
      <w:b/>
      <w:bCs/>
      <w:sz w:val="21"/>
    </w:rPr>
  </w:style>
  <w:style w:type="paragraph" w:styleId="TOCHeading">
    <w:name w:val="TOC Heading"/>
    <w:basedOn w:val="E3TOCTitle"/>
    <w:next w:val="Normal"/>
    <w:uiPriority w:val="39"/>
    <w:unhideWhenUsed/>
    <w:qFormat/>
    <w:rsid w:val="00C2766B"/>
    <w:pPr>
      <w:spacing w:before="480" w:line="276" w:lineRule="auto"/>
      <w:outlineLvl w:val="9"/>
    </w:pPr>
    <w:rPr>
      <w:rFonts w:eastAsia="MS Gothic" w:cs="Helvetica"/>
      <w:color w:val="auto"/>
      <w:sz w:val="26"/>
      <w:szCs w:val="26"/>
    </w:rPr>
  </w:style>
  <w:style w:type="paragraph" w:customStyle="1" w:styleId="E3Figuretitles">
    <w:name w:val="E3 Figure titles"/>
    <w:qFormat/>
    <w:rsid w:val="00743989"/>
    <w:pPr>
      <w:keepNext/>
      <w:spacing w:after="200" w:line="276" w:lineRule="auto"/>
    </w:pPr>
    <w:rPr>
      <w:rFonts w:ascii="Georgia" w:eastAsia="Cambria" w:hAnsi="Georgia"/>
      <w:b/>
      <w:bCs/>
      <w:lang w:val="en-US"/>
    </w:rPr>
  </w:style>
  <w:style w:type="paragraph" w:customStyle="1" w:styleId="E3SubSubBullets">
    <w:name w:val="E3 Sub Sub Bullets"/>
    <w:basedOn w:val="E3SubBullets"/>
    <w:qFormat/>
    <w:rsid w:val="0016451B"/>
    <w:pPr>
      <w:numPr>
        <w:numId w:val="4"/>
      </w:numPr>
    </w:pPr>
  </w:style>
  <w:style w:type="paragraph" w:customStyle="1" w:styleId="E3Caption">
    <w:name w:val="E3 Caption"/>
    <w:basedOn w:val="Normal"/>
    <w:qFormat/>
    <w:rsid w:val="00EE1360"/>
    <w:pPr>
      <w:spacing w:before="120" w:after="240" w:line="240" w:lineRule="auto"/>
    </w:pPr>
    <w:rPr>
      <w:bCs/>
      <w:i/>
      <w:sz w:val="20"/>
      <w:szCs w:val="16"/>
    </w:rPr>
  </w:style>
  <w:style w:type="character" w:styleId="FollowedHyperlink">
    <w:name w:val="FollowedHyperlink"/>
    <w:uiPriority w:val="99"/>
    <w:semiHidden/>
    <w:unhideWhenUsed/>
    <w:rsid w:val="00506349"/>
    <w:rPr>
      <w:color w:val="800080"/>
      <w:u w:val="single"/>
    </w:rPr>
  </w:style>
  <w:style w:type="paragraph" w:customStyle="1" w:styleId="E3BackCoverTitle">
    <w:name w:val="E3 Back Cover Title"/>
    <w:basedOn w:val="E3ChapterTitle"/>
    <w:rsid w:val="008D1179"/>
    <w:pPr>
      <w:spacing w:after="240"/>
      <w:jc w:val="center"/>
    </w:pPr>
    <w:rPr>
      <w:color w:val="F2F2F2" w:themeColor="background2"/>
      <w:sz w:val="32"/>
    </w:rPr>
  </w:style>
  <w:style w:type="paragraph" w:styleId="TOC5">
    <w:name w:val="toc 5"/>
    <w:basedOn w:val="TOC4"/>
    <w:next w:val="E3BodyText"/>
    <w:autoRedefine/>
    <w:uiPriority w:val="39"/>
    <w:unhideWhenUsed/>
    <w:rsid w:val="00B729A0"/>
    <w:pPr>
      <w:ind w:left="760"/>
    </w:pPr>
  </w:style>
  <w:style w:type="paragraph" w:styleId="TOC6">
    <w:name w:val="toc 6"/>
    <w:basedOn w:val="Normal"/>
    <w:next w:val="Normal"/>
    <w:autoRedefine/>
    <w:uiPriority w:val="39"/>
    <w:unhideWhenUsed/>
    <w:rsid w:val="005A16D8"/>
    <w:pPr>
      <w:ind w:left="950"/>
    </w:pPr>
  </w:style>
  <w:style w:type="paragraph" w:styleId="TOC7">
    <w:name w:val="toc 7"/>
    <w:basedOn w:val="Normal"/>
    <w:next w:val="Normal"/>
    <w:autoRedefine/>
    <w:uiPriority w:val="39"/>
    <w:unhideWhenUsed/>
    <w:rsid w:val="005A16D8"/>
    <w:pPr>
      <w:ind w:left="1140"/>
    </w:pPr>
  </w:style>
  <w:style w:type="paragraph" w:styleId="TOC8">
    <w:name w:val="toc 8"/>
    <w:basedOn w:val="Normal"/>
    <w:next w:val="Normal"/>
    <w:autoRedefine/>
    <w:uiPriority w:val="39"/>
    <w:unhideWhenUsed/>
    <w:rsid w:val="005A16D8"/>
    <w:pPr>
      <w:ind w:left="1330"/>
    </w:pPr>
  </w:style>
  <w:style w:type="paragraph" w:styleId="TOC9">
    <w:name w:val="toc 9"/>
    <w:basedOn w:val="Normal"/>
    <w:next w:val="Normal"/>
    <w:autoRedefine/>
    <w:uiPriority w:val="39"/>
    <w:unhideWhenUsed/>
    <w:rsid w:val="005A16D8"/>
    <w:pPr>
      <w:ind w:left="1520"/>
    </w:pPr>
  </w:style>
  <w:style w:type="paragraph" w:customStyle="1" w:styleId="E3MainIntro">
    <w:name w:val="E3 Main Intro"/>
    <w:basedOn w:val="Normal"/>
    <w:qFormat/>
    <w:rsid w:val="00324B50"/>
    <w:pPr>
      <w:widowControl w:val="0"/>
      <w:autoSpaceDE w:val="0"/>
      <w:autoSpaceDN w:val="0"/>
      <w:adjustRightInd w:val="0"/>
      <w:spacing w:line="240" w:lineRule="auto"/>
    </w:pPr>
    <w:rPr>
      <w:rFonts w:ascii="Helvetica" w:eastAsia="Calibri" w:hAnsi="Helvetica" w:cs="Arial"/>
      <w:b/>
      <w:color w:val="000000"/>
      <w:sz w:val="24"/>
      <w:szCs w:val="19"/>
      <w:lang w:val="en-US"/>
    </w:rPr>
  </w:style>
  <w:style w:type="paragraph" w:styleId="NormalWeb">
    <w:name w:val="Normal (Web)"/>
    <w:basedOn w:val="Normal"/>
    <w:uiPriority w:val="99"/>
    <w:semiHidden/>
    <w:unhideWhenUsed/>
    <w:rsid w:val="00EC181D"/>
    <w:pPr>
      <w:spacing w:before="100" w:beforeAutospacing="1" w:after="100" w:afterAutospacing="1" w:line="240" w:lineRule="auto"/>
    </w:pPr>
    <w:rPr>
      <w:rFonts w:ascii="Times" w:eastAsia="Calibri" w:hAnsi="Times"/>
      <w:sz w:val="20"/>
      <w:szCs w:val="20"/>
    </w:rPr>
  </w:style>
  <w:style w:type="paragraph" w:styleId="Header">
    <w:name w:val="header"/>
    <w:basedOn w:val="Normal"/>
    <w:link w:val="HeaderChar"/>
    <w:uiPriority w:val="99"/>
    <w:unhideWhenUsed/>
    <w:rsid w:val="003C469D"/>
    <w:pPr>
      <w:tabs>
        <w:tab w:val="center" w:pos="4320"/>
        <w:tab w:val="right" w:pos="8640"/>
      </w:tabs>
      <w:spacing w:after="0" w:line="240" w:lineRule="auto"/>
    </w:pPr>
  </w:style>
  <w:style w:type="character" w:customStyle="1" w:styleId="HeaderChar">
    <w:name w:val="Header Char"/>
    <w:basedOn w:val="DefaultParagraphFont"/>
    <w:link w:val="Header"/>
    <w:uiPriority w:val="99"/>
    <w:rsid w:val="003C469D"/>
    <w:rPr>
      <w:rFonts w:ascii="Georgia" w:eastAsia="Cambria" w:hAnsi="Georgia"/>
      <w:sz w:val="19"/>
      <w:szCs w:val="24"/>
    </w:rPr>
  </w:style>
  <w:style w:type="paragraph" w:customStyle="1" w:styleId="E3InternalCoverPage">
    <w:name w:val="E3 Internal Cover Page"/>
    <w:basedOn w:val="Normal"/>
    <w:qFormat/>
    <w:rsid w:val="003C469D"/>
    <w:pPr>
      <w:tabs>
        <w:tab w:val="left" w:pos="5812"/>
      </w:tabs>
      <w:ind w:left="142" w:right="4110"/>
    </w:pPr>
    <w:rPr>
      <w:sz w:val="22"/>
    </w:rPr>
  </w:style>
  <w:style w:type="paragraph" w:styleId="Revision">
    <w:name w:val="Revision"/>
    <w:hidden/>
    <w:uiPriority w:val="99"/>
    <w:semiHidden/>
    <w:rsid w:val="00FA58C1"/>
    <w:rPr>
      <w:rFonts w:ascii="Georgia" w:eastAsia="Cambria" w:hAnsi="Georgia"/>
      <w:sz w:val="19"/>
      <w:szCs w:val="24"/>
    </w:rPr>
  </w:style>
  <w:style w:type="paragraph" w:customStyle="1" w:styleId="E3Note">
    <w:name w:val="E3 Note"/>
    <w:basedOn w:val="Normal"/>
    <w:next w:val="E3BodyText"/>
    <w:qFormat/>
    <w:rsid w:val="00097ED5"/>
    <w:pPr>
      <w:pBdr>
        <w:top w:val="single" w:sz="4" w:space="10" w:color="FF0000"/>
        <w:bottom w:val="single" w:sz="4" w:space="10" w:color="FF0000"/>
      </w:pBdr>
      <w:ind w:left="851" w:hanging="851"/>
      <w:jc w:val="both"/>
    </w:pPr>
    <w:rPr>
      <w:sz w:val="22"/>
    </w:rPr>
  </w:style>
  <w:style w:type="paragraph" w:styleId="Caption">
    <w:name w:val="caption"/>
    <w:basedOn w:val="Normal"/>
    <w:next w:val="Normal"/>
    <w:uiPriority w:val="35"/>
    <w:unhideWhenUsed/>
    <w:qFormat/>
    <w:rsid w:val="00082B43"/>
    <w:pPr>
      <w:spacing w:after="200" w:line="240" w:lineRule="auto"/>
    </w:pPr>
    <w:rPr>
      <w:b/>
      <w:bCs/>
      <w:color w:val="C1001A" w:themeColor="accent1"/>
      <w:sz w:val="18"/>
      <w:szCs w:val="18"/>
    </w:rPr>
  </w:style>
  <w:style w:type="paragraph" w:styleId="ListParagraph">
    <w:name w:val="List Paragraph"/>
    <w:basedOn w:val="Normal"/>
    <w:uiPriority w:val="34"/>
    <w:qFormat/>
    <w:rsid w:val="00414D80"/>
    <w:pPr>
      <w:spacing w:after="0" w:line="240" w:lineRule="auto"/>
      <w:ind w:left="720"/>
      <w:contextualSpacing/>
    </w:pPr>
    <w:rPr>
      <w:rFonts w:asciiTheme="minorHAnsi" w:eastAsiaTheme="minorHAnsi" w:hAnsiTheme="minorHAnsi" w:cstheme="minorBidi"/>
      <w:noProof w:val="0"/>
      <w:sz w:val="22"/>
      <w:szCs w:val="22"/>
    </w:rPr>
  </w:style>
  <w:style w:type="table" w:customStyle="1" w:styleId="GridTable1Light1">
    <w:name w:val="Grid Table 1 Light1"/>
    <w:basedOn w:val="TableNormal"/>
    <w:uiPriority w:val="46"/>
    <w:rsid w:val="00554B4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4658EC"/>
    <w:pPr>
      <w:spacing w:after="113"/>
    </w:pPr>
    <w:rPr>
      <w:rFonts w:ascii="Georgia" w:hAnsi="Georgia"/>
      <w:b/>
      <w:bCs/>
    </w:rPr>
  </w:style>
  <w:style w:type="character" w:customStyle="1" w:styleId="CommentSubjectChar">
    <w:name w:val="Comment Subject Char"/>
    <w:basedOn w:val="CommentTextChar"/>
    <w:link w:val="CommentSubject"/>
    <w:uiPriority w:val="99"/>
    <w:semiHidden/>
    <w:rsid w:val="004658EC"/>
    <w:rPr>
      <w:rFonts w:ascii="Georgia" w:eastAsia="Cambria" w:hAnsi="Georgia" w:cs="Times New Roman"/>
      <w:b/>
      <w:bCs/>
      <w:noProof/>
      <w:sz w:val="20"/>
      <w:szCs w:val="20"/>
      <w:lang w:val="en-AU"/>
    </w:rPr>
  </w:style>
  <w:style w:type="table" w:customStyle="1" w:styleId="TableGrid1">
    <w:name w:val="Table Grid1"/>
    <w:basedOn w:val="TableNormal"/>
    <w:next w:val="TableGrid"/>
    <w:uiPriority w:val="39"/>
    <w:rsid w:val="00483A5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7E0351"/>
    <w:tblPr>
      <w:tblStyleRowBandSize w:val="1"/>
      <w:tblStyleColBandSize w:val="1"/>
      <w:tblBorders>
        <w:top w:val="single" w:sz="4" w:space="0" w:color="FF8090" w:themeColor="accent1" w:themeTint="66"/>
        <w:left w:val="single" w:sz="4" w:space="0" w:color="FF8090" w:themeColor="accent1" w:themeTint="66"/>
        <w:bottom w:val="single" w:sz="4" w:space="0" w:color="FF8090" w:themeColor="accent1" w:themeTint="66"/>
        <w:right w:val="single" w:sz="4" w:space="0" w:color="FF8090" w:themeColor="accent1" w:themeTint="66"/>
        <w:insideH w:val="single" w:sz="4" w:space="0" w:color="FF8090" w:themeColor="accent1" w:themeTint="66"/>
        <w:insideV w:val="single" w:sz="4" w:space="0" w:color="FF8090" w:themeColor="accent1" w:themeTint="66"/>
      </w:tblBorders>
    </w:tblPr>
    <w:tblStylePr w:type="firstRow">
      <w:rPr>
        <w:b/>
        <w:bCs/>
      </w:rPr>
      <w:tblPr/>
      <w:tcPr>
        <w:tcBorders>
          <w:bottom w:val="single" w:sz="12" w:space="0" w:color="FF405A" w:themeColor="accent1" w:themeTint="99"/>
        </w:tcBorders>
      </w:tcPr>
    </w:tblStylePr>
    <w:tblStylePr w:type="lastRow">
      <w:rPr>
        <w:b/>
        <w:bCs/>
      </w:rPr>
      <w:tblPr/>
      <w:tcPr>
        <w:tcBorders>
          <w:top w:val="double" w:sz="2" w:space="0" w:color="FF405A" w:themeColor="accent1" w:themeTint="99"/>
        </w:tcBorders>
      </w:tcPr>
    </w:tblStylePr>
    <w:tblStylePr w:type="firstCol">
      <w:rPr>
        <w:b/>
        <w:bCs/>
      </w:rPr>
    </w:tblStylePr>
    <w:tblStylePr w:type="lastCol">
      <w:rPr>
        <w:b/>
        <w:bCs/>
      </w:rPr>
    </w:tblStylePr>
  </w:style>
  <w:style w:type="paragraph" w:styleId="ListBullet">
    <w:name w:val="List Bullet"/>
    <w:basedOn w:val="Normal"/>
    <w:uiPriority w:val="99"/>
    <w:qFormat/>
    <w:rsid w:val="00F61BE0"/>
    <w:pPr>
      <w:tabs>
        <w:tab w:val="num" w:pos="360"/>
      </w:tabs>
      <w:ind w:left="360" w:hanging="360"/>
      <w:contextualSpacing/>
    </w:pPr>
    <w:rPr>
      <w:noProof w:val="0"/>
    </w:rPr>
  </w:style>
  <w:style w:type="paragraph" w:styleId="ListBullet2">
    <w:name w:val="List Bullet 2"/>
    <w:basedOn w:val="Normal"/>
    <w:uiPriority w:val="99"/>
    <w:unhideWhenUsed/>
    <w:rsid w:val="00F61BE0"/>
    <w:pPr>
      <w:numPr>
        <w:numId w:val="5"/>
      </w:numPr>
      <w:pBdr>
        <w:top w:val="nil"/>
        <w:left w:val="nil"/>
        <w:bottom w:val="nil"/>
        <w:right w:val="nil"/>
        <w:between w:val="nil"/>
        <w:bar w:val="nil"/>
      </w:pBdr>
      <w:spacing w:after="0" w:line="240" w:lineRule="auto"/>
      <w:contextualSpacing/>
    </w:pPr>
    <w:rPr>
      <w:rFonts w:ascii="Times New Roman" w:eastAsia="Arial Unicode MS" w:hAnsi="Times New Roman"/>
      <w:noProof w:val="0"/>
      <w:sz w:val="24"/>
      <w:bdr w:val="nil"/>
    </w:rPr>
  </w:style>
  <w:style w:type="paragraph" w:styleId="ListNumber">
    <w:name w:val="List Number"/>
    <w:basedOn w:val="Normal"/>
    <w:uiPriority w:val="99"/>
    <w:unhideWhenUsed/>
    <w:qFormat/>
    <w:rsid w:val="00D955B6"/>
    <w:pPr>
      <w:numPr>
        <w:numId w:val="10"/>
      </w:numPr>
      <w:contextualSpacing/>
    </w:pPr>
  </w:style>
  <w:style w:type="numbering" w:customStyle="1" w:styleId="KeyPoints">
    <w:name w:val="Key Points"/>
    <w:basedOn w:val="NoList"/>
    <w:uiPriority w:val="99"/>
    <w:rsid w:val="00A4118E"/>
    <w:pPr>
      <w:numPr>
        <w:numId w:val="11"/>
      </w:numPr>
    </w:pPr>
  </w:style>
  <w:style w:type="paragraph" w:styleId="ListNumber2">
    <w:name w:val="List Number 2"/>
    <w:basedOn w:val="Normal"/>
    <w:uiPriority w:val="99"/>
    <w:rsid w:val="00A4118E"/>
    <w:pPr>
      <w:spacing w:after="200" w:line="276" w:lineRule="auto"/>
      <w:ind w:left="738" w:hanging="369"/>
    </w:pPr>
    <w:rPr>
      <w:rFonts w:ascii="Arial" w:eastAsia="Calibri" w:hAnsi="Arial"/>
      <w:noProof w:val="0"/>
      <w:sz w:val="22"/>
      <w:szCs w:val="22"/>
    </w:rPr>
  </w:style>
  <w:style w:type="paragraph" w:styleId="ListNumber3">
    <w:name w:val="List Number 3"/>
    <w:basedOn w:val="Normal"/>
    <w:uiPriority w:val="99"/>
    <w:rsid w:val="00A4118E"/>
    <w:pPr>
      <w:spacing w:after="200" w:line="276" w:lineRule="auto"/>
      <w:ind w:left="1107" w:hanging="369"/>
    </w:pPr>
    <w:rPr>
      <w:rFonts w:ascii="Arial" w:eastAsia="Calibri" w:hAnsi="Arial"/>
      <w:noProof w:val="0"/>
      <w:sz w:val="22"/>
      <w:szCs w:val="22"/>
    </w:rPr>
  </w:style>
  <w:style w:type="paragraph" w:styleId="ListNumber4">
    <w:name w:val="List Number 4"/>
    <w:basedOn w:val="Normal"/>
    <w:uiPriority w:val="99"/>
    <w:rsid w:val="00A4118E"/>
    <w:pPr>
      <w:spacing w:after="200" w:line="276" w:lineRule="auto"/>
      <w:ind w:left="1476" w:hanging="369"/>
    </w:pPr>
    <w:rPr>
      <w:rFonts w:ascii="Arial" w:eastAsia="Calibri" w:hAnsi="Arial"/>
      <w:noProof w:val="0"/>
      <w:sz w:val="22"/>
      <w:szCs w:val="22"/>
    </w:rPr>
  </w:style>
  <w:style w:type="paragraph" w:styleId="ListNumber5">
    <w:name w:val="List Number 5"/>
    <w:basedOn w:val="Normal"/>
    <w:uiPriority w:val="99"/>
    <w:rsid w:val="00A4118E"/>
    <w:pPr>
      <w:spacing w:after="200" w:line="276" w:lineRule="auto"/>
      <w:ind w:left="1845" w:hanging="369"/>
    </w:pPr>
    <w:rPr>
      <w:rFonts w:ascii="Arial" w:eastAsia="Calibri" w:hAnsi="Arial"/>
      <w:noProof w:val="0"/>
      <w:sz w:val="22"/>
      <w:szCs w:val="22"/>
    </w:rPr>
  </w:style>
  <w:style w:type="character" w:customStyle="1" w:styleId="xapple-converted-space">
    <w:name w:val="x_apple-converted-space"/>
    <w:basedOn w:val="DefaultParagraphFont"/>
    <w:rsid w:val="008C0798"/>
  </w:style>
  <w:style w:type="numbering" w:customStyle="1" w:styleId="NoList1">
    <w:name w:val="No List1"/>
    <w:next w:val="NoList"/>
    <w:uiPriority w:val="99"/>
    <w:semiHidden/>
    <w:unhideWhenUsed/>
    <w:rsid w:val="003776C5"/>
  </w:style>
  <w:style w:type="table" w:customStyle="1" w:styleId="LightShading1">
    <w:name w:val="Light Shading1"/>
    <w:basedOn w:val="TableNormal"/>
    <w:next w:val="LightShading"/>
    <w:uiPriority w:val="60"/>
    <w:rsid w:val="003776C5"/>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
    <w:name w:val="Table Grid2"/>
    <w:basedOn w:val="TableNormal"/>
    <w:next w:val="TableGrid"/>
    <w:uiPriority w:val="59"/>
    <w:rsid w:val="003776C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776C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776C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776C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776C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3776C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3776C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377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noProof w:val="0"/>
      <w:sz w:val="20"/>
      <w:szCs w:val="20"/>
      <w:lang w:eastAsia="en-AU"/>
    </w:rPr>
  </w:style>
  <w:style w:type="character" w:customStyle="1" w:styleId="HTMLPreformattedChar">
    <w:name w:val="HTML Preformatted Char"/>
    <w:basedOn w:val="DefaultParagraphFont"/>
    <w:link w:val="HTMLPreformatted"/>
    <w:uiPriority w:val="99"/>
    <w:semiHidden/>
    <w:rsid w:val="003776C5"/>
    <w:rPr>
      <w:rFonts w:ascii="Courier New" w:eastAsia="Times New Roman" w:hAnsi="Courier New" w:cs="Courier New"/>
      <w:lang w:eastAsia="en-AU"/>
    </w:rPr>
  </w:style>
  <w:style w:type="character" w:customStyle="1" w:styleId="apple-converted-space">
    <w:name w:val="apple-converted-space"/>
    <w:basedOn w:val="DefaultParagraphFont"/>
    <w:rsid w:val="003776C5"/>
  </w:style>
  <w:style w:type="character" w:customStyle="1" w:styleId="highlight">
    <w:name w:val="highlight"/>
    <w:basedOn w:val="DefaultParagraphFont"/>
    <w:rsid w:val="003776C5"/>
  </w:style>
  <w:style w:type="character" w:customStyle="1" w:styleId="font81">
    <w:name w:val="font81"/>
    <w:basedOn w:val="DefaultParagraphFont"/>
    <w:rsid w:val="003776C5"/>
    <w:rPr>
      <w:rFonts w:ascii="Calibri" w:hAnsi="Calibri" w:cs="Calibri" w:hint="default"/>
      <w:b w:val="0"/>
      <w:bCs w:val="0"/>
      <w:i w:val="0"/>
      <w:iCs w:val="0"/>
      <w:strike w:val="0"/>
      <w:dstrike w:val="0"/>
      <w:color w:val="000000"/>
      <w:sz w:val="22"/>
      <w:szCs w:val="22"/>
      <w:u w:val="none"/>
      <w:effect w:val="none"/>
    </w:rPr>
  </w:style>
  <w:style w:type="character" w:customStyle="1" w:styleId="font01">
    <w:name w:val="font01"/>
    <w:basedOn w:val="DefaultParagraphFont"/>
    <w:rsid w:val="003776C5"/>
    <w:rPr>
      <w:rFonts w:ascii="Calibri" w:hAnsi="Calibri" w:cs="Calibri" w:hint="default"/>
      <w:b w:val="0"/>
      <w:bCs w:val="0"/>
      <w:i w:val="0"/>
      <w:iCs w:val="0"/>
      <w:strike w:val="0"/>
      <w:dstrike w:val="0"/>
      <w:color w:val="000000"/>
      <w:sz w:val="22"/>
      <w:szCs w:val="22"/>
      <w:u w:val="none"/>
      <w:effect w:val="none"/>
    </w:rPr>
  </w:style>
  <w:style w:type="paragraph" w:styleId="EndnoteText">
    <w:name w:val="endnote text"/>
    <w:basedOn w:val="Normal"/>
    <w:link w:val="EndnoteTextChar"/>
    <w:uiPriority w:val="99"/>
    <w:semiHidden/>
    <w:unhideWhenUsed/>
    <w:rsid w:val="003776C5"/>
    <w:pPr>
      <w:spacing w:after="0" w:line="240" w:lineRule="auto"/>
    </w:pPr>
    <w:rPr>
      <w:rFonts w:ascii="Calibri" w:eastAsia="Calibri" w:hAnsi="Calibri"/>
      <w:noProof w:val="0"/>
      <w:sz w:val="20"/>
      <w:szCs w:val="20"/>
    </w:rPr>
  </w:style>
  <w:style w:type="character" w:customStyle="1" w:styleId="EndnoteTextChar">
    <w:name w:val="Endnote Text Char"/>
    <w:basedOn w:val="DefaultParagraphFont"/>
    <w:link w:val="EndnoteText"/>
    <w:uiPriority w:val="99"/>
    <w:semiHidden/>
    <w:rsid w:val="003776C5"/>
  </w:style>
  <w:style w:type="character" w:styleId="EndnoteReference">
    <w:name w:val="endnote reference"/>
    <w:basedOn w:val="DefaultParagraphFont"/>
    <w:uiPriority w:val="99"/>
    <w:semiHidden/>
    <w:unhideWhenUsed/>
    <w:rsid w:val="003776C5"/>
    <w:rPr>
      <w:vertAlign w:val="superscript"/>
    </w:rPr>
  </w:style>
  <w:style w:type="table" w:styleId="LightShading">
    <w:name w:val="Light Shading"/>
    <w:basedOn w:val="TableNormal"/>
    <w:uiPriority w:val="60"/>
    <w:semiHidden/>
    <w:unhideWhenUsed/>
    <w:rsid w:val="003776C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473584">
      <w:bodyDiv w:val="1"/>
      <w:marLeft w:val="0"/>
      <w:marRight w:val="0"/>
      <w:marTop w:val="0"/>
      <w:marBottom w:val="0"/>
      <w:divBdr>
        <w:top w:val="none" w:sz="0" w:space="0" w:color="auto"/>
        <w:left w:val="none" w:sz="0" w:space="0" w:color="auto"/>
        <w:bottom w:val="none" w:sz="0" w:space="0" w:color="auto"/>
        <w:right w:val="none" w:sz="0" w:space="0" w:color="auto"/>
      </w:divBdr>
    </w:div>
    <w:div w:id="280957011">
      <w:bodyDiv w:val="1"/>
      <w:marLeft w:val="0"/>
      <w:marRight w:val="0"/>
      <w:marTop w:val="0"/>
      <w:marBottom w:val="0"/>
      <w:divBdr>
        <w:top w:val="none" w:sz="0" w:space="0" w:color="auto"/>
        <w:left w:val="none" w:sz="0" w:space="0" w:color="auto"/>
        <w:bottom w:val="none" w:sz="0" w:space="0" w:color="auto"/>
        <w:right w:val="none" w:sz="0" w:space="0" w:color="auto"/>
      </w:divBdr>
    </w:div>
    <w:div w:id="330451410">
      <w:bodyDiv w:val="1"/>
      <w:marLeft w:val="0"/>
      <w:marRight w:val="0"/>
      <w:marTop w:val="0"/>
      <w:marBottom w:val="0"/>
      <w:divBdr>
        <w:top w:val="none" w:sz="0" w:space="0" w:color="auto"/>
        <w:left w:val="none" w:sz="0" w:space="0" w:color="auto"/>
        <w:bottom w:val="none" w:sz="0" w:space="0" w:color="auto"/>
        <w:right w:val="none" w:sz="0" w:space="0" w:color="auto"/>
      </w:divBdr>
    </w:div>
    <w:div w:id="501890727">
      <w:bodyDiv w:val="1"/>
      <w:marLeft w:val="0"/>
      <w:marRight w:val="0"/>
      <w:marTop w:val="0"/>
      <w:marBottom w:val="0"/>
      <w:divBdr>
        <w:top w:val="none" w:sz="0" w:space="0" w:color="auto"/>
        <w:left w:val="none" w:sz="0" w:space="0" w:color="auto"/>
        <w:bottom w:val="none" w:sz="0" w:space="0" w:color="auto"/>
        <w:right w:val="none" w:sz="0" w:space="0" w:color="auto"/>
      </w:divBdr>
    </w:div>
    <w:div w:id="648902708">
      <w:bodyDiv w:val="1"/>
      <w:marLeft w:val="0"/>
      <w:marRight w:val="0"/>
      <w:marTop w:val="0"/>
      <w:marBottom w:val="0"/>
      <w:divBdr>
        <w:top w:val="none" w:sz="0" w:space="0" w:color="auto"/>
        <w:left w:val="none" w:sz="0" w:space="0" w:color="auto"/>
        <w:bottom w:val="none" w:sz="0" w:space="0" w:color="auto"/>
        <w:right w:val="none" w:sz="0" w:space="0" w:color="auto"/>
      </w:divBdr>
    </w:div>
    <w:div w:id="715935254">
      <w:bodyDiv w:val="1"/>
      <w:marLeft w:val="0"/>
      <w:marRight w:val="0"/>
      <w:marTop w:val="0"/>
      <w:marBottom w:val="0"/>
      <w:divBdr>
        <w:top w:val="none" w:sz="0" w:space="0" w:color="auto"/>
        <w:left w:val="none" w:sz="0" w:space="0" w:color="auto"/>
        <w:bottom w:val="none" w:sz="0" w:space="0" w:color="auto"/>
        <w:right w:val="none" w:sz="0" w:space="0" w:color="auto"/>
      </w:divBdr>
    </w:div>
    <w:div w:id="829639979">
      <w:bodyDiv w:val="1"/>
      <w:marLeft w:val="0"/>
      <w:marRight w:val="0"/>
      <w:marTop w:val="0"/>
      <w:marBottom w:val="0"/>
      <w:divBdr>
        <w:top w:val="none" w:sz="0" w:space="0" w:color="auto"/>
        <w:left w:val="none" w:sz="0" w:space="0" w:color="auto"/>
        <w:bottom w:val="none" w:sz="0" w:space="0" w:color="auto"/>
        <w:right w:val="none" w:sz="0" w:space="0" w:color="auto"/>
      </w:divBdr>
    </w:div>
    <w:div w:id="864251529">
      <w:bodyDiv w:val="1"/>
      <w:marLeft w:val="0"/>
      <w:marRight w:val="0"/>
      <w:marTop w:val="0"/>
      <w:marBottom w:val="0"/>
      <w:divBdr>
        <w:top w:val="none" w:sz="0" w:space="0" w:color="auto"/>
        <w:left w:val="none" w:sz="0" w:space="0" w:color="auto"/>
        <w:bottom w:val="none" w:sz="0" w:space="0" w:color="auto"/>
        <w:right w:val="none" w:sz="0" w:space="0" w:color="auto"/>
      </w:divBdr>
    </w:div>
    <w:div w:id="905451858">
      <w:bodyDiv w:val="1"/>
      <w:marLeft w:val="0"/>
      <w:marRight w:val="0"/>
      <w:marTop w:val="0"/>
      <w:marBottom w:val="0"/>
      <w:divBdr>
        <w:top w:val="none" w:sz="0" w:space="0" w:color="auto"/>
        <w:left w:val="none" w:sz="0" w:space="0" w:color="auto"/>
        <w:bottom w:val="none" w:sz="0" w:space="0" w:color="auto"/>
        <w:right w:val="none" w:sz="0" w:space="0" w:color="auto"/>
      </w:divBdr>
    </w:div>
    <w:div w:id="1284770977">
      <w:bodyDiv w:val="1"/>
      <w:marLeft w:val="0"/>
      <w:marRight w:val="0"/>
      <w:marTop w:val="0"/>
      <w:marBottom w:val="0"/>
      <w:divBdr>
        <w:top w:val="none" w:sz="0" w:space="0" w:color="auto"/>
        <w:left w:val="none" w:sz="0" w:space="0" w:color="auto"/>
        <w:bottom w:val="none" w:sz="0" w:space="0" w:color="auto"/>
        <w:right w:val="none" w:sz="0" w:space="0" w:color="auto"/>
      </w:divBdr>
    </w:div>
    <w:div w:id="1339649466">
      <w:bodyDiv w:val="1"/>
      <w:marLeft w:val="0"/>
      <w:marRight w:val="0"/>
      <w:marTop w:val="0"/>
      <w:marBottom w:val="0"/>
      <w:divBdr>
        <w:top w:val="none" w:sz="0" w:space="0" w:color="auto"/>
        <w:left w:val="none" w:sz="0" w:space="0" w:color="auto"/>
        <w:bottom w:val="none" w:sz="0" w:space="0" w:color="auto"/>
        <w:right w:val="none" w:sz="0" w:space="0" w:color="auto"/>
      </w:divBdr>
    </w:div>
    <w:div w:id="1453091033">
      <w:bodyDiv w:val="1"/>
      <w:marLeft w:val="0"/>
      <w:marRight w:val="0"/>
      <w:marTop w:val="0"/>
      <w:marBottom w:val="0"/>
      <w:divBdr>
        <w:top w:val="none" w:sz="0" w:space="0" w:color="auto"/>
        <w:left w:val="none" w:sz="0" w:space="0" w:color="auto"/>
        <w:bottom w:val="none" w:sz="0" w:space="0" w:color="auto"/>
        <w:right w:val="none" w:sz="0" w:space="0" w:color="auto"/>
      </w:divBdr>
    </w:div>
    <w:div w:id="1549296487">
      <w:bodyDiv w:val="1"/>
      <w:marLeft w:val="0"/>
      <w:marRight w:val="0"/>
      <w:marTop w:val="0"/>
      <w:marBottom w:val="0"/>
      <w:divBdr>
        <w:top w:val="none" w:sz="0" w:space="0" w:color="auto"/>
        <w:left w:val="none" w:sz="0" w:space="0" w:color="auto"/>
        <w:bottom w:val="none" w:sz="0" w:space="0" w:color="auto"/>
        <w:right w:val="none" w:sz="0" w:space="0" w:color="auto"/>
      </w:divBdr>
    </w:div>
    <w:div w:id="1585188735">
      <w:bodyDiv w:val="1"/>
      <w:marLeft w:val="0"/>
      <w:marRight w:val="0"/>
      <w:marTop w:val="0"/>
      <w:marBottom w:val="0"/>
      <w:divBdr>
        <w:top w:val="none" w:sz="0" w:space="0" w:color="auto"/>
        <w:left w:val="none" w:sz="0" w:space="0" w:color="auto"/>
        <w:bottom w:val="none" w:sz="0" w:space="0" w:color="auto"/>
        <w:right w:val="none" w:sz="0" w:space="0" w:color="auto"/>
      </w:divBdr>
    </w:div>
    <w:div w:id="1899053214">
      <w:bodyDiv w:val="1"/>
      <w:marLeft w:val="0"/>
      <w:marRight w:val="0"/>
      <w:marTop w:val="0"/>
      <w:marBottom w:val="0"/>
      <w:divBdr>
        <w:top w:val="none" w:sz="0" w:space="0" w:color="auto"/>
        <w:left w:val="none" w:sz="0" w:space="0" w:color="auto"/>
        <w:bottom w:val="none" w:sz="0" w:space="0" w:color="auto"/>
        <w:right w:val="none" w:sz="0" w:space="0" w:color="auto"/>
      </w:divBdr>
    </w:div>
    <w:div w:id="1962032417">
      <w:bodyDiv w:val="1"/>
      <w:marLeft w:val="0"/>
      <w:marRight w:val="0"/>
      <w:marTop w:val="0"/>
      <w:marBottom w:val="0"/>
      <w:divBdr>
        <w:top w:val="none" w:sz="0" w:space="0" w:color="auto"/>
        <w:left w:val="none" w:sz="0" w:space="0" w:color="auto"/>
        <w:bottom w:val="none" w:sz="0" w:space="0" w:color="auto"/>
        <w:right w:val="none" w:sz="0" w:space="0" w:color="auto"/>
      </w:divBdr>
    </w:div>
    <w:div w:id="2073959876">
      <w:bodyDiv w:val="1"/>
      <w:marLeft w:val="0"/>
      <w:marRight w:val="0"/>
      <w:marTop w:val="0"/>
      <w:marBottom w:val="0"/>
      <w:divBdr>
        <w:top w:val="none" w:sz="0" w:space="0" w:color="auto"/>
        <w:left w:val="none" w:sz="0" w:space="0" w:color="auto"/>
        <w:bottom w:val="none" w:sz="0" w:space="0" w:color="auto"/>
        <w:right w:val="none" w:sz="0" w:space="0" w:color="auto"/>
      </w:divBdr>
      <w:divsChild>
        <w:div w:id="10306861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nergyrating.gov.au" TargetMode="External"/><Relationship Id="rId18" Type="http://schemas.openxmlformats.org/officeDocument/2006/relationships/header" Target="header4.xml"/><Relationship Id="rId26" Type="http://schemas.openxmlformats.org/officeDocument/2006/relationships/hyperlink" Target="http://www.aseanshine.org/page/lighting" TargetMode="External"/><Relationship Id="rId39" Type="http://schemas.openxmlformats.org/officeDocument/2006/relationships/hyperlink" Target="https://www.lampsandlights.com/uploads/products/2948/LB06silver-LED-ES-data.pdf" TargetMode="External"/><Relationship Id="rId21" Type="http://schemas.openxmlformats.org/officeDocument/2006/relationships/hyperlink" Target="file:///\\upvtranfile01\home$\A22334\Profile\Desktop\EERLighting@environment.gov.au" TargetMode="External"/><Relationship Id="rId34" Type="http://schemas.openxmlformats.org/officeDocument/2006/relationships/hyperlink" Target="mailto:E3.Compliance@environment.gov.au" TargetMode="External"/><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0.png"/><Relationship Id="rId55" Type="http://schemas.openxmlformats.org/officeDocument/2006/relationships/hyperlink" Target="http://ssl.iea-4e.org/" TargetMode="External"/><Relationship Id="rId63" Type="http://schemas.openxmlformats.org/officeDocument/2006/relationships/footer" Target="footer6.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ces/by/3.0/au" TargetMode="External"/><Relationship Id="rId24" Type="http://schemas.openxmlformats.org/officeDocument/2006/relationships/hyperlink" Target="http://us7.campaign-archive1.com/?u=ecf76969c9bb59ca68f99ab9b&amp;id=9c8b677926&amp;e=%5bUNIQID%5d" TargetMode="External"/><Relationship Id="rId32" Type="http://schemas.openxmlformats.org/officeDocument/2006/relationships/image" Target="media/image10.png"/><Relationship Id="rId37" Type="http://schemas.openxmlformats.org/officeDocument/2006/relationships/hyperlink" Target="http://www.energyrating.gov.au/registration" TargetMode="External"/><Relationship Id="rId40" Type="http://schemas.openxmlformats.org/officeDocument/2006/relationships/hyperlink" Target="http://www.megaman.cc/products/lamps/led-lamps/decorative/crown-silver?voltage=220-240V&amp;lampbase=All&amp;lampshape=All&amp;max_luminous=&amp;beamangle=&amp;color_temp=&amp;dimming=&amp;eca" TargetMode="External"/><Relationship Id="rId45" Type="http://schemas.openxmlformats.org/officeDocument/2006/relationships/image" Target="media/image16.png"/><Relationship Id="rId53" Type="http://schemas.openxmlformats.org/officeDocument/2006/relationships/hyperlink" Target="http://www.energyrating.gov.au/consultation" TargetMode="External"/><Relationship Id="rId58" Type="http://schemas.openxmlformats.org/officeDocument/2006/relationships/image" Target="media/image22.png"/><Relationship Id="rId66"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energyrating.gov.au/consultation/consultation-ris-lighting" TargetMode="External"/><Relationship Id="rId28" Type="http://schemas.openxmlformats.org/officeDocument/2006/relationships/image" Target="media/image7.png"/><Relationship Id="rId36" Type="http://schemas.openxmlformats.org/officeDocument/2006/relationships/hyperlink" Target="http://www.energyrating.gov.au/consultation/gems-fee-review-2016-17-consultation" TargetMode="External"/><Relationship Id="rId49" Type="http://schemas.openxmlformats.org/officeDocument/2006/relationships/hyperlink" Target="http://www.cree.com/xlamp" TargetMode="External"/><Relationship Id="rId57" Type="http://schemas.openxmlformats.org/officeDocument/2006/relationships/hyperlink" Target="http://www.energystar.gov/ia/products/lighting/iledl/IntLampCenterBeamTool.zip" TargetMode="External"/><Relationship Id="rId61" Type="http://schemas.openxmlformats.org/officeDocument/2006/relationships/image" Target="media/image25.png"/><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header" Target="header5.xml"/><Relationship Id="rId44" Type="http://schemas.openxmlformats.org/officeDocument/2006/relationships/image" Target="media/image15.png"/><Relationship Id="rId52" Type="http://schemas.openxmlformats.org/officeDocument/2006/relationships/hyperlink" Target="http://www.energyrating.gov.au/consultation/consultation-ris-lighting" TargetMode="External"/><Relationship Id="rId60" Type="http://schemas.openxmlformats.org/officeDocument/2006/relationships/image" Target="media/image24.png"/><Relationship Id="rId65"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yperlink" Target="mailto:regs@eeca.govt.nz"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www.legislation.govt.nz/" TargetMode="External"/><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1.png"/><Relationship Id="rId64" Type="http://schemas.openxmlformats.org/officeDocument/2006/relationships/hyperlink" Target="http://www.energystar.gov/ia/products/lighting/iledl/IntLampCenterBeamTool.zip" TargetMode="External"/><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www.cree.com/modules"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4.xml"/><Relationship Id="rId25" Type="http://schemas.openxmlformats.org/officeDocument/2006/relationships/hyperlink" Target="http://www.energyrating.gov.au/consultation" TargetMode="External"/><Relationship Id="rId33" Type="http://schemas.openxmlformats.org/officeDocument/2006/relationships/image" Target="media/image11.png"/><Relationship Id="rId38" Type="http://schemas.openxmlformats.org/officeDocument/2006/relationships/hyperlink" Target="https://www.amazon.co.uk/dp/B01MXFLPHR/ref=asc_df_B01MXFLPHR43477927/?tag=lion0d29-21&amp;creative=22374&amp;creativeASIN=B01MXFLPHR&amp;linkCode=df0" TargetMode="External"/><Relationship Id="rId46" Type="http://schemas.openxmlformats.org/officeDocument/2006/relationships/image" Target="media/image17.png"/><Relationship Id="rId59" Type="http://schemas.openxmlformats.org/officeDocument/2006/relationships/image" Target="media/image23.png"/><Relationship Id="rId67" Type="http://schemas.openxmlformats.org/officeDocument/2006/relationships/footer" Target="footer7.xml"/><Relationship Id="rId20" Type="http://schemas.openxmlformats.org/officeDocument/2006/relationships/hyperlink" Target="http://www.energyrating.gov.au/consultation/consultation-ris-lighting" TargetMode="External"/><Relationship Id="rId41" Type="http://schemas.openxmlformats.org/officeDocument/2006/relationships/image" Target="media/image12.png"/><Relationship Id="rId54" Type="http://schemas.openxmlformats.org/officeDocument/2006/relationships/hyperlink" Target="http://www.energyrating.gov.au/consultation" TargetMode="External"/><Relationship Id="rId62"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www.nectogroup.com/sphbox/fckeditor/fckuserfiles/image/01454-NCT-Moduli-Newlab_newsletter_03_EN_03.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E3 Theme Colours">
  <a:themeElements>
    <a:clrScheme name="E3 Theme Colours">
      <a:dk1>
        <a:sysClr val="windowText" lastClr="000000"/>
      </a:dk1>
      <a:lt1>
        <a:sysClr val="window" lastClr="FFFFFF"/>
      </a:lt1>
      <a:dk2>
        <a:srgbClr val="000000"/>
      </a:dk2>
      <a:lt2>
        <a:srgbClr val="F2F2F2"/>
      </a:lt2>
      <a:accent1>
        <a:srgbClr val="C1001A"/>
      </a:accent1>
      <a:accent2>
        <a:srgbClr val="DA001D"/>
      </a:accent2>
      <a:accent3>
        <a:srgbClr val="EA6C1B"/>
      </a:accent3>
      <a:accent4>
        <a:srgbClr val="FEB610"/>
      </a:accent4>
      <a:accent5>
        <a:srgbClr val="FFF0B4"/>
      </a:accent5>
      <a:accent6>
        <a:srgbClr val="464749"/>
      </a:accent6>
      <a:hlink>
        <a:srgbClr val="5DBDE1"/>
      </a:hlink>
      <a:folHlink>
        <a:srgbClr val="0092D3"/>
      </a:folHlink>
    </a:clrScheme>
    <a:fontScheme name="Civic">
      <a:majorFont>
        <a:latin typeface="Georgia"/>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华文新魏"/>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58CF2-AEBF-4EBC-95FE-EA08A384C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29A8DE63</Template>
  <TotalTime>0</TotalTime>
  <Pages>107</Pages>
  <Words>24211</Words>
  <Characters>138005</Characters>
  <Application>Microsoft Office Word</Application>
  <DocSecurity>4</DocSecurity>
  <Lines>1150</Lines>
  <Paragraphs>323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161893</CharactersWithSpaces>
  <SharedDoc>false</SharedDoc>
  <HyperlinkBase/>
  <HLinks>
    <vt:vector size="18" baseType="variant">
      <vt:variant>
        <vt:i4>1441804</vt:i4>
      </vt:variant>
      <vt:variant>
        <vt:i4>62</vt:i4>
      </vt:variant>
      <vt:variant>
        <vt:i4>0</vt:i4>
      </vt:variant>
      <vt:variant>
        <vt:i4>5</vt:i4>
      </vt:variant>
      <vt:variant>
        <vt:lpwstr/>
      </vt:variant>
      <vt:variant>
        <vt:lpwstr>_Toc297748974</vt:lpwstr>
      </vt:variant>
      <vt:variant>
        <vt:i4>4063274</vt:i4>
      </vt:variant>
      <vt:variant>
        <vt:i4>6</vt:i4>
      </vt:variant>
      <vt:variant>
        <vt:i4>0</vt:i4>
      </vt:variant>
      <vt:variant>
        <vt:i4>5</vt:i4>
      </vt:variant>
      <vt:variant>
        <vt:lpwstr>http://www.energyrating.gov.au</vt:lpwstr>
      </vt:variant>
      <vt:variant>
        <vt:lpwstr/>
      </vt:variant>
      <vt:variant>
        <vt:i4>327724</vt:i4>
      </vt:variant>
      <vt:variant>
        <vt:i4>0</vt:i4>
      </vt:variant>
      <vt:variant>
        <vt:i4>0</vt:i4>
      </vt:variant>
      <vt:variant>
        <vt:i4>5</vt:i4>
      </vt:variant>
      <vt:variant>
        <vt:lpwstr>http://creativecommons.org/licences/by/3.0/au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Moloney, Karen</dc:creator>
  <cp:keywords/>
  <dc:description/>
  <cp:lastModifiedBy>Norris, Christopher</cp:lastModifiedBy>
  <cp:revision>2</cp:revision>
  <cp:lastPrinted>2017-09-14T06:21:00Z</cp:lastPrinted>
  <dcterms:created xsi:type="dcterms:W3CDTF">2017-09-14T06:23:00Z</dcterms:created>
  <dcterms:modified xsi:type="dcterms:W3CDTF">2017-09-14T06:23:00Z</dcterms:modified>
</cp:coreProperties>
</file>