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6A7" w:rsidRDefault="00146286" w:rsidP="00DD3AEB">
      <w:pPr>
        <w:suppressAutoHyphens/>
        <w:spacing w:line="288" w:lineRule="auto"/>
        <w:rPr>
          <w:noProof/>
          <w:color w:val="333333"/>
          <w:sz w:val="24"/>
          <w:szCs w:val="24"/>
          <w:lang w:eastAsia="en-AU"/>
        </w:rPr>
      </w:pPr>
      <w:r>
        <w:rPr>
          <w:noProof/>
          <w:spacing w:val="-5"/>
          <w:lang w:eastAsia="en-AU"/>
        </w:rPr>
        <mc:AlternateContent>
          <mc:Choice Requires="wps">
            <w:drawing>
              <wp:anchor distT="0" distB="0" distL="114300" distR="114300" simplePos="0" relativeHeight="251692032" behindDoc="0" locked="0" layoutInCell="1" allowOverlap="1" wp14:anchorId="65655E45" wp14:editId="7CDE79D2">
                <wp:simplePos x="0" y="0"/>
                <wp:positionH relativeFrom="column">
                  <wp:posOffset>-934278</wp:posOffset>
                </wp:positionH>
                <wp:positionV relativeFrom="paragraph">
                  <wp:posOffset>-576470</wp:posOffset>
                </wp:positionV>
                <wp:extent cx="8258699" cy="2124075"/>
                <wp:effectExtent l="0" t="0" r="9525" b="9525"/>
                <wp:wrapNone/>
                <wp:docPr id="12" name="Rectangle 12" descr="&quot;&quot;"/>
                <wp:cNvGraphicFramePr/>
                <a:graphic xmlns:a="http://schemas.openxmlformats.org/drawingml/2006/main">
                  <a:graphicData uri="http://schemas.microsoft.com/office/word/2010/wordprocessingShape">
                    <wps:wsp>
                      <wps:cNvSpPr/>
                      <wps:spPr>
                        <a:xfrm>
                          <a:off x="0" y="0"/>
                          <a:ext cx="8258699" cy="2124075"/>
                        </a:xfrm>
                        <a:prstGeom prst="rect">
                          <a:avLst/>
                        </a:prstGeom>
                        <a:solidFill>
                          <a:srgbClr val="4D77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28858" id="Rectangle 12" o:spid="_x0000_s1026" alt="&quot;&quot;" style="position:absolute;margin-left:-73.55pt;margin-top:-45.4pt;width:650.3pt;height:16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wGeQIAAOAEAAAOAAAAZHJzL2Uyb0RvYy54bWysVMFu2zAMvQ/YPwg67Lba8dKl9ZoUQYMO&#10;A4q2WDv0zMhyLEASVUmJ0339KNlpu26nYTkopEjxiU+PPjvfG8120geFds4nRyVn0gpslN3M+Y/7&#10;y48nnIUItgGNVs75kwz8fPH+3Vnvallhh7qRnlERG+rezXkXo6uLIohOGghH6KSlYIveQCTXb4rG&#10;Q0/VjS6qsvxc9Ogb51HIEGh3NQT5ItdvWyniTdsGGZmec7pbzKvP6zqtxeIM6o0H1ykxXgP+4RYG&#10;lCXQ51IriMC2Xv1RyijhMWAbjwSaAttWCZl7oG4m5Ztu7jpwMvdC5AT3TFP4f2XF9e7WM9XQ21Wc&#10;WTD0Rt+JNbAbLVnaa2QQRNiHxy3GL8OaWOtdqOnwnbv1oxfITBTsW2/SPzXH9pnpp2em5T4yQZsn&#10;1fHJ59NTzgTFqkk1LWfHqWrxctz5EL9KNCwZc+7pUplh2F2FOKQeUhJaQK2aS6V1dvxmfaE92wE9&#10;+3Q1m32ajNV/S9OW9anxWUnSEEDyazVEMo0jQoLdcAZ6Q7oW0WdsiwmBwKFO2CsI3YCRyyYIqI2K&#10;pGitDHVZpt+IrG2KyqzJsYPE4cBastbYPNFbeBxEGpy4VARyBSHegidV0iVp0uINLa1GujmOFmcd&#10;+p9/20/5JBaKctaTyqmrxy14yZn+ZklGp5PpNI1FdqbHs4oc/zqyfh2xW3OBxOiEZtqJbKb8qA9m&#10;69E80EAuEyqFwArCHvgbnYs4TB+NtJDLZU6jUXAQr+ydE6n4gd77/QN4N75/JOlc42EioH4jgyE3&#10;nbS43EZsVdbIC6+kreTQGGWVjSOf5vS1n7NePkyLXwAAAP//AwBQSwMEFAAGAAgAAAAhAC0EBTjh&#10;AAAADQEAAA8AAABkcnMvZG93bnJldi54bWxMj8tOwzAQRfdI/IM1SOxaJ21DQ4hTIaRu2FEeYunG&#10;QxzhR2S7rcvXM13BbkZzdOfcdpOtYUcMcfROQDkvgKHrvRrdIODtdTurgcUknZLGOxRwxgib7vqq&#10;lY3yJ/eCx10aGIW42EgBOqWp4Tz2Gq2Mcz+ho9uXD1YmWsPAVZAnCreGL4rijls5Ovqg5YRPGvvv&#10;3cEKCD+6On/4z6xMDvVzXb3z7WCEuL3Jjw/AEub0B8NFn9ShI6e9PzgVmREwK1frklia7gsqcUHK&#10;alkB2wtYrJZr4F3L/7fofgEAAP//AwBQSwECLQAUAAYACAAAACEAtoM4kv4AAADhAQAAEwAAAAAA&#10;AAAAAAAAAAAAAAAAW0NvbnRlbnRfVHlwZXNdLnhtbFBLAQItABQABgAIAAAAIQA4/SH/1gAAAJQB&#10;AAALAAAAAAAAAAAAAAAAAC8BAABfcmVscy8ucmVsc1BLAQItABQABgAIAAAAIQDoH7wGeQIAAOAE&#10;AAAOAAAAAAAAAAAAAAAAAC4CAABkcnMvZTJvRG9jLnhtbFBLAQItABQABgAIAAAAIQAtBAU44QAA&#10;AA0BAAAPAAAAAAAAAAAAAAAAANMEAABkcnMvZG93bnJldi54bWxQSwUGAAAAAAQABADzAAAA4QUA&#10;AAAA&#10;" fillcolor="#4d7731" stroked="f" strokeweight="1pt"/>
            </w:pict>
          </mc:Fallback>
        </mc:AlternateContent>
      </w:r>
      <w:r w:rsidR="005940DA">
        <w:rPr>
          <w:noProof/>
          <w:color w:val="333333"/>
          <w:sz w:val="24"/>
          <w:szCs w:val="24"/>
          <w:lang w:eastAsia="en-AU"/>
        </w:rPr>
        <mc:AlternateContent>
          <mc:Choice Requires="wps">
            <w:drawing>
              <wp:anchor distT="0" distB="0" distL="114300" distR="114300" simplePos="0" relativeHeight="251685888" behindDoc="0" locked="0" layoutInCell="1" allowOverlap="1" wp14:anchorId="7C8C2CB1" wp14:editId="5DB7598C">
                <wp:simplePos x="0" y="0"/>
                <wp:positionH relativeFrom="column">
                  <wp:posOffset>-447676</wp:posOffset>
                </wp:positionH>
                <wp:positionV relativeFrom="paragraph">
                  <wp:posOffset>-1285875</wp:posOffset>
                </wp:positionV>
                <wp:extent cx="7767955" cy="904875"/>
                <wp:effectExtent l="0" t="0" r="4445" b="9525"/>
                <wp:wrapNone/>
                <wp:docPr id="10" name="Rectangle 10" descr="&quot;&quot;"/>
                <wp:cNvGraphicFramePr/>
                <a:graphic xmlns:a="http://schemas.openxmlformats.org/drawingml/2006/main">
                  <a:graphicData uri="http://schemas.microsoft.com/office/word/2010/wordprocessingShape">
                    <wps:wsp>
                      <wps:cNvSpPr/>
                      <wps:spPr>
                        <a:xfrm>
                          <a:off x="0" y="0"/>
                          <a:ext cx="7767955" cy="904875"/>
                        </a:xfrm>
                        <a:prstGeom prst="rect">
                          <a:avLst/>
                        </a:prstGeom>
                        <a:solidFill>
                          <a:srgbClr val="4D77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3F7C8" id="Rectangle 10" o:spid="_x0000_s1026" alt="&quot;&quot;" style="position:absolute;margin-left:-35.25pt;margin-top:-101.25pt;width:611.65pt;height:7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wVpQIAAJwFAAAOAAAAZHJzL2Uyb0RvYy54bWysVMFu2zAMvQ/YPwg67LbayZK6zeoUQYsO&#10;A4q2aDv0rMhSbEAWVUmJk339KMl2u67YYVgOiiiSj+QzybPzfavITljXgC7p5CinRGgOVaM3Jf3x&#10;ePX5hBLnma6YAi1KehCOni8/fjjrzEJMoQZVCUsQRLtFZ0pae28WWeZ4LVrmjsAIjUoJtmUeRbvJ&#10;Kss6RG9VNs3z46wDWxkLXDiHr5dJSZcRX0rB/a2UTniiSoq5+XjaeK7DmS3P2GJjmakb3qfB/iGL&#10;ljUag45Ql8wzsrXNH1Btwy04kP6IQ5uBlA0XsQasZpK/qeahZkbEWpAcZ0aa3P+D5Te7O0uaCr8d&#10;0qNZi9/oHlljeqMECW+VcBwJ+/S8Bf81nYG1zrgFOj+YO9tLDq+Bgr20bfjH4sg+Mn0YmRZ7Tzg+&#10;FsVxcTqfU8JRd5rPTop5AM1evI11/puAloRLSS3mFAlmu2vnk+lgEoI5UE111SgVBbtZXyhLdgy/&#10;+uyyKL5MevTfzJQOxhqCW0IML1moLNUSb/6gRLBT+l5IZAqzn8ZMYo+KMQ7jXGg/SaqaVSKFn+f4&#10;G6KHrg4esdIIGJAlxh+xe4DBMoEM2CnL3j64itjio3P+t8SS8+gRI4P2o3PbaLDvASisqo+c7AeS&#10;EjWBpTVUB+wjC2nAnOFXDX63a+b8HbM4UdhIuCX8LR5SQVdS6G+U1GB/vvce7LHRUUtJhxNaUve8&#10;ZVZQor5rHIHTyWwWRjoKs3kxRcG+1qxfa/S2vQBshwnuI8PjNdh7NVylhfYJl8kqREUV0xxjl5R7&#10;OwgXPm0OXEdcrFbRDMfYMH+tHwwP4IHV0JeP+ydmTd+8Htv+BoZpZos3PZxsg6eG1daDbGKDv/Da&#10;840rIDZOv67CjnktR6uXpbr8BQAA//8DAFBLAwQUAAYACAAAACEAlV5fUN4AAAANAQAADwAAAGRy&#10;cy9kb3ducmV2LnhtbEyPzU7DMBCE70i8g7VI3Fq7kVKiEKdCSL1wo0DF0Y2XOMI/ke22Lk/P9gS3&#10;2d3R7DfdpjjLThjTFLyE1VIAQz8EPflRwvvbdtEAS1l5rWzwKOGCCTb97U2nWh3O/hVPuzwyCvGp&#10;VRJMznPLeRoMOpWWYUZPt68Qnco0xpHrqM4U7iyvhFhzpyZPH4ya8dng8L07Ognxx9SXffgs2pbY&#10;vDT1B9+OVsr7u/L0CCxjyX9muOITOvTEdAhHrxOzEhYPoiYriUpUpK6WVV1RnQPt1kIA7zv+v0X/&#10;CwAA//8DAFBLAQItABQABgAIAAAAIQC2gziS/gAAAOEBAAATAAAAAAAAAAAAAAAAAAAAAABbQ29u&#10;dGVudF9UeXBlc10ueG1sUEsBAi0AFAAGAAgAAAAhADj9If/WAAAAlAEAAAsAAAAAAAAAAAAAAAAA&#10;LwEAAF9yZWxzLy5yZWxzUEsBAi0AFAAGAAgAAAAhADuVfBWlAgAAnAUAAA4AAAAAAAAAAAAAAAAA&#10;LgIAAGRycy9lMm9Eb2MueG1sUEsBAi0AFAAGAAgAAAAhAJVeX1DeAAAADQEAAA8AAAAAAAAAAAAA&#10;AAAA/wQAAGRycy9kb3ducmV2LnhtbFBLBQYAAAAABAAEAPMAAAAKBgAAAAA=&#10;" fillcolor="#4d7731" stroked="f" strokeweight="1pt"/>
            </w:pict>
          </mc:Fallback>
        </mc:AlternateContent>
      </w:r>
    </w:p>
    <w:p w:rsidR="00420833" w:rsidRDefault="00420833" w:rsidP="00DD3AEB">
      <w:pPr>
        <w:suppressAutoHyphens/>
        <w:spacing w:line="288" w:lineRule="auto"/>
        <w:rPr>
          <w:noProof/>
          <w:color w:val="333333"/>
          <w:sz w:val="24"/>
          <w:szCs w:val="24"/>
          <w:lang w:eastAsia="en-AU"/>
        </w:rPr>
      </w:pPr>
    </w:p>
    <w:p w:rsidR="00420833" w:rsidRDefault="00420833" w:rsidP="00DD3AEB">
      <w:pPr>
        <w:suppressAutoHyphens/>
        <w:spacing w:line="288" w:lineRule="auto"/>
        <w:rPr>
          <w:noProof/>
          <w:color w:val="333333"/>
          <w:sz w:val="24"/>
          <w:szCs w:val="24"/>
          <w:lang w:eastAsia="en-AU"/>
        </w:rPr>
      </w:pPr>
    </w:p>
    <w:p w:rsidR="00420833" w:rsidRDefault="00420833" w:rsidP="00DD3AEB">
      <w:pPr>
        <w:suppressAutoHyphens/>
        <w:spacing w:line="288" w:lineRule="auto"/>
        <w:rPr>
          <w:noProof/>
          <w:color w:val="333333"/>
          <w:sz w:val="24"/>
          <w:szCs w:val="24"/>
          <w:lang w:eastAsia="en-AU"/>
        </w:rPr>
      </w:pPr>
    </w:p>
    <w:p w:rsidR="00420833" w:rsidRDefault="00420833" w:rsidP="00DD3AEB">
      <w:pPr>
        <w:suppressAutoHyphens/>
        <w:spacing w:line="288" w:lineRule="auto"/>
      </w:pPr>
    </w:p>
    <w:p w:rsidR="002A473E" w:rsidRDefault="002A473E" w:rsidP="00DD3AEB">
      <w:pPr>
        <w:suppressAutoHyphens/>
        <w:spacing w:line="288" w:lineRule="auto"/>
        <w:rPr>
          <w:w w:val="80"/>
        </w:rPr>
      </w:pPr>
    </w:p>
    <w:p w:rsidR="002A473E" w:rsidRDefault="004B112A" w:rsidP="00DD3AEB">
      <w:pPr>
        <w:pStyle w:val="Subhead1"/>
        <w:spacing w:line="288" w:lineRule="auto"/>
        <w:rPr>
          <w:w w:val="80"/>
        </w:rPr>
      </w:pPr>
      <w:bookmarkStart w:id="0" w:name="_Toc505072851"/>
      <w:bookmarkStart w:id="1" w:name="_Toc505599581"/>
      <w:bookmarkStart w:id="2" w:name="_Toc505934390"/>
      <w:bookmarkStart w:id="3" w:name="_Toc507142181"/>
      <w:bookmarkStart w:id="4" w:name="_Toc507145436"/>
      <w:r w:rsidRPr="00627FDB">
        <w:rPr>
          <w:rFonts w:cs="MyriadPro-Semibold"/>
          <w:noProof/>
          <w:color w:val="000000" w:themeColor="text1"/>
          <w:w w:val="80"/>
          <w:sz w:val="44"/>
          <w:szCs w:val="32"/>
          <w:lang w:val="en-AU" w:eastAsia="en-AU"/>
        </w:rPr>
        <w:drawing>
          <wp:anchor distT="0" distB="0" distL="114300" distR="114300" simplePos="0" relativeHeight="251659262" behindDoc="0" locked="0" layoutInCell="1" allowOverlap="1" wp14:anchorId="673DFC2C" wp14:editId="7EB6E892">
            <wp:simplePos x="0" y="0"/>
            <wp:positionH relativeFrom="column">
              <wp:posOffset>-654050</wp:posOffset>
            </wp:positionH>
            <wp:positionV relativeFrom="paragraph">
              <wp:posOffset>382270</wp:posOffset>
            </wp:positionV>
            <wp:extent cx="7956550" cy="5304790"/>
            <wp:effectExtent l="0" t="0" r="6350" b="0"/>
            <wp:wrapNone/>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550" cy="530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70E">
        <w:rPr>
          <w:noProof/>
          <w:spacing w:val="-5"/>
          <w:lang w:val="en-AU" w:eastAsia="en-AU"/>
        </w:rPr>
        <mc:AlternateContent>
          <mc:Choice Requires="wps">
            <w:drawing>
              <wp:anchor distT="0" distB="0" distL="114300" distR="114300" simplePos="0" relativeHeight="251689984" behindDoc="0" locked="0" layoutInCell="1" allowOverlap="1" wp14:anchorId="7120FE3A" wp14:editId="19C5DCD3">
                <wp:simplePos x="0" y="0"/>
                <wp:positionH relativeFrom="column">
                  <wp:posOffset>-504825</wp:posOffset>
                </wp:positionH>
                <wp:positionV relativeFrom="paragraph">
                  <wp:posOffset>408305</wp:posOffset>
                </wp:positionV>
                <wp:extent cx="7825105" cy="9525"/>
                <wp:effectExtent l="19050" t="38100" r="42545" b="47625"/>
                <wp:wrapNone/>
                <wp:docPr id="1" name="Straight Connector 1" descr="&quot;&quot;"/>
                <wp:cNvGraphicFramePr/>
                <a:graphic xmlns:a="http://schemas.openxmlformats.org/drawingml/2006/main">
                  <a:graphicData uri="http://schemas.microsoft.com/office/word/2010/wordprocessingShape">
                    <wps:wsp>
                      <wps:cNvCnPr/>
                      <wps:spPr>
                        <a:xfrm flipV="1">
                          <a:off x="0" y="0"/>
                          <a:ext cx="7825105" cy="9525"/>
                        </a:xfrm>
                        <a:prstGeom prst="line">
                          <a:avLst/>
                        </a:prstGeom>
                        <a:noFill/>
                        <a:ln w="76200" cap="flat" cmpd="sng" algn="ctr">
                          <a:solidFill>
                            <a:srgbClr val="FFC000">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89589D" id="Straight Connector 1" o:spid="_x0000_s1026" alt="&quot;&quot;"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32.15pt" to="576.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oR9wEAANADAAAOAAAAZHJzL2Uyb0RvYy54bWysk0uP0zAUhfdI/AfLC3Y0aUVLCU1n0aps&#10;eFSagf2tH4klv7Ddpv33XDuZaoAdYmPZ58affY9PNg9Xo8lFhKicbel8VlMiLHNc2a6l358Ob9eU&#10;xASWg3ZWtPQmIn3Yvn61GXwjFq53motAEGJjM/iW9in5pqoi64WBOHNeWCxKFwwkXIau4gEGpBtd&#10;Lep6VQ0ucB8cEzGiuh+LdFv4UgqWvkkZRSK6pXi3VMZQxlMeq+0Gmi6A7xWbrgH/cAsDyuKhd9Qe&#10;EpBzUH+hjGLBRSfTjDlTOSkVE6UH7GZe/9HNYw9elF7QnOjvNsX/h2VfL8dAFMe3o8SCwSd6TAFU&#10;1yeyc9aigS4QrHERGfr25ufZpY/jmM0bfGyQsbPHMK2iP4bsxFUGQ6RW/kdmZwW7Jddi/e1uvbgm&#10;wlB8v14s5/WSEoa1D8vFMsOrkZL3+hDTJ+EMyZOWamWzMdDA5XNM46fPn2TZuoPSGnVotCUD8leY&#10;FqQDZkxqSDg1HruOtqMEdIfhZSkUZHRa8bw9746hO+10IBfAAB0OuxophXo2Xxwf5XcoTknSZ4N5&#10;G+XVs4xtTJjS0m/8fOk9xH7cUkpjJo1K+GNoZVq6zqByAJK0zceLEu2p9fwGo+t5dnL8Vh6jyiuM&#10;TTl0injO5cs1zl/+iNtfAAAA//8DAFBLAwQUAAYACAAAACEAbWVPzOEAAAAKAQAADwAAAGRycy9k&#10;b3ducmV2LnhtbEyPTU/DMAyG70j8h8hI3LZ0H+260nRCSAgkTgwmwS1rTNutcaom3Qq/Hu8ER9uP&#10;Xj9vvhltK07Y+8aRgtk0AoFUOtNQpeD97XGSgvBBk9GtI1TwjR42xfVVrjPjzvSKp22oBIeQz7SC&#10;OoQuk9KXNVrtp65D4tuX660OPPaVNL0+c7ht5TyKEml1Q/yh1h0+1Fget4NVECWHXRPs4fPnODwt&#10;xo/180tKS6Vub8b7OxABx/AHw0Wf1aFgp70byHjRKpis1jGjCpLlAsQFmMVzLrPnTZyCLHL5v0Lx&#10;CwAA//8DAFBLAQItABQABgAIAAAAIQC2gziS/gAAAOEBAAATAAAAAAAAAAAAAAAAAAAAAABbQ29u&#10;dGVudF9UeXBlc10ueG1sUEsBAi0AFAAGAAgAAAAhADj9If/WAAAAlAEAAAsAAAAAAAAAAAAAAAAA&#10;LwEAAF9yZWxzLy5yZWxzUEsBAi0AFAAGAAgAAAAhAGbJqhH3AQAA0AMAAA4AAAAAAAAAAAAAAAAA&#10;LgIAAGRycy9lMm9Eb2MueG1sUEsBAi0AFAAGAAgAAAAhAG1lT8zhAAAACgEAAA8AAAAAAAAAAAAA&#10;AAAAUQQAAGRycy9kb3ducmV2LnhtbFBLBQYAAAAABAAEAPMAAABfBQAAAAA=&#10;" strokecolor="#ffe699" strokeweight="6pt">
                <v:stroke joinstyle="miter"/>
              </v:line>
            </w:pict>
          </mc:Fallback>
        </mc:AlternateContent>
      </w:r>
      <w:r w:rsidR="001C470E">
        <w:rPr>
          <w:noProof/>
          <w:spacing w:val="-5"/>
          <w:lang w:val="en-AU" w:eastAsia="en-AU"/>
        </w:rPr>
        <mc:AlternateContent>
          <mc:Choice Requires="wps">
            <w:drawing>
              <wp:anchor distT="0" distB="0" distL="114300" distR="114300" simplePos="0" relativeHeight="251691008" behindDoc="0" locked="0" layoutInCell="1" allowOverlap="1" wp14:anchorId="56B557E7" wp14:editId="46C18691">
                <wp:simplePos x="0" y="0"/>
                <wp:positionH relativeFrom="column">
                  <wp:posOffset>-590550</wp:posOffset>
                </wp:positionH>
                <wp:positionV relativeFrom="paragraph">
                  <wp:posOffset>379730</wp:posOffset>
                </wp:positionV>
                <wp:extent cx="7910830" cy="19050"/>
                <wp:effectExtent l="19050" t="38100" r="52070" b="38100"/>
                <wp:wrapNone/>
                <wp:docPr id="13" name="Straight Connector 13" descr="&quot;&quot;"/>
                <wp:cNvGraphicFramePr/>
                <a:graphic xmlns:a="http://schemas.openxmlformats.org/drawingml/2006/main">
                  <a:graphicData uri="http://schemas.microsoft.com/office/word/2010/wordprocessingShape">
                    <wps:wsp>
                      <wps:cNvCnPr/>
                      <wps:spPr>
                        <a:xfrm>
                          <a:off x="0" y="0"/>
                          <a:ext cx="7910830" cy="19050"/>
                        </a:xfrm>
                        <a:prstGeom prst="line">
                          <a:avLst/>
                        </a:prstGeom>
                        <a:noFill/>
                        <a:ln w="76200" cap="flat" cmpd="sng" algn="ctr">
                          <a:solidFill>
                            <a:srgbClr val="FFC000">
                              <a:lumMod val="40000"/>
                              <a:lumOff val="6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5D8765" id="Straight Connector 13" o:spid="_x0000_s1026" alt="&quot;&quot;"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9.9pt" to="576.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wi8QEAAMkDAAAOAAAAZHJzL2Uyb0RvYy54bWysU8GO0zAQvSPxD5YP3GjSXSjd0HQPrcoF&#10;2EoLH+A6TmLJ9pix27R/z9hJywI3xMWx38RvZt48rx7P1rCTwqDB1Xw+KzlTTkKjXVfz7992b5ec&#10;hShcIww4VfOLCvxx/frVavCVuoMeTKOQEYkL1eBr3sfoq6IIsldWhBl45SjYAloR6Yhd0aAYiN2a&#10;4q4sF8UA2HgEqUIgdDsG+Trzt62S8altg4rM1Jxqi3nFvB7SWqxXoupQ+F7LqQzxD1VYoR0lvVFt&#10;RRTsiPovKqslQoA2ziTYAtpWS5V7oG7m5R/dPPfCq9wLiRP8Tabw/2jl19MemW5odvecOWFpRs8R&#10;he76yDbgHCkIyFKwUUGScm9+HCF+HNck3+BDRSwbt8fpFPwekxbnFm36UpfsnCW/3CRX58gkgR8e&#10;5uXyniYjKTZ/KN/nkRS/LnsM8ZMCy9Km5ka7pIioxOlziJSQfr3+kmAHO21MnqpxbKAEC7IJ0Qsy&#10;V2tEpK311G5wHWfCdORaGTFTBjC6SdcTUcDusDHIToKcs9ttSmJJuDnaL9CM8DsCJwsRTEYb4cUV&#10;ptommlznb/yp6K0I/Xglh0YzWh3pRRhta75MRFdBjEvpVfb01HqSfhQ77Q7QXPIMinQiv+Skk7eT&#10;IV+eaf/yBa5/AgAA//8DAFBLAwQUAAYACAAAACEAOVO5o98AAAAKAQAADwAAAGRycy9kb3ducmV2&#10;LnhtbEyPQU/DMAyF70j8h8hI3La0RZ1YqTsxBGJHtiJxzRrTRjRJabKt+/d4J3ayrff0/L1yNdle&#10;HGkMxjuEdJ6AINd4bVyL8Fm/zR5BhKicVr13hHCmAKvq9qZUhfYnt6XjLraCQ1woFEIX41BIGZqO&#10;rApzP5Bj7duPVkU+x1bqUZ043PYyS5KFtMo4/tCpgV46an52B4uwfn2f1mYzfqTb3/NXliX1xuQ1&#10;4v3d9PwEItIU/81wwWd0qJhp7w9OB9EjzJYP3CUi5EuucDGkecbbHmHBU1alvK5Q/QEAAP//AwBQ&#10;SwECLQAUAAYACAAAACEAtoM4kv4AAADhAQAAEwAAAAAAAAAAAAAAAAAAAAAAW0NvbnRlbnRfVHlw&#10;ZXNdLnhtbFBLAQItABQABgAIAAAAIQA4/SH/1gAAAJQBAAALAAAAAAAAAAAAAAAAAC8BAABfcmVs&#10;cy8ucmVsc1BLAQItABQABgAIAAAAIQCE8cwi8QEAAMkDAAAOAAAAAAAAAAAAAAAAAC4CAABkcnMv&#10;ZTJvRG9jLnhtbFBLAQItABQABgAIAAAAIQA5U7mj3wAAAAoBAAAPAAAAAAAAAAAAAAAAAEsEAABk&#10;cnMvZG93bnJldi54bWxQSwUGAAAAAAQABADzAAAAVwUAAAAA&#10;" strokecolor="#ffe699" strokeweight="6pt">
                <v:stroke joinstyle="miter"/>
              </v:line>
            </w:pict>
          </mc:Fallback>
        </mc:AlternateContent>
      </w:r>
      <w:bookmarkEnd w:id="0"/>
      <w:bookmarkEnd w:id="1"/>
      <w:bookmarkEnd w:id="2"/>
      <w:bookmarkEnd w:id="3"/>
      <w:bookmarkEnd w:id="4"/>
    </w:p>
    <w:p w:rsidR="00F1263A" w:rsidRDefault="00F1263A" w:rsidP="00DD3AEB">
      <w:pPr>
        <w:pStyle w:val="Subhead1"/>
        <w:spacing w:line="288" w:lineRule="auto"/>
        <w:rPr>
          <w:rFonts w:cs="MyriadPro-Semibold"/>
          <w:color w:val="000000" w:themeColor="text1"/>
          <w:w w:val="80"/>
          <w:sz w:val="44"/>
          <w:szCs w:val="32"/>
        </w:rPr>
      </w:pPr>
      <w:bookmarkStart w:id="5" w:name="_Toc477335843"/>
      <w:bookmarkStart w:id="6" w:name="_Toc477439916"/>
      <w:bookmarkStart w:id="7" w:name="_Toc477516736"/>
    </w:p>
    <w:p w:rsidR="00F1263A" w:rsidRDefault="00F1263A" w:rsidP="00DD3AEB">
      <w:pPr>
        <w:pStyle w:val="Subhead1"/>
        <w:spacing w:line="288" w:lineRule="auto"/>
        <w:rPr>
          <w:rFonts w:cs="MyriadPro-Semibold"/>
          <w:color w:val="000000" w:themeColor="text1"/>
          <w:w w:val="80"/>
          <w:sz w:val="44"/>
          <w:szCs w:val="32"/>
        </w:rPr>
      </w:pPr>
    </w:p>
    <w:p w:rsidR="00F1263A" w:rsidRDefault="00F1263A" w:rsidP="00DD3AEB">
      <w:pPr>
        <w:pStyle w:val="Subhead1"/>
        <w:spacing w:line="288" w:lineRule="auto"/>
        <w:rPr>
          <w:rFonts w:cs="MyriadPro-Semibold"/>
          <w:color w:val="000000" w:themeColor="text1"/>
          <w:w w:val="80"/>
          <w:sz w:val="44"/>
          <w:szCs w:val="32"/>
        </w:rPr>
      </w:pPr>
    </w:p>
    <w:p w:rsidR="00F1263A" w:rsidRDefault="00F1263A" w:rsidP="00DD3AEB">
      <w:pPr>
        <w:pStyle w:val="Subhead1"/>
        <w:spacing w:line="288" w:lineRule="auto"/>
        <w:rPr>
          <w:rFonts w:cs="MyriadPro-Semibold"/>
          <w:color w:val="000000" w:themeColor="text1"/>
          <w:w w:val="80"/>
          <w:sz w:val="44"/>
          <w:szCs w:val="32"/>
        </w:rPr>
      </w:pPr>
    </w:p>
    <w:p w:rsidR="00F1263A" w:rsidRDefault="00F1263A" w:rsidP="00DD3AEB">
      <w:pPr>
        <w:pStyle w:val="Subhead1"/>
        <w:spacing w:line="288" w:lineRule="auto"/>
        <w:rPr>
          <w:rFonts w:cs="MyriadPro-Semibold"/>
          <w:color w:val="000000" w:themeColor="text1"/>
          <w:w w:val="80"/>
          <w:sz w:val="44"/>
          <w:szCs w:val="32"/>
        </w:rPr>
      </w:pPr>
    </w:p>
    <w:p w:rsidR="00F1263A" w:rsidRDefault="00F1263A" w:rsidP="00DD3AEB">
      <w:pPr>
        <w:pStyle w:val="Subhead1"/>
        <w:spacing w:line="288" w:lineRule="auto"/>
        <w:rPr>
          <w:rFonts w:cs="MyriadPro-Semibold"/>
          <w:color w:val="000000" w:themeColor="text1"/>
          <w:w w:val="80"/>
          <w:sz w:val="44"/>
          <w:szCs w:val="32"/>
        </w:rPr>
      </w:pPr>
    </w:p>
    <w:p w:rsidR="00F1263A" w:rsidRDefault="00F1263A" w:rsidP="00DD3AEB">
      <w:pPr>
        <w:pStyle w:val="Subhead1"/>
        <w:spacing w:line="288" w:lineRule="auto"/>
        <w:rPr>
          <w:rFonts w:cs="MyriadPro-Semibold"/>
          <w:color w:val="000000" w:themeColor="text1"/>
          <w:w w:val="80"/>
          <w:sz w:val="44"/>
          <w:szCs w:val="32"/>
        </w:rPr>
      </w:pPr>
    </w:p>
    <w:p w:rsidR="00F1263A" w:rsidRDefault="00F1263A" w:rsidP="00DD3AEB">
      <w:pPr>
        <w:pStyle w:val="Subhead1"/>
        <w:spacing w:line="288" w:lineRule="auto"/>
        <w:rPr>
          <w:rFonts w:cs="MyriadPro-Semibold"/>
          <w:color w:val="000000" w:themeColor="text1"/>
          <w:w w:val="80"/>
          <w:sz w:val="44"/>
          <w:szCs w:val="32"/>
        </w:rPr>
      </w:pPr>
    </w:p>
    <w:p w:rsidR="00F1263A" w:rsidRDefault="00F1263A" w:rsidP="00DD3AEB">
      <w:pPr>
        <w:pStyle w:val="Subhead1"/>
        <w:spacing w:line="288" w:lineRule="auto"/>
        <w:rPr>
          <w:rFonts w:cs="MyriadPro-Semibold"/>
          <w:color w:val="000000" w:themeColor="text1"/>
          <w:w w:val="80"/>
          <w:sz w:val="44"/>
          <w:szCs w:val="32"/>
        </w:rPr>
      </w:pPr>
    </w:p>
    <w:bookmarkStart w:id="8" w:name="_Toc505072852"/>
    <w:bookmarkStart w:id="9" w:name="_Toc505599582"/>
    <w:bookmarkStart w:id="10" w:name="_Toc505934391"/>
    <w:bookmarkStart w:id="11" w:name="_Toc507142182"/>
    <w:bookmarkStart w:id="12" w:name="_Toc507145437"/>
    <w:p w:rsidR="00F1263A" w:rsidRDefault="0079120A" w:rsidP="00DD3AEB">
      <w:pPr>
        <w:pStyle w:val="Subhead1"/>
        <w:spacing w:line="288" w:lineRule="auto"/>
        <w:rPr>
          <w:rFonts w:cs="MyriadPro-Semibold"/>
          <w:color w:val="000000" w:themeColor="text1"/>
          <w:w w:val="80"/>
          <w:sz w:val="44"/>
          <w:szCs w:val="32"/>
        </w:rPr>
      </w:pPr>
      <w:r>
        <w:rPr>
          <w:noProof/>
          <w:spacing w:val="-5"/>
          <w:lang w:val="en-AU" w:eastAsia="en-AU"/>
        </w:rPr>
        <mc:AlternateContent>
          <mc:Choice Requires="wps">
            <w:drawing>
              <wp:anchor distT="0" distB="0" distL="114300" distR="114300" simplePos="0" relativeHeight="251675648" behindDoc="0" locked="0" layoutInCell="1" allowOverlap="1" wp14:anchorId="2B0CB593" wp14:editId="219E9D60">
                <wp:simplePos x="0" y="0"/>
                <wp:positionH relativeFrom="column">
                  <wp:posOffset>-872380</wp:posOffset>
                </wp:positionH>
                <wp:positionV relativeFrom="paragraph">
                  <wp:posOffset>477520</wp:posOffset>
                </wp:positionV>
                <wp:extent cx="8197325" cy="580390"/>
                <wp:effectExtent l="0" t="0" r="0" b="0"/>
                <wp:wrapNone/>
                <wp:docPr id="11" name="Rectangle 11" descr="&quot;&quot;"/>
                <wp:cNvGraphicFramePr/>
                <a:graphic xmlns:a="http://schemas.openxmlformats.org/drawingml/2006/main">
                  <a:graphicData uri="http://schemas.microsoft.com/office/word/2010/wordprocessingShape">
                    <wps:wsp>
                      <wps:cNvSpPr/>
                      <wps:spPr>
                        <a:xfrm>
                          <a:off x="0" y="0"/>
                          <a:ext cx="8197325" cy="580390"/>
                        </a:xfrm>
                        <a:prstGeom prst="rect">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3E1F1" id="Rectangle 11" o:spid="_x0000_s1026" alt="&quot;&quot;" style="position:absolute;margin-left:-68.7pt;margin-top:37.6pt;width:645.45pt;height:4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Z5hwIAAAEFAAAOAAAAZHJzL2Uyb0RvYy54bWysVEtv2zAMvg/YfxB02G21kyZLmzUpggYd&#10;BnRtsXbomZFlW4AkqpLy6H79KNlJs26nYReZFCk+Pn70xeXOaLaRPii0Mz44KTmTVmClbDPjPx6v&#10;P55xFiLYCjRaOeMvMvDL+ft3F1s3lUNsUVfSMwpiw3TrZryN0U2LIohWGggn6KQlY43eQCTVN0Xl&#10;YUvRjS6GZfmp2KKvnEchQ6DbZWfk8xy/rqWId3UdZGR6xqm2mE+fz1U6i/kFTBsPrlWiLwP+oQoD&#10;ylLSQ6glRGBrr/4IZZTwGLCOJwJNgXWthMw9UDeD8k03Dy04mXshcII7wBT+X1hxu7n3TFU0uwFn&#10;FgzN6DuhBrbRkqW7SgZBgH14XmP83J0Jta0LU3r84O59rwUSEwS72pv0pebYLiP9ckBa7iITdHk2&#10;OJ+cDsecCbKNz8rT8zyK4vW18yF+kWhYEmbcU00ZYNjchEgZyXXvkpIF1Kq6VlpnxTerK+3ZBmjq&#10;k3KxHE3yW70237Dqr8dluc8ZOv8c9LdA2rItITOckCsTQPysNUQSjSPEgm04A90Q8UX0OYPFVEMm&#10;VapuCaHt0uWwHduMikR5rQzBQDUcqtA21S4zafseE8gdrElaYfVCw/LYsTg4ca0oyQ2EeA+eaEtF&#10;0irGOzpqjVQ59hJnLfqff7tP/sQmsnK2pTWgrp7X4CVn+qslnp0PRqO0N1kZjSdDUvyxZXVssWtz&#10;hYQ50Yaqy2Lyj3ov1h7NE23sImUlE1hBuTv8euUqdutJOy/kYpHdaFccxBv74EQKnnBK8D7unsC7&#10;niGRuHWL+5WB6RuidL7ppcXFOmKtMotecaXpJ4X2LPOg/yekRT7Ws9frn2v+CwAA//8DAFBLAwQU&#10;AAYACAAAACEAsZAZYeMAAAAMAQAADwAAAGRycy9kb3ducmV2LnhtbEyPwU7DMAyG70i8Q2Qkblva&#10;jXZTaTpVwITEbWNi45Y2pqlonKrJ1vL2ZCe42fKn39+fbybTsQsOrrUkIJ5HwJBqq1pqBBzet7M1&#10;MOclKdlZQgE/6GBT3N7kMlN2pB1e9r5hIYRcJgVo7/uMc1drNNLNbY8Ubl92MNKHdWi4GuQYwk3H&#10;F1GUciNbCh+07PFJY/29PxsBb9Wojqe+OW3Lz/K1/Hh+sXo4CHF/N5WPwDxO/g+Gq35QhyI4VfZM&#10;yrFOwCxerh4CK2CVLIBdiThZJsCqMKVpCrzI+f8SxS8AAAD//wMAUEsBAi0AFAAGAAgAAAAhALaD&#10;OJL+AAAA4QEAABMAAAAAAAAAAAAAAAAAAAAAAFtDb250ZW50X1R5cGVzXS54bWxQSwECLQAUAAYA&#10;CAAAACEAOP0h/9YAAACUAQAACwAAAAAAAAAAAAAAAAAvAQAAX3JlbHMvLnJlbHNQSwECLQAUAAYA&#10;CAAAACEAkSO2eYcCAAABBQAADgAAAAAAAAAAAAAAAAAuAgAAZHJzL2Uyb0RvYy54bWxQSwECLQAU&#10;AAYACAAAACEAsZAZYeMAAAAMAQAADwAAAAAAAAAAAAAAAADhBAAAZHJzL2Rvd25yZXYueG1sUEsF&#10;BgAAAAAEAAQA8wAAAPEFAAAAAA==&#10;" fillcolor="#548235" stroked="f" strokeweight="1pt"/>
            </w:pict>
          </mc:Fallback>
        </mc:AlternateContent>
      </w:r>
      <w:r>
        <w:rPr>
          <w:noProof/>
          <w:spacing w:val="-5"/>
          <w:lang w:val="en-AU" w:eastAsia="en-AU"/>
        </w:rPr>
        <mc:AlternateContent>
          <mc:Choice Requires="wps">
            <w:drawing>
              <wp:anchor distT="0" distB="0" distL="114300" distR="114300" simplePos="0" relativeHeight="251694080" behindDoc="0" locked="0" layoutInCell="1" allowOverlap="1" wp14:anchorId="5D081E9A" wp14:editId="1B8AD2AA">
                <wp:simplePos x="0" y="0"/>
                <wp:positionH relativeFrom="column">
                  <wp:posOffset>-496570</wp:posOffset>
                </wp:positionH>
                <wp:positionV relativeFrom="paragraph">
                  <wp:posOffset>447344</wp:posOffset>
                </wp:positionV>
                <wp:extent cx="7815415" cy="15903"/>
                <wp:effectExtent l="0" t="19050" r="52705" b="41275"/>
                <wp:wrapNone/>
                <wp:docPr id="9" name="Straight Connector 9" descr="&quot;&quot;"/>
                <wp:cNvGraphicFramePr/>
                <a:graphic xmlns:a="http://schemas.openxmlformats.org/drawingml/2006/main">
                  <a:graphicData uri="http://schemas.microsoft.com/office/word/2010/wordprocessingShape">
                    <wps:wsp>
                      <wps:cNvCnPr/>
                      <wps:spPr>
                        <a:xfrm flipV="1">
                          <a:off x="0" y="0"/>
                          <a:ext cx="7815415" cy="15903"/>
                        </a:xfrm>
                        <a:prstGeom prst="line">
                          <a:avLst/>
                        </a:prstGeom>
                        <a:ln w="57150">
                          <a:solidFill>
                            <a:schemeClr val="accent4">
                              <a:lumMod val="40000"/>
                              <a:lumOff val="60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55EBB" id="Straight Connector 9" o:spid="_x0000_s1026" alt="&quot;&quot;"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pt,35.2pt" to="576.3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PeDwIAAG8EAAAOAAAAZHJzL2Uyb0RvYy54bWysVEtz2yAQvnem/4Hh0FstKbXzUC3n4Ex6&#10;6cPTtL0TBBYzwFLAr3/fBWQ1aU7tVAcG9vGx38eulrdHo8le+KDAdrSZ1ZQIy6FXdtvR79/u315T&#10;EiKzPdNgRUdPItDb1etXy4NrxQUMoHvhCYLY0B5cR4cYXVtVgQ/CsDADJyw6JXjDIh79tuo9OyC6&#10;0dVFXV9WB/C988BFCGi9K066yvhSCh6/SBlEJLqjWFvMq8/rY1qr1ZK1W8/coPhYBvuHKgxTFi+d&#10;oO5YZGTn1Qsoo7iHADLOOJgKpFRcZA7Ipqn/YPMwMCcyFxQnuEmm8P9g+ef9xhPVd/SGEssMPtFD&#10;9Exth0jWYC0KCJ6grxeBo25vfu4gvi9rEu/gQosYa7vx4ym4jU9KHKU3RGrlfmBfZG2QLTlm6U+T&#10;9OIYCUfj1XWzmDcLSjj6msVN/S6hVwUmwTkf4gcBhqRNR7WySRnWsv3HEEvoOSSZtSWHji6umkWd&#10;wwJo1d8rrZMzd5dYa0/2DPuCcS5snOc4vTOfoC/2eY1f6RA0Yx8V8+XZjNVNSLnWJ5egT1s0Jn2K&#10;InkXT1qU8r4KibIj86LNBPS8pEJMW4xOaRIJTIkjsTQpL7mUxDE+pYo8DH+TPGXkm8HGKdkoC77I&#10;+vz2eGzGZ5Ml/qxA4Z0keIT+lHslS4NdnZUbJzCNzdNzTv/9n1j9AgAA//8DAFBLAwQUAAYACAAA&#10;ACEAUCBWuOAAAAAKAQAADwAAAGRycy9kb3ducmV2LnhtbEyPwW7CMAyG75P2DpGRdpkgbcQKdE3R&#10;NIlrpcE0rmli2orGqZoA3Z5+4bQdbX/6/f3FdrI9u+LoO0cS0kUCDEk701Ej4fOwm6+B+aDIqN4R&#10;SvhGD9vy8aFQuXE3+sDrPjQshpDPlYQ2hCHn3OsWrfILNyDF28mNVoU4jg03o7rFcNtzkSQZt6qj&#10;+KFVA763qM/7i5Wgl/Wmes6q089Oa5EequOXHo5SPs2mt1dgAafwB8NdP6pDGZ1qdyHjWS9hvlqL&#10;iEpYJUtgdyB9ERmwOm7EBnhZ8P8Vyl8AAAD//wMAUEsBAi0AFAAGAAgAAAAhALaDOJL+AAAA4QEA&#10;ABMAAAAAAAAAAAAAAAAAAAAAAFtDb250ZW50X1R5cGVzXS54bWxQSwECLQAUAAYACAAAACEAOP0h&#10;/9YAAACUAQAACwAAAAAAAAAAAAAAAAAvAQAAX3JlbHMvLnJlbHNQSwECLQAUAAYACAAAACEAfXsz&#10;3g8CAABvBAAADgAAAAAAAAAAAAAAAAAuAgAAZHJzL2Uyb0RvYy54bWxQSwECLQAUAAYACAAAACEA&#10;UCBWuOAAAAAKAQAADwAAAAAAAAAAAAAAAABpBAAAZHJzL2Rvd25yZXYueG1sUEsFBgAAAAAEAAQA&#10;8wAAAHYFAAAAAA==&#10;" strokecolor="#ffe599 [1303]" strokeweight="4.5pt">
                <v:stroke joinstyle="miter"/>
              </v:line>
            </w:pict>
          </mc:Fallback>
        </mc:AlternateContent>
      </w:r>
      <w:r w:rsidR="00795CAB">
        <w:rPr>
          <w:noProof/>
          <w:spacing w:val="-5"/>
          <w:lang w:val="en-AU" w:eastAsia="en-AU"/>
        </w:rPr>
        <mc:AlternateContent>
          <mc:Choice Requires="wps">
            <w:drawing>
              <wp:anchor distT="0" distB="0" distL="114300" distR="114300" simplePos="0" relativeHeight="251661312" behindDoc="1" locked="0" layoutInCell="1" allowOverlap="1" wp14:anchorId="37C079A2" wp14:editId="6E070654">
                <wp:simplePos x="0" y="0"/>
                <wp:positionH relativeFrom="column">
                  <wp:posOffset>-480951</wp:posOffset>
                </wp:positionH>
                <wp:positionV relativeFrom="paragraph">
                  <wp:posOffset>441234</wp:posOffset>
                </wp:positionV>
                <wp:extent cx="7802171" cy="4150995"/>
                <wp:effectExtent l="0" t="0" r="8890" b="1905"/>
                <wp:wrapNone/>
                <wp:docPr id="8" name="Rectangle 8" descr="&quot;&quot;"/>
                <wp:cNvGraphicFramePr/>
                <a:graphic xmlns:a="http://schemas.openxmlformats.org/drawingml/2006/main">
                  <a:graphicData uri="http://schemas.microsoft.com/office/word/2010/wordprocessingShape">
                    <wps:wsp>
                      <wps:cNvSpPr/>
                      <wps:spPr>
                        <a:xfrm>
                          <a:off x="0" y="0"/>
                          <a:ext cx="7802171" cy="41509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0E37B" id="Rectangle 8" o:spid="_x0000_s1026" alt="&quot;&quot;" style="position:absolute;margin-left:-37.85pt;margin-top:34.75pt;width:614.35pt;height:32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xYqQIAAMIFAAAOAAAAZHJzL2Uyb0RvYy54bWysVMFu2zAMvQ/YPwg67LbaDpKmzeoUQYsO&#10;A7o2aDv0rMpSbEASVUmJk339KNlxsy7YYdhFFkXykXwmeXG51YpshPMNmJIWJzklwnCoGrMq6Y+n&#10;m89nlPjATMUUGFHSnfD0cv7xw0VrZ2IENahKOIIgxs9aW9I6BDvLMs9roZk/ASsMKiU4zQKKbpVV&#10;jrWIrlU2yvPTrAVXWQdceI+v152SzhO+lIKHeym9CESVFHML6XTpfIlnNr9gs5Vjtm54nwb7hyw0&#10;awwGHaCuWWBk7Zo/oHTDHXiQ4YSDzkDKhotUA1ZT5O+qeayZFakWJMfbgSb//2D53WbpSFOVFH+U&#10;YRp/0QOSxsxKCYJPlfAc6fr0uobwpTsjZ631M3R9tEvXSx6vkYCtdDp+sTSyTTzvBp7FNhCOj9Oz&#10;fFRMC0o46sbFJD8/n0TU7M3dOh++CtAkXkrqMKfEL9vc+tCZ7k1iNA+qqW4apZIQm0dcKUc2DH87&#10;41yYcJrc1Vp/h6p7n07yPDUAhk39Fl1SEr+hKRMxDUT0LnB8ySIDXc3pFnZKRDtlHoREPrHKUYo4&#10;IB8mU3SqmlWie46pHM8lAUZkifEH7B7gWKFFz2RvH11FGoTBOf9bYl2Jg0eKDCYMzrox4I4BqDBE&#10;7uz3JHXURJZeoNphtznoxtBbftPg771lPiyZw7nDCcVdEu7xkArakkJ/o6QG9/PYe7THcUAtJS3O&#10;cUn965o5QYn6ZnBQzovxOA5+EsaT6QgFd6h5OdSYtb4C7BnsTcwuXaN9UPurdKCfceUsYlRUMcMx&#10;dkl5cHvhKnT7BZcWF4tFMsNhtyzcmkfLI3hkNbbv0/aZOdv3eMDxuIP9zLPZu1bvbKOngcU6gGzS&#10;HLzx2vONiyI1cb/U4iY6lJPV2+qd/wIAAP//AwBQSwMEFAAGAAgAAAAhAGHccdzfAAAACwEAAA8A&#10;AABkcnMvZG93bnJldi54bWxMj8tOwzAQRfdI/IM1SOxauwlpSohTISSWgEgr1pPYxBF+RLGbmr/H&#10;XdHlaI7uPbfeR6PJImc/Osths2ZApO2dGO3A4Xh4Xe2A+IBWoHZWcviVHvbN7U2NlXBn+ymXNgwk&#10;hVhfIQcVwlRR6nslDfq1m6RNv283GwzpnAcqZjyncKNpxtiWGhxtalA4yRcl+5/2ZDgsD+UH0zt2&#10;6Ir2iF18V19veeT8/i4+PwEJMoZ/GC76SR2a5NS5kxWeaA6rsigTymH7WAC5AJsiT+s6DmWWZ0Cb&#10;ml5vaP4AAAD//wMAUEsBAi0AFAAGAAgAAAAhALaDOJL+AAAA4QEAABMAAAAAAAAAAAAAAAAAAAAA&#10;AFtDb250ZW50X1R5cGVzXS54bWxQSwECLQAUAAYACAAAACEAOP0h/9YAAACUAQAACwAAAAAAAAAA&#10;AAAAAAAvAQAAX3JlbHMvLnJlbHNQSwECLQAUAAYACAAAACEAuDtcWKkCAADCBQAADgAAAAAAAAAA&#10;AAAAAAAuAgAAZHJzL2Uyb0RvYy54bWxQSwECLQAUAAYACAAAACEAYdxx3N8AAAALAQAADwAAAAAA&#10;AAAAAAAAAAADBQAAZHJzL2Rvd25yZXYueG1sUEsFBgAAAAAEAAQA8wAAAA8GAAAAAA==&#10;" fillcolor="#538135 [2409]" stroked="f" strokeweight="1pt"/>
            </w:pict>
          </mc:Fallback>
        </mc:AlternateContent>
      </w:r>
      <w:bookmarkEnd w:id="8"/>
      <w:bookmarkEnd w:id="9"/>
      <w:bookmarkEnd w:id="10"/>
      <w:bookmarkEnd w:id="11"/>
      <w:bookmarkEnd w:id="12"/>
    </w:p>
    <w:p w:rsidR="00F1263A" w:rsidRDefault="00F1263A" w:rsidP="00DD3AEB">
      <w:pPr>
        <w:pStyle w:val="Subhead1"/>
        <w:spacing w:line="288" w:lineRule="auto"/>
        <w:rPr>
          <w:rFonts w:cs="MyriadPro-Semibold"/>
          <w:color w:val="000000" w:themeColor="text1"/>
          <w:w w:val="80"/>
          <w:sz w:val="44"/>
          <w:szCs w:val="32"/>
        </w:rPr>
      </w:pPr>
    </w:p>
    <w:bookmarkEnd w:id="5"/>
    <w:bookmarkEnd w:id="6"/>
    <w:bookmarkEnd w:id="7"/>
    <w:p w:rsidR="0082642F" w:rsidRPr="005940DA" w:rsidRDefault="00420833" w:rsidP="00387C09">
      <w:pPr>
        <w:pStyle w:val="Subhead2"/>
        <w:spacing w:line="288" w:lineRule="auto"/>
        <w:ind w:left="426"/>
        <w:rPr>
          <w:color w:val="FFFFFF" w:themeColor="background1"/>
        </w:rPr>
      </w:pPr>
      <w:r w:rsidRPr="005940DA">
        <w:rPr>
          <w:color w:val="FFFFFF" w:themeColor="background1"/>
        </w:rPr>
        <w:t xml:space="preserve">Independent Review of the </w:t>
      </w:r>
      <w:r w:rsidR="002C5477" w:rsidRPr="005940DA">
        <w:rPr>
          <w:color w:val="FFFFFF" w:themeColor="background1"/>
        </w:rPr>
        <w:t>Greenhouse and Energy Minimum Standards (</w:t>
      </w:r>
      <w:r w:rsidRPr="005940DA">
        <w:rPr>
          <w:color w:val="FFFFFF" w:themeColor="background1"/>
        </w:rPr>
        <w:t>GEMS</w:t>
      </w:r>
      <w:r w:rsidR="002C5477" w:rsidRPr="005940DA">
        <w:rPr>
          <w:color w:val="FFFFFF" w:themeColor="background1"/>
        </w:rPr>
        <w:t>)</w:t>
      </w:r>
      <w:r w:rsidRPr="005940DA">
        <w:rPr>
          <w:color w:val="FFFFFF" w:themeColor="background1"/>
        </w:rPr>
        <w:t xml:space="preserve"> Act 2012</w:t>
      </w:r>
    </w:p>
    <w:p w:rsidR="0082642F" w:rsidRPr="00DC08FC" w:rsidRDefault="00F1263A" w:rsidP="00387C09">
      <w:pPr>
        <w:pStyle w:val="Subhead2"/>
        <w:spacing w:line="288" w:lineRule="auto"/>
        <w:ind w:left="426"/>
        <w:rPr>
          <w:color w:val="FFFFFF" w:themeColor="background1"/>
        </w:rPr>
      </w:pPr>
      <w:r w:rsidRPr="00DC08FC">
        <w:rPr>
          <w:color w:val="FFFFFF" w:themeColor="background1"/>
        </w:rPr>
        <w:t>DISCUSSION PAPER</w:t>
      </w:r>
    </w:p>
    <w:p w:rsidR="0082642F" w:rsidRPr="00DC08FC" w:rsidRDefault="0082642F" w:rsidP="00387C09">
      <w:pPr>
        <w:suppressAutoHyphens/>
        <w:spacing w:line="288" w:lineRule="auto"/>
        <w:ind w:left="426"/>
        <w:rPr>
          <w:color w:val="FFFFFF" w:themeColor="background1"/>
        </w:rPr>
      </w:pPr>
    </w:p>
    <w:p w:rsidR="005116A7" w:rsidRPr="00DC08FC" w:rsidRDefault="002C5477" w:rsidP="00387C09">
      <w:pPr>
        <w:pStyle w:val="Subhead3"/>
        <w:spacing w:line="288" w:lineRule="auto"/>
        <w:ind w:left="426"/>
        <w:rPr>
          <w:color w:val="FFFFFF" w:themeColor="background1"/>
        </w:rPr>
      </w:pPr>
      <w:r w:rsidRPr="00DC08FC">
        <w:rPr>
          <w:color w:val="FFFFFF" w:themeColor="background1"/>
          <w:spacing w:val="-1"/>
        </w:rPr>
        <w:t>February</w:t>
      </w:r>
      <w:r w:rsidR="0082642F" w:rsidRPr="00DC08FC">
        <w:rPr>
          <w:color w:val="FFFFFF" w:themeColor="background1"/>
          <w:spacing w:val="-11"/>
        </w:rPr>
        <w:t xml:space="preserve"> </w:t>
      </w:r>
      <w:r w:rsidR="0082642F" w:rsidRPr="00DC08FC">
        <w:rPr>
          <w:color w:val="FFFFFF" w:themeColor="background1"/>
          <w:spacing w:val="-6"/>
          <w:w w:val="102"/>
        </w:rPr>
        <w:t>2</w:t>
      </w:r>
      <w:r w:rsidR="0082642F" w:rsidRPr="00DC08FC">
        <w:rPr>
          <w:color w:val="FFFFFF" w:themeColor="background1"/>
          <w:spacing w:val="-15"/>
          <w:w w:val="102"/>
        </w:rPr>
        <w:t>0</w:t>
      </w:r>
      <w:r w:rsidR="0082642F" w:rsidRPr="00DC08FC">
        <w:rPr>
          <w:color w:val="FFFFFF" w:themeColor="background1"/>
          <w:w w:val="102"/>
        </w:rPr>
        <w:t>1</w:t>
      </w:r>
      <w:r w:rsidR="00420833" w:rsidRPr="00DC08FC">
        <w:rPr>
          <w:color w:val="FFFFFF" w:themeColor="background1"/>
          <w:w w:val="102"/>
        </w:rPr>
        <w:t>8</w:t>
      </w:r>
    </w:p>
    <w:p w:rsidR="00971D3E" w:rsidRDefault="00971D3E">
      <w:pPr>
        <w:rPr>
          <w:rFonts w:cs="AGaramondPro-Regular"/>
          <w:color w:val="000000"/>
        </w:rPr>
      </w:pPr>
      <w:r>
        <w:br w:type="page"/>
      </w:r>
    </w:p>
    <w:p w:rsidR="009D47E7" w:rsidRDefault="009D47E7" w:rsidP="00DD3AEB">
      <w:pPr>
        <w:pStyle w:val="Text"/>
        <w:spacing w:line="288" w:lineRule="auto"/>
        <w:rPr>
          <w:rFonts w:ascii="Adobe Garamond Pro" w:hAnsi="Adobe Garamond Pro"/>
        </w:rPr>
      </w:pPr>
      <w:r>
        <w:lastRenderedPageBreak/>
        <w:t>Disclaimer</w:t>
      </w:r>
    </w:p>
    <w:p w:rsidR="009D47E7" w:rsidRDefault="009D47E7" w:rsidP="00DD3AEB">
      <w:pPr>
        <w:pStyle w:val="Text"/>
        <w:spacing w:line="288" w:lineRule="auto"/>
      </w:pPr>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9D47E7" w:rsidRDefault="009D47E7" w:rsidP="00DD3AEB">
      <w:pPr>
        <w:pStyle w:val="Text"/>
        <w:spacing w:line="288" w:lineRule="auto"/>
      </w:pPr>
      <w:r>
        <w:t>© Copyright</w:t>
      </w:r>
      <w:r w:rsidR="00420833">
        <w:t xml:space="preserve"> Commonwealth of Australia, 2018</w:t>
      </w:r>
      <w:r>
        <w:t>.</w:t>
      </w:r>
    </w:p>
    <w:p w:rsidR="009D47E7" w:rsidRDefault="005F1B51" w:rsidP="00DD3AEB">
      <w:pPr>
        <w:pStyle w:val="Text"/>
        <w:spacing w:line="288" w:lineRule="auto"/>
      </w:pPr>
      <w:r>
        <w:rPr>
          <w:noProof/>
          <w:lang w:eastAsia="en-AU"/>
        </w:rPr>
        <w:drawing>
          <wp:inline distT="0" distB="0" distL="0" distR="0" wp14:anchorId="1E8AB37D" wp14:editId="4A147656">
            <wp:extent cx="1536700" cy="546100"/>
            <wp:effectExtent l="0" t="0" r="12700" b="12700"/>
            <wp:docPr id="6" name="Picture 6"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700" cy="546100"/>
                    </a:xfrm>
                    <a:prstGeom prst="rect">
                      <a:avLst/>
                    </a:prstGeom>
                    <a:noFill/>
                    <a:ln>
                      <a:noFill/>
                    </a:ln>
                  </pic:spPr>
                </pic:pic>
              </a:graphicData>
            </a:graphic>
          </wp:inline>
        </w:drawing>
      </w:r>
    </w:p>
    <w:p w:rsidR="009D47E7" w:rsidRDefault="009D47E7" w:rsidP="00DD3AEB">
      <w:pPr>
        <w:pStyle w:val="Text"/>
        <w:spacing w:line="288" w:lineRule="auto"/>
      </w:pPr>
      <w:r>
        <w:t xml:space="preserve">The </w:t>
      </w:r>
      <w:r w:rsidR="002C5477" w:rsidRPr="002C5477">
        <w:t>Independent Review of the GEMS Act 2012</w:t>
      </w:r>
      <w:r w:rsidRPr="002C5477">
        <w:t xml:space="preserve"> Discussion Paper</w:t>
      </w:r>
      <w: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0" w:history="1">
        <w:r w:rsidR="00F221C4" w:rsidRPr="00857472">
          <w:rPr>
            <w:rStyle w:val="Hyperlink"/>
          </w:rPr>
          <w:t>http://creativecommons.org/licenses/by/3.0/au/</w:t>
        </w:r>
      </w:hyperlink>
    </w:p>
    <w:p w:rsidR="00F221C4" w:rsidRDefault="00F221C4" w:rsidP="00DD3AEB">
      <w:pPr>
        <w:pStyle w:val="Text"/>
        <w:spacing w:line="288" w:lineRule="auto"/>
      </w:pPr>
      <w:r w:rsidRPr="0093210C">
        <w:t>This Discussion Paper has been produced by the Australian Government Department of the Environment and Energy for the Independent Review of the GEMS Act</w:t>
      </w:r>
      <w:r w:rsidR="00532DBA" w:rsidRPr="0093210C">
        <w:t xml:space="preserve"> 2012</w:t>
      </w:r>
      <w:r w:rsidRPr="0093210C">
        <w:t>.</w:t>
      </w:r>
    </w:p>
    <w:p w:rsidR="009D47E7" w:rsidRDefault="009D47E7" w:rsidP="00DD3AEB">
      <w:pPr>
        <w:pStyle w:val="Text"/>
        <w:spacing w:line="288" w:lineRule="auto"/>
      </w:pPr>
      <w:r>
        <w:t>This document should be attributed as ‘</w:t>
      </w:r>
      <w:r w:rsidRPr="002C5477">
        <w:t>The</w:t>
      </w:r>
      <w:r w:rsidR="002C5477" w:rsidRPr="002C5477">
        <w:t xml:space="preserve"> Independent R</w:t>
      </w:r>
      <w:r w:rsidRPr="002C5477">
        <w:t xml:space="preserve">eview of </w:t>
      </w:r>
      <w:r w:rsidR="002C5477" w:rsidRPr="002C5477">
        <w:t>the GEMS Act 2012</w:t>
      </w:r>
      <w:r w:rsidRPr="002C5477">
        <w:t xml:space="preserve"> Discussion Paper</w:t>
      </w:r>
      <w:r w:rsidR="002C5477">
        <w:t>, Commonwealth of Australia 2018</w:t>
      </w:r>
      <w:r>
        <w:t>.’</w:t>
      </w:r>
    </w:p>
    <w:p w:rsidR="009D47E7" w:rsidRDefault="009D47E7" w:rsidP="00DD3AEB">
      <w:pPr>
        <w:pStyle w:val="Text"/>
        <w:spacing w:line="288" w:lineRule="auto"/>
      </w:pPr>
      <w:r>
        <w:t>The Commonwealth of Australia has made all reasonable efforts to identify content supplied by third parties using the following format ‘© Copyright</w:t>
      </w:r>
      <w:r w:rsidRPr="008E2B74">
        <w:t xml:space="preserve">, </w:t>
      </w:r>
      <w:r w:rsidRPr="00510E20">
        <w:t>[name of third party]’</w:t>
      </w:r>
      <w:r w:rsidRPr="008E2B74">
        <w:t>.</w:t>
      </w:r>
    </w:p>
    <w:p w:rsidR="00B71AE8" w:rsidRDefault="00B71AE8" w:rsidP="00DD3AEB">
      <w:pPr>
        <w:suppressAutoHyphens/>
        <w:spacing w:line="288" w:lineRule="auto"/>
      </w:pPr>
    </w:p>
    <w:p w:rsidR="001541BA" w:rsidRDefault="001541BA">
      <w:r>
        <w:br w:type="page"/>
      </w:r>
    </w:p>
    <w:tbl>
      <w:tblPr>
        <w:tblW w:w="5000" w:type="pct"/>
        <w:tblBorders>
          <w:top w:val="single" w:sz="6" w:space="0" w:color="FFFFFF"/>
          <w:left w:val="single" w:sz="6" w:space="0" w:color="FFFFFF"/>
          <w:bottom w:val="single" w:sz="6" w:space="0" w:color="FFFFFF"/>
          <w:right w:val="single" w:sz="6" w:space="0" w:color="FFFFFF"/>
        </w:tblBorders>
        <w:shd w:val="clear" w:color="DAE0EE" w:fill="auto"/>
        <w:tblLayout w:type="fixed"/>
        <w:tblCellMar>
          <w:left w:w="0" w:type="dxa"/>
          <w:right w:w="0" w:type="dxa"/>
        </w:tblCellMar>
        <w:tblLook w:val="0000" w:firstRow="0" w:lastRow="0" w:firstColumn="0" w:lastColumn="0" w:noHBand="0" w:noVBand="0"/>
      </w:tblPr>
      <w:tblGrid>
        <w:gridCol w:w="10444"/>
      </w:tblGrid>
      <w:tr w:rsidR="00ED2CF5" w:rsidTr="00D4693F">
        <w:trPr>
          <w:trHeight w:val="60"/>
        </w:trPr>
        <w:tc>
          <w:tcPr>
            <w:tcW w:w="10444" w:type="dxa"/>
            <w:shd w:val="clear" w:color="DAE0EE" w:fill="auto"/>
            <w:tcMar>
              <w:top w:w="283" w:type="dxa"/>
              <w:left w:w="283" w:type="dxa"/>
              <w:bottom w:w="283" w:type="dxa"/>
              <w:right w:w="283" w:type="dxa"/>
            </w:tcMar>
          </w:tcPr>
          <w:p w:rsidR="00ED2CF5" w:rsidRPr="00A257D5" w:rsidRDefault="00ED2CF5" w:rsidP="00DD3AEB">
            <w:pPr>
              <w:pStyle w:val="Subhead3Table"/>
              <w:spacing w:line="288" w:lineRule="auto"/>
            </w:pPr>
            <w:r w:rsidRPr="00A257D5">
              <w:t>Making a submission</w:t>
            </w:r>
          </w:p>
          <w:p w:rsidR="00ED2CF5" w:rsidRDefault="00ED2CF5" w:rsidP="00DD3AEB">
            <w:pPr>
              <w:pStyle w:val="Text"/>
              <w:spacing w:line="288" w:lineRule="auto"/>
            </w:pPr>
            <w:r>
              <w:t xml:space="preserve">The </w:t>
            </w:r>
            <w:r w:rsidR="001A6240" w:rsidRPr="001A6240">
              <w:t>GEMS Review</w:t>
            </w:r>
            <w:r w:rsidR="001A6240" w:rsidRPr="001A6240">
              <w:rPr>
                <w:i/>
              </w:rPr>
              <w:t xml:space="preserve"> </w:t>
            </w:r>
            <w:r w:rsidR="001A6240" w:rsidRPr="001A6240">
              <w:t>T</w:t>
            </w:r>
            <w:r w:rsidR="001A6240">
              <w:t xml:space="preserve">eam </w:t>
            </w:r>
            <w:r>
              <w:t>invites written submissions on the Discussion Paper.</w:t>
            </w:r>
          </w:p>
          <w:p w:rsidR="00ED2CF5" w:rsidRPr="00A257D5" w:rsidRDefault="00ED2CF5" w:rsidP="00DD3AEB">
            <w:pPr>
              <w:pStyle w:val="Text"/>
              <w:spacing w:line="288" w:lineRule="auto"/>
            </w:pPr>
            <w:r w:rsidRPr="00A257D5">
              <w:t xml:space="preserve">Submissions are due by </w:t>
            </w:r>
            <w:r w:rsidRPr="00762ED6">
              <w:rPr>
                <w:b/>
              </w:rPr>
              <w:t>5:00pm AE</w:t>
            </w:r>
            <w:r w:rsidR="002C5477" w:rsidRPr="00762ED6">
              <w:rPr>
                <w:b/>
              </w:rPr>
              <w:t>D</w:t>
            </w:r>
            <w:r w:rsidRPr="00762ED6">
              <w:rPr>
                <w:b/>
              </w:rPr>
              <w:t xml:space="preserve">T, </w:t>
            </w:r>
            <w:r w:rsidR="0093210C" w:rsidRPr="00762ED6">
              <w:rPr>
                <w:b/>
              </w:rPr>
              <w:t>Wedne</w:t>
            </w:r>
            <w:r w:rsidR="008E2B74" w:rsidRPr="00762ED6">
              <w:rPr>
                <w:b/>
              </w:rPr>
              <w:t>sday</w:t>
            </w:r>
            <w:r w:rsidRPr="00762ED6">
              <w:rPr>
                <w:b/>
              </w:rPr>
              <w:t xml:space="preserve">, </w:t>
            </w:r>
            <w:r w:rsidR="0093210C" w:rsidRPr="00762ED6">
              <w:rPr>
                <w:b/>
              </w:rPr>
              <w:t>28</w:t>
            </w:r>
            <w:r w:rsidR="002C5477" w:rsidRPr="00762ED6">
              <w:rPr>
                <w:b/>
              </w:rPr>
              <w:t xml:space="preserve"> March</w:t>
            </w:r>
            <w:r w:rsidR="000C410A" w:rsidRPr="00762ED6">
              <w:rPr>
                <w:b/>
              </w:rPr>
              <w:t xml:space="preserve"> 2018</w:t>
            </w:r>
            <w:r w:rsidRPr="00A257D5">
              <w:t>. Any submissions received after this date will be considered at the Government’s discretion.</w:t>
            </w:r>
          </w:p>
          <w:p w:rsidR="00ED2CF5" w:rsidRPr="00172A9E" w:rsidRDefault="00ED2CF5" w:rsidP="00DD3AEB">
            <w:pPr>
              <w:pStyle w:val="Text"/>
              <w:spacing w:line="288" w:lineRule="auto"/>
              <w:rPr>
                <w:rStyle w:val="TextSemibold"/>
                <w:rFonts w:cs="Times New Roman"/>
                <w:color w:val="000000" w:themeColor="text1"/>
                <w:sz w:val="22"/>
                <w:szCs w:val="22"/>
              </w:rPr>
            </w:pPr>
            <w:r w:rsidRPr="00172A9E">
              <w:rPr>
                <w:rStyle w:val="TextSemibold"/>
                <w:color w:val="000000" w:themeColor="text1"/>
                <w:sz w:val="22"/>
                <w:szCs w:val="22"/>
              </w:rPr>
              <w:t>Submission instructions</w:t>
            </w:r>
          </w:p>
          <w:p w:rsidR="00ED2CF5" w:rsidRDefault="00ED2CF5" w:rsidP="00DD3AEB">
            <w:pPr>
              <w:pStyle w:val="Text"/>
              <w:spacing w:line="288" w:lineRule="auto"/>
            </w:pPr>
            <w:r>
              <w:t>Where possible, submissions should be sent electronically, preferably in Microsoft Word or other text</w:t>
            </w:r>
            <w:r w:rsidR="004578F1">
              <w:t>-</w:t>
            </w:r>
            <w:r>
              <w:t>based formats, to the email address listed below. Submissions may be sent to the postal address below.</w:t>
            </w:r>
          </w:p>
          <w:p w:rsidR="00ED2CF5" w:rsidRPr="00172A9E" w:rsidRDefault="00ED2CF5" w:rsidP="00DD3AEB">
            <w:pPr>
              <w:pStyle w:val="Text"/>
              <w:spacing w:line="288" w:lineRule="auto"/>
              <w:rPr>
                <w:rStyle w:val="Hyperlinkblue"/>
                <w:rFonts w:ascii="AGaramondPro-Semibold" w:hAnsi="AGaramondPro-Semibold" w:cs="AGaramondPro-Semibold"/>
                <w:color w:val="000000" w:themeColor="text1"/>
              </w:rPr>
            </w:pPr>
            <w:r w:rsidRPr="00172A9E">
              <w:rPr>
                <w:rStyle w:val="TextSemibold"/>
                <w:color w:val="000000" w:themeColor="text1"/>
              </w:rPr>
              <w:t xml:space="preserve">All submissions must include a cover sheet, available at: </w:t>
            </w:r>
            <w:r w:rsidRPr="00172A9E">
              <w:rPr>
                <w:rStyle w:val="TextSemibold"/>
                <w:color w:val="000000" w:themeColor="text1"/>
              </w:rPr>
              <w:br/>
            </w:r>
            <w:hyperlink r:id="rId11" w:history="1">
              <w:r w:rsidR="00023A0E" w:rsidRPr="00023A0E">
                <w:rPr>
                  <w:rStyle w:val="Hyperlink"/>
                </w:rPr>
                <w:t>www.energy.gov.au/publications/greenhouse-and-energy-minimum-standards-review-act</w:t>
              </w:r>
            </w:hyperlink>
          </w:p>
          <w:p w:rsidR="00ED2CF5" w:rsidRDefault="00ED2CF5" w:rsidP="00DD3AEB">
            <w:pPr>
              <w:pStyle w:val="Text"/>
              <w:spacing w:line="288" w:lineRule="auto"/>
            </w:pPr>
            <w:r>
              <w:t>Submissions can be forwarded to:</w:t>
            </w:r>
          </w:p>
          <w:p w:rsidR="00ED2CF5" w:rsidRDefault="00ED2CF5" w:rsidP="00DD3AEB">
            <w:pPr>
              <w:pStyle w:val="Text"/>
              <w:spacing w:line="288" w:lineRule="auto"/>
            </w:pPr>
            <w:r>
              <w:t>Email:</w:t>
            </w:r>
            <w:r>
              <w:tab/>
            </w:r>
            <w:hyperlink r:id="rId12" w:history="1">
              <w:r w:rsidR="007D6AE4">
                <w:rPr>
                  <w:rStyle w:val="Hyperlink"/>
                </w:rPr>
                <w:t>GEMSreview@environment.gov.au</w:t>
              </w:r>
            </w:hyperlink>
          </w:p>
          <w:p w:rsidR="00ED2CF5" w:rsidRDefault="00ED2CF5" w:rsidP="00DD3AEB">
            <w:pPr>
              <w:pStyle w:val="Text"/>
              <w:spacing w:line="288" w:lineRule="auto"/>
            </w:pPr>
            <w:r>
              <w:t>Postal:</w:t>
            </w:r>
            <w:r>
              <w:tab/>
            </w:r>
            <w:r w:rsidR="001C4281" w:rsidRPr="001C4281">
              <w:t xml:space="preserve">Independent Review of the </w:t>
            </w:r>
            <w:r w:rsidR="001C4281" w:rsidRPr="001C4281">
              <w:rPr>
                <w:i/>
              </w:rPr>
              <w:t>GEMS Act 2012</w:t>
            </w:r>
            <w:r>
              <w:t>– Discussion Paper submissions</w:t>
            </w:r>
            <w:r>
              <w:rPr>
                <w:rFonts w:ascii="PMingLiU" w:eastAsia="PMingLiU" w:hAnsi="PMingLiU" w:cs="PMingLiU"/>
              </w:rPr>
              <w:br/>
            </w:r>
            <w:r w:rsidR="001C4281">
              <w:t>Appliance</w:t>
            </w:r>
            <w:r w:rsidR="00FB3B18">
              <w:t xml:space="preserve"> and Building</w:t>
            </w:r>
            <w:r w:rsidR="001C4281">
              <w:t xml:space="preserve"> Energy Efficiency</w:t>
            </w:r>
            <w:r>
              <w:t xml:space="preserve"> Branch</w:t>
            </w:r>
            <w:r>
              <w:rPr>
                <w:rFonts w:ascii="PMingLiU" w:eastAsia="PMingLiU" w:hAnsi="PMingLiU" w:cs="PMingLiU"/>
              </w:rPr>
              <w:br/>
            </w:r>
            <w:r>
              <w:t>Department of the Environment and Energy</w:t>
            </w:r>
            <w:r>
              <w:rPr>
                <w:rFonts w:ascii="PMingLiU" w:eastAsia="PMingLiU" w:hAnsi="PMingLiU" w:cs="PMingLiU"/>
              </w:rPr>
              <w:br/>
            </w:r>
            <w:r>
              <w:t>GPO Box 787</w:t>
            </w:r>
            <w:r>
              <w:rPr>
                <w:rFonts w:ascii="PMingLiU" w:eastAsia="PMingLiU" w:hAnsi="PMingLiU" w:cs="PMingLiU"/>
              </w:rPr>
              <w:br/>
            </w:r>
            <w:r>
              <w:t>CANBERRA ACT 2601</w:t>
            </w:r>
          </w:p>
          <w:p w:rsidR="00ED2CF5" w:rsidRPr="00A257D5" w:rsidRDefault="00ED2CF5" w:rsidP="00DD3AEB">
            <w:pPr>
              <w:pStyle w:val="Subhead3"/>
              <w:spacing w:line="288" w:lineRule="auto"/>
            </w:pPr>
            <w:r w:rsidRPr="00A257D5">
              <w:t>Confidentiality statement</w:t>
            </w:r>
          </w:p>
          <w:p w:rsidR="00ED2CF5" w:rsidRDefault="00ED2CF5" w:rsidP="00DD3AEB">
            <w:pPr>
              <w:pStyle w:val="Text"/>
              <w:spacing w:line="288" w:lineRule="auto"/>
            </w:pPr>
            <w:r>
              <w:t>All submissions will be treated as public documents, unless the author of the submission clearly indicates the contrary by marking all or part of the submission as ‘confidential.’</w:t>
            </w:r>
            <w:r w:rsidR="00841D46">
              <w:t xml:space="preserve"> </w:t>
            </w:r>
            <w:r w:rsidR="0001293D" w:rsidRPr="0093210C">
              <w:t xml:space="preserve">Where a submission </w:t>
            </w:r>
            <w:r w:rsidR="00841D46" w:rsidRPr="0093210C">
              <w:t xml:space="preserve">is marked </w:t>
            </w:r>
            <w:r w:rsidR="0001293D" w:rsidRPr="0093210C">
              <w:t>‘</w:t>
            </w:r>
            <w:r w:rsidR="00841D46" w:rsidRPr="0093210C">
              <w:t>confidential’</w:t>
            </w:r>
            <w:r w:rsidR="0001293D" w:rsidRPr="0093210C">
              <w:t xml:space="preserve"> it will only be provided to the GEMS </w:t>
            </w:r>
            <w:r w:rsidR="007108BF" w:rsidRPr="0093210C">
              <w:t>R</w:t>
            </w:r>
            <w:r w:rsidR="0001293D" w:rsidRPr="0093210C">
              <w:t xml:space="preserve">eview </w:t>
            </w:r>
            <w:r w:rsidR="007108BF" w:rsidRPr="0093210C">
              <w:t>T</w:t>
            </w:r>
            <w:r w:rsidR="0001293D" w:rsidRPr="0093210C">
              <w:t>eam and members of the COAG Energy Council’s Energy Efficiency Advisory Team.</w:t>
            </w:r>
            <w:r w:rsidR="0001293D">
              <w:t xml:space="preserve"> </w:t>
            </w:r>
            <w:r w:rsidR="00BB6B46">
              <w:t xml:space="preserve"> </w:t>
            </w:r>
          </w:p>
          <w:p w:rsidR="00ED2CF5" w:rsidRDefault="00ED2CF5" w:rsidP="00DD3AEB">
            <w:pPr>
              <w:pStyle w:val="Text"/>
              <w:spacing w:line="288" w:lineRule="auto"/>
            </w:pPr>
            <w:r>
              <w:t>Public submissions, including any personal information of the author(s) and/or other third parties contained in the submission, may be published in full on the Department’s website</w:t>
            </w:r>
            <w:r w:rsidR="007D6AE4">
              <w:t xml:space="preserve"> and/or </w:t>
            </w:r>
            <w:hyperlink r:id="rId13" w:history="1">
              <w:r w:rsidR="00DD3AEB" w:rsidRPr="00DD3AEB">
                <w:rPr>
                  <w:rStyle w:val="Hyperlink"/>
                </w:rPr>
                <w:t>energyrating.gov.au</w:t>
              </w:r>
            </w:hyperlink>
            <w:r>
              <w:t>.</w:t>
            </w:r>
          </w:p>
          <w:p w:rsidR="00ED2CF5" w:rsidRDefault="00ED2CF5" w:rsidP="00DD3AEB">
            <w:pPr>
              <w:pStyle w:val="Text"/>
              <w:spacing w:line="288" w:lineRule="auto"/>
            </w:pPr>
            <w:r>
              <w:t>If a submission contains the personal information of any third party individuals, please indicate in the submission whether they have provided consent to the publication of their information.</w:t>
            </w:r>
          </w:p>
          <w:p w:rsidR="00ED2CF5" w:rsidRDefault="00ED2CF5" w:rsidP="00DD3AEB">
            <w:pPr>
              <w:pStyle w:val="Text"/>
              <w:spacing w:line="288" w:lineRule="auto"/>
            </w:pPr>
            <w:r>
              <w:t xml:space="preserve">Any request made under the </w:t>
            </w:r>
            <w:r>
              <w:rPr>
                <w:rStyle w:val="TextItalic"/>
              </w:rPr>
              <w:t>Freedom of Information Act 1982</w:t>
            </w:r>
            <w:r>
              <w:t xml:space="preserve"> for access to a submission marked confidential will be determined in accordance with that Act.</w:t>
            </w:r>
          </w:p>
        </w:tc>
      </w:tr>
    </w:tbl>
    <w:p w:rsidR="0075170B" w:rsidRDefault="0075170B" w:rsidP="00DD3AEB">
      <w:pPr>
        <w:pStyle w:val="Subhead1"/>
        <w:spacing w:line="288" w:lineRule="auto"/>
      </w:pPr>
      <w:bookmarkStart w:id="13" w:name="_Toc477335844"/>
    </w:p>
    <w:p w:rsidR="0075170B" w:rsidRDefault="0075170B" w:rsidP="00DD3AEB">
      <w:pPr>
        <w:pStyle w:val="Subhead1"/>
        <w:spacing w:line="288" w:lineRule="auto"/>
        <w:sectPr w:rsidR="0075170B" w:rsidSect="00D4693F">
          <w:headerReference w:type="even" r:id="rId14"/>
          <w:headerReference w:type="default" r:id="rId15"/>
          <w:headerReference w:type="first" r:id="rId16"/>
          <w:pgSz w:w="11900" w:h="16840"/>
          <w:pgMar w:top="720" w:right="720" w:bottom="720" w:left="720" w:header="720" w:footer="720" w:gutter="0"/>
          <w:pgNumType w:start="2"/>
          <w:cols w:space="720"/>
          <w:noEndnote/>
          <w:titlePg/>
          <w:docGrid w:linePitch="272"/>
        </w:sectPr>
      </w:pPr>
    </w:p>
    <w:bookmarkStart w:id="14" w:name="_Toc477516737" w:displacedByCustomXml="next"/>
    <w:bookmarkStart w:id="15" w:name="_Toc477439917" w:displacedByCustomXml="next"/>
    <w:sdt>
      <w:sdtPr>
        <w:id w:val="-512531224"/>
        <w:docPartObj>
          <w:docPartGallery w:val="Table of Contents"/>
          <w:docPartUnique/>
        </w:docPartObj>
      </w:sdtPr>
      <w:sdtEndPr>
        <w:rPr>
          <w:b/>
          <w:bCs/>
          <w:sz w:val="22"/>
        </w:rPr>
      </w:sdtEndPr>
      <w:sdtContent>
        <w:p w:rsidR="003F5A3D" w:rsidRPr="00A93476" w:rsidRDefault="009474B0" w:rsidP="00A93476">
          <w:pPr>
            <w:pStyle w:val="TOC1"/>
            <w:rPr>
              <w:sz w:val="22"/>
            </w:rPr>
          </w:pPr>
          <w:r w:rsidRPr="00A93476">
            <w:rPr>
              <w:sz w:val="48"/>
              <w:szCs w:val="52"/>
            </w:rPr>
            <w:t>Contents</w:t>
          </w:r>
          <w:r w:rsidRPr="00A93476">
            <w:rPr>
              <w:rStyle w:val="Hyperlink"/>
              <w:sz w:val="22"/>
            </w:rPr>
            <w:fldChar w:fldCharType="begin"/>
          </w:r>
          <w:r w:rsidRPr="00A93476">
            <w:rPr>
              <w:rStyle w:val="Hyperlink"/>
              <w:sz w:val="22"/>
            </w:rPr>
            <w:instrText xml:space="preserve"> TOC \o "1-3" \h \z \u </w:instrText>
          </w:r>
          <w:r w:rsidRPr="00A93476">
            <w:rPr>
              <w:rStyle w:val="Hyperlink"/>
              <w:sz w:val="22"/>
            </w:rPr>
            <w:fldChar w:fldCharType="separate"/>
          </w:r>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38" w:history="1">
            <w:r w:rsidR="003F5A3D" w:rsidRPr="00A93476">
              <w:rPr>
                <w:rStyle w:val="Hyperlink"/>
                <w:sz w:val="22"/>
              </w:rPr>
              <w:t>List of abbreviations</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_Toc507145438 \h </w:instrText>
            </w:r>
            <w:r w:rsidR="003F5A3D" w:rsidRPr="00A93476">
              <w:rPr>
                <w:webHidden/>
                <w:sz w:val="22"/>
              </w:rPr>
            </w:r>
            <w:r w:rsidR="003F5A3D" w:rsidRPr="00A93476">
              <w:rPr>
                <w:webHidden/>
                <w:sz w:val="22"/>
              </w:rPr>
              <w:fldChar w:fldCharType="separate"/>
            </w:r>
            <w:r w:rsidR="00087484">
              <w:rPr>
                <w:webHidden/>
                <w:sz w:val="22"/>
              </w:rPr>
              <w:t>3</w:t>
            </w:r>
            <w:r w:rsidR="003F5A3D" w:rsidRPr="00A93476">
              <w:rPr>
                <w:webHidden/>
                <w:sz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39" w:history="1">
            <w:r w:rsidR="003F5A3D" w:rsidRPr="00A93476">
              <w:rPr>
                <w:rStyle w:val="Hyperlink"/>
                <w:sz w:val="22"/>
              </w:rPr>
              <w:t>1.</w:t>
            </w:r>
            <w:r w:rsidR="003F5A3D" w:rsidRPr="00A93476">
              <w:rPr>
                <w:rFonts w:asciiTheme="minorHAnsi" w:eastAsiaTheme="minorEastAsia" w:hAnsiTheme="minorHAnsi" w:cstheme="minorBidi"/>
                <w:color w:val="auto"/>
                <w:sz w:val="22"/>
                <w:lang w:val="en-AU" w:eastAsia="en-AU"/>
              </w:rPr>
              <w:tab/>
            </w:r>
            <w:r w:rsidR="003F5A3D" w:rsidRPr="00A93476">
              <w:rPr>
                <w:rStyle w:val="Hyperlink"/>
                <w:sz w:val="22"/>
              </w:rPr>
              <w:t>Introduction</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_Toc507145439 \h </w:instrText>
            </w:r>
            <w:r w:rsidR="003F5A3D" w:rsidRPr="00A93476">
              <w:rPr>
                <w:webHidden/>
                <w:sz w:val="22"/>
              </w:rPr>
            </w:r>
            <w:r w:rsidR="003F5A3D" w:rsidRPr="00A93476">
              <w:rPr>
                <w:webHidden/>
                <w:sz w:val="22"/>
              </w:rPr>
              <w:fldChar w:fldCharType="separate"/>
            </w:r>
            <w:r w:rsidR="00087484">
              <w:rPr>
                <w:webHidden/>
                <w:sz w:val="22"/>
              </w:rPr>
              <w:t>4</w:t>
            </w:r>
            <w:r w:rsidR="003F5A3D" w:rsidRPr="00A93476">
              <w:rPr>
                <w:webHidden/>
                <w:sz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40" w:history="1">
            <w:r w:rsidR="003F5A3D" w:rsidRPr="00A93476">
              <w:rPr>
                <w:rStyle w:val="Hyperlink"/>
                <w:noProof/>
                <w:sz w:val="22"/>
                <w:szCs w:val="22"/>
              </w:rPr>
              <w:t>1.1  Why the review is being undertaken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_Toc507145440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4</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41" w:history="1">
            <w:r w:rsidR="003F5A3D" w:rsidRPr="00A93476">
              <w:rPr>
                <w:rStyle w:val="Hyperlink"/>
                <w:noProof/>
                <w:sz w:val="22"/>
                <w:szCs w:val="22"/>
              </w:rPr>
              <w:t>1.2  Purpose of the legislation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_Toc507145441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4</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42" w:history="1">
            <w:r w:rsidR="003F5A3D" w:rsidRPr="00A93476">
              <w:rPr>
                <w:rStyle w:val="Hyperlink"/>
                <w:noProof/>
                <w:sz w:val="22"/>
                <w:szCs w:val="22"/>
              </w:rPr>
              <w:t>1.3  Terms of Reference and methodology</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_Toc507145442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6</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43" w:history="1">
            <w:r w:rsidR="003F5A3D" w:rsidRPr="00A93476">
              <w:rPr>
                <w:rStyle w:val="Hyperlink"/>
                <w:rFonts w:eastAsia="Calibri"/>
                <w:noProof/>
                <w:sz w:val="22"/>
                <w:szCs w:val="22"/>
              </w:rPr>
              <w:t>1.4  Structure of this Discussion Paper</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_Toc507145443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7</w:t>
            </w:r>
            <w:r w:rsidR="003F5A3D" w:rsidRPr="00A93476">
              <w:rPr>
                <w:noProof/>
                <w:webHidden/>
                <w:sz w:val="22"/>
                <w:szCs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44" w:history="1">
            <w:r w:rsidR="003F5A3D" w:rsidRPr="00A93476">
              <w:rPr>
                <w:rStyle w:val="Hyperlink"/>
                <w:sz w:val="22"/>
              </w:rPr>
              <w:t xml:space="preserve">2. </w:t>
            </w:r>
            <w:r w:rsidR="00EB1DC7">
              <w:rPr>
                <w:rStyle w:val="Hyperlink"/>
                <w:sz w:val="22"/>
              </w:rPr>
              <w:tab/>
            </w:r>
            <w:r w:rsidR="003F5A3D" w:rsidRPr="00A93476">
              <w:rPr>
                <w:rStyle w:val="Hyperlink"/>
                <w:sz w:val="22"/>
              </w:rPr>
              <w:t>Impact of the GEMS Act</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_Toc507145444 \h </w:instrText>
            </w:r>
            <w:r w:rsidR="003F5A3D" w:rsidRPr="00A93476">
              <w:rPr>
                <w:webHidden/>
                <w:sz w:val="22"/>
              </w:rPr>
            </w:r>
            <w:r w:rsidR="003F5A3D" w:rsidRPr="00A93476">
              <w:rPr>
                <w:webHidden/>
                <w:sz w:val="22"/>
              </w:rPr>
              <w:fldChar w:fldCharType="separate"/>
            </w:r>
            <w:r w:rsidR="00087484">
              <w:rPr>
                <w:webHidden/>
                <w:sz w:val="22"/>
              </w:rPr>
              <w:t>8</w:t>
            </w:r>
            <w:r w:rsidR="003F5A3D" w:rsidRPr="00A93476">
              <w:rPr>
                <w:webHidden/>
                <w:sz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45" w:history="1">
            <w:r w:rsidR="003F5A3D" w:rsidRPr="00A93476">
              <w:rPr>
                <w:rStyle w:val="Hyperlink"/>
                <w:sz w:val="22"/>
              </w:rPr>
              <w:t xml:space="preserve">3. </w:t>
            </w:r>
            <w:r w:rsidR="00EB1DC7">
              <w:rPr>
                <w:rStyle w:val="Hyperlink"/>
                <w:sz w:val="22"/>
              </w:rPr>
              <w:tab/>
            </w:r>
            <w:r w:rsidR="003F5A3D" w:rsidRPr="00A93476">
              <w:rPr>
                <w:rStyle w:val="Hyperlink"/>
                <w:sz w:val="22"/>
              </w:rPr>
              <w:t>Context</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_Toc507145445 \h </w:instrText>
            </w:r>
            <w:r w:rsidR="003F5A3D" w:rsidRPr="00A93476">
              <w:rPr>
                <w:webHidden/>
                <w:sz w:val="22"/>
              </w:rPr>
            </w:r>
            <w:r w:rsidR="003F5A3D" w:rsidRPr="00A93476">
              <w:rPr>
                <w:webHidden/>
                <w:sz w:val="22"/>
              </w:rPr>
              <w:fldChar w:fldCharType="separate"/>
            </w:r>
            <w:r w:rsidR="00087484">
              <w:rPr>
                <w:webHidden/>
                <w:sz w:val="22"/>
              </w:rPr>
              <w:t>10</w:t>
            </w:r>
            <w:r w:rsidR="003F5A3D" w:rsidRPr="00A93476">
              <w:rPr>
                <w:webHidden/>
                <w:sz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46" w:history="1">
            <w:r w:rsidR="003F5A3D" w:rsidRPr="00A93476">
              <w:rPr>
                <w:rStyle w:val="Hyperlink"/>
                <w:noProof/>
                <w:sz w:val="22"/>
                <w:szCs w:val="22"/>
              </w:rPr>
              <w:t>3.1  Key prohibitions</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_Toc507145446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10</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47" w:history="1">
            <w:r w:rsidR="003F5A3D" w:rsidRPr="00A93476">
              <w:rPr>
                <w:rStyle w:val="Hyperlink"/>
                <w:noProof/>
                <w:sz w:val="22"/>
                <w:szCs w:val="22"/>
              </w:rPr>
              <w:t>3.2  Governance and administration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_Toc507145447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10</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48" w:history="1">
            <w:r w:rsidR="003F5A3D" w:rsidRPr="00A93476">
              <w:rPr>
                <w:rStyle w:val="Hyperlink"/>
                <w:noProof/>
                <w:sz w:val="22"/>
                <w:szCs w:val="22"/>
              </w:rPr>
              <w:t>3.3  2015 GEMS Review</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_Toc507145448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11</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49" w:history="1">
            <w:r w:rsidR="003F5A3D" w:rsidRPr="00A93476">
              <w:rPr>
                <w:rStyle w:val="Hyperlink"/>
                <w:noProof/>
                <w:sz w:val="22"/>
                <w:szCs w:val="22"/>
              </w:rPr>
              <w:t>3.4  Products currently regulated under the GEMS Act</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_Toc507145449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13</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50" w:history="1">
            <w:r w:rsidR="003F5A3D" w:rsidRPr="00A93476">
              <w:rPr>
                <w:rStyle w:val="Hyperlink"/>
                <w:noProof/>
                <w:sz w:val="22"/>
                <w:szCs w:val="22"/>
              </w:rPr>
              <w:t>3.5  E3 Prioritisation Plan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_Toc507145450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14</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51" w:history="1">
            <w:r w:rsidR="003F5A3D" w:rsidRPr="00A93476">
              <w:rPr>
                <w:rStyle w:val="Hyperlink"/>
                <w:noProof/>
                <w:sz w:val="22"/>
                <w:szCs w:val="22"/>
              </w:rPr>
              <w:t>3.6  Consultation questions specific to this section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_Toc507145451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14</w:t>
            </w:r>
            <w:r w:rsidR="003F5A3D" w:rsidRPr="00A93476">
              <w:rPr>
                <w:noProof/>
                <w:webHidden/>
                <w:sz w:val="22"/>
                <w:szCs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52" w:history="1">
            <w:r w:rsidR="003F5A3D" w:rsidRPr="00A93476">
              <w:rPr>
                <w:rStyle w:val="Hyperlink"/>
                <w:sz w:val="22"/>
              </w:rPr>
              <w:t>4.</w:t>
            </w:r>
            <w:r w:rsidR="003F5A3D" w:rsidRPr="00A93476">
              <w:rPr>
                <w:rFonts w:asciiTheme="minorHAnsi" w:eastAsiaTheme="minorEastAsia" w:hAnsiTheme="minorHAnsi" w:cstheme="minorBidi"/>
                <w:color w:val="auto"/>
                <w:sz w:val="22"/>
                <w:lang w:val="en-AU" w:eastAsia="en-AU"/>
              </w:rPr>
              <w:tab/>
            </w:r>
            <w:r w:rsidR="003F5A3D" w:rsidRPr="00A93476">
              <w:rPr>
                <w:rStyle w:val="Hyperlink"/>
                <w:sz w:val="22"/>
              </w:rPr>
              <w:t>GEMS determinations</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_Toc507145452 \h </w:instrText>
            </w:r>
            <w:r w:rsidR="003F5A3D" w:rsidRPr="00A93476">
              <w:rPr>
                <w:webHidden/>
                <w:sz w:val="22"/>
              </w:rPr>
            </w:r>
            <w:r w:rsidR="003F5A3D" w:rsidRPr="00A93476">
              <w:rPr>
                <w:webHidden/>
                <w:sz w:val="22"/>
              </w:rPr>
              <w:fldChar w:fldCharType="separate"/>
            </w:r>
            <w:r w:rsidR="00087484">
              <w:rPr>
                <w:webHidden/>
                <w:sz w:val="22"/>
              </w:rPr>
              <w:t>15</w:t>
            </w:r>
            <w:r w:rsidR="003F5A3D" w:rsidRPr="00A93476">
              <w:rPr>
                <w:webHidden/>
                <w:sz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53" w:history="1">
            <w:r w:rsidR="003F5A3D" w:rsidRPr="00A93476">
              <w:rPr>
                <w:rStyle w:val="Hyperlink"/>
                <w:noProof/>
                <w:sz w:val="22"/>
                <w:szCs w:val="22"/>
              </w:rPr>
              <w:t>4.1  Summary of key parts of the GEMS Act relating to GEMS determinations</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_Toc507145453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15</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54" w:history="1">
            <w:r w:rsidR="003F5A3D" w:rsidRPr="00A93476">
              <w:rPr>
                <w:rStyle w:val="Hyperlink"/>
                <w:noProof/>
                <w:sz w:val="22"/>
                <w:szCs w:val="22"/>
              </w:rPr>
              <w:t>4.2  Issues for discussion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_Toc507145454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16</w:t>
            </w:r>
            <w:r w:rsidR="003F5A3D" w:rsidRPr="00A93476">
              <w:rPr>
                <w:noProof/>
                <w:webHidden/>
                <w:sz w:val="22"/>
                <w:szCs w:val="22"/>
              </w:rPr>
              <w:fldChar w:fldCharType="end"/>
            </w:r>
          </w:hyperlink>
        </w:p>
        <w:p w:rsidR="003F5A3D" w:rsidRPr="00A93476" w:rsidRDefault="00064958" w:rsidP="003F5A3D">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59" w:history="1">
            <w:r w:rsidR="003F5A3D" w:rsidRPr="00A93476">
              <w:rPr>
                <w:rStyle w:val="Hyperlink"/>
                <w:noProof/>
                <w:sz w:val="22"/>
                <w:szCs w:val="22"/>
              </w:rPr>
              <w:t>4.3  Consultation questions specific to this section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_Toc507145459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18</w:t>
            </w:r>
            <w:r w:rsidR="003F5A3D" w:rsidRPr="00A93476">
              <w:rPr>
                <w:noProof/>
                <w:webHidden/>
                <w:sz w:val="22"/>
                <w:szCs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60" w:history="1">
            <w:r w:rsidR="003F5A3D" w:rsidRPr="00A93476">
              <w:rPr>
                <w:rStyle w:val="Hyperlink"/>
                <w:sz w:val="22"/>
              </w:rPr>
              <w:t xml:space="preserve">5. </w:t>
            </w:r>
            <w:r w:rsidR="00EB1DC7">
              <w:rPr>
                <w:rStyle w:val="Hyperlink"/>
                <w:sz w:val="22"/>
              </w:rPr>
              <w:tab/>
            </w:r>
            <w:r w:rsidR="003F5A3D" w:rsidRPr="00A93476">
              <w:rPr>
                <w:rStyle w:val="Hyperlink"/>
                <w:sz w:val="22"/>
              </w:rPr>
              <w:t>Registration</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_Toc507145460 \h </w:instrText>
            </w:r>
            <w:r w:rsidR="003F5A3D" w:rsidRPr="00A93476">
              <w:rPr>
                <w:webHidden/>
                <w:sz w:val="22"/>
              </w:rPr>
            </w:r>
            <w:r w:rsidR="003F5A3D" w:rsidRPr="00A93476">
              <w:rPr>
                <w:webHidden/>
                <w:sz w:val="22"/>
              </w:rPr>
              <w:fldChar w:fldCharType="separate"/>
            </w:r>
            <w:r w:rsidR="00087484">
              <w:rPr>
                <w:webHidden/>
                <w:sz w:val="22"/>
              </w:rPr>
              <w:t>19</w:t>
            </w:r>
            <w:r w:rsidR="003F5A3D" w:rsidRPr="00A93476">
              <w:rPr>
                <w:webHidden/>
                <w:sz w:val="22"/>
              </w:rPr>
              <w:fldChar w:fldCharType="end"/>
            </w:r>
          </w:hyperlink>
        </w:p>
        <w:p w:rsidR="003F5A3D" w:rsidRPr="00A93476" w:rsidRDefault="00064958" w:rsidP="0008106E">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61" w:history="1">
            <w:r w:rsidR="003F5A3D" w:rsidRPr="00A93476">
              <w:rPr>
                <w:rStyle w:val="Hyperlink"/>
                <w:noProof/>
                <w:sz w:val="22"/>
                <w:szCs w:val="22"/>
              </w:rPr>
              <w:t>5.1  Summary of key parts of the GEMS Act relating to registration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_Toc507145461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19</w:t>
            </w:r>
            <w:r w:rsidR="003F5A3D" w:rsidRPr="00A93476">
              <w:rPr>
                <w:noProof/>
                <w:webHidden/>
                <w:sz w:val="22"/>
                <w:szCs w:val="22"/>
              </w:rPr>
              <w:fldChar w:fldCharType="end"/>
            </w:r>
          </w:hyperlink>
        </w:p>
        <w:p w:rsidR="003F5A3D" w:rsidRPr="00A93476" w:rsidRDefault="00064958" w:rsidP="0008106E">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62" w:history="1">
            <w:r w:rsidR="003F5A3D" w:rsidRPr="00A93476">
              <w:rPr>
                <w:rStyle w:val="Hyperlink"/>
                <w:noProof/>
                <w:sz w:val="22"/>
                <w:szCs w:val="22"/>
              </w:rPr>
              <w:t>5.2  Issues for discussion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_Toc507145462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20</w:t>
            </w:r>
            <w:r w:rsidR="003F5A3D" w:rsidRPr="00A93476">
              <w:rPr>
                <w:noProof/>
                <w:webHidden/>
                <w:sz w:val="22"/>
                <w:szCs w:val="22"/>
              </w:rPr>
              <w:fldChar w:fldCharType="end"/>
            </w:r>
          </w:hyperlink>
        </w:p>
        <w:p w:rsidR="003F5A3D" w:rsidRPr="00A93476" w:rsidRDefault="00064958" w:rsidP="0008106E">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67" w:history="1">
            <w:r w:rsidR="003F5A3D" w:rsidRPr="00A93476">
              <w:rPr>
                <w:rStyle w:val="Hyperlink"/>
                <w:noProof/>
                <w:sz w:val="22"/>
                <w:szCs w:val="22"/>
              </w:rPr>
              <w:t>5.3  Consultation questions specific to this section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_Toc507145467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22</w:t>
            </w:r>
            <w:r w:rsidR="003F5A3D" w:rsidRPr="00A93476">
              <w:rPr>
                <w:noProof/>
                <w:webHidden/>
                <w:sz w:val="22"/>
                <w:szCs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68" w:history="1">
            <w:r w:rsidR="003F5A3D" w:rsidRPr="00A93476">
              <w:rPr>
                <w:rStyle w:val="Hyperlink"/>
                <w:sz w:val="22"/>
              </w:rPr>
              <w:t>6.</w:t>
            </w:r>
            <w:r w:rsidR="003F5A3D" w:rsidRPr="00A93476">
              <w:rPr>
                <w:rFonts w:asciiTheme="minorHAnsi" w:eastAsiaTheme="minorEastAsia" w:hAnsiTheme="minorHAnsi" w:cstheme="minorBidi"/>
                <w:color w:val="auto"/>
                <w:sz w:val="22"/>
                <w:lang w:val="en-AU" w:eastAsia="en-AU"/>
              </w:rPr>
              <w:tab/>
            </w:r>
            <w:r w:rsidR="003F5A3D" w:rsidRPr="00A93476">
              <w:rPr>
                <w:rStyle w:val="Hyperlink"/>
                <w:sz w:val="22"/>
              </w:rPr>
              <w:t>Compliance</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_Toc507145468 \h </w:instrText>
            </w:r>
            <w:r w:rsidR="003F5A3D" w:rsidRPr="00A93476">
              <w:rPr>
                <w:webHidden/>
                <w:sz w:val="22"/>
              </w:rPr>
            </w:r>
            <w:r w:rsidR="003F5A3D" w:rsidRPr="00A93476">
              <w:rPr>
                <w:webHidden/>
                <w:sz w:val="22"/>
              </w:rPr>
              <w:fldChar w:fldCharType="separate"/>
            </w:r>
            <w:r w:rsidR="00087484">
              <w:rPr>
                <w:webHidden/>
                <w:sz w:val="22"/>
              </w:rPr>
              <w:t>23</w:t>
            </w:r>
            <w:r w:rsidR="003F5A3D" w:rsidRPr="00A93476">
              <w:rPr>
                <w:webHidden/>
                <w:sz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69" w:history="1">
            <w:r w:rsidR="003F5A3D" w:rsidRPr="00A93476">
              <w:rPr>
                <w:rStyle w:val="Hyperlink"/>
                <w:rFonts w:eastAsia="Calibri"/>
                <w:noProof/>
                <w:sz w:val="22"/>
                <w:szCs w:val="22"/>
              </w:rPr>
              <w:t>6.1  Summary of key parts of the GEMS Act relating to compliance</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_Toc507145469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24</w:t>
            </w:r>
            <w:r w:rsidR="003F5A3D" w:rsidRPr="00A93476">
              <w:rPr>
                <w:noProof/>
                <w:webHidden/>
                <w:sz w:val="22"/>
                <w:szCs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70" w:history="1">
            <w:r w:rsidR="003F5A3D" w:rsidRPr="00A93476">
              <w:rPr>
                <w:rStyle w:val="Hyperlink"/>
                <w:rFonts w:eastAsia="Calibri"/>
                <w:noProof/>
                <w:sz w:val="22"/>
                <w:szCs w:val="22"/>
              </w:rPr>
              <w:t xml:space="preserve">6.2  </w:t>
            </w:r>
            <w:r w:rsidR="003F5A3D" w:rsidRPr="00A93476">
              <w:rPr>
                <w:rStyle w:val="Hyperlink"/>
                <w:noProof/>
                <w:sz w:val="22"/>
                <w:szCs w:val="22"/>
              </w:rPr>
              <w:t>Issues for discussion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_Toc507145470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25</w:t>
            </w:r>
            <w:r w:rsidR="003F5A3D" w:rsidRPr="00A93476">
              <w:rPr>
                <w:noProof/>
                <w:webHidden/>
                <w:sz w:val="22"/>
                <w:szCs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73" w:history="1">
            <w:r w:rsidR="003F5A3D" w:rsidRPr="00A93476">
              <w:rPr>
                <w:rStyle w:val="Hyperlink"/>
                <w:rFonts w:eastAsia="Calibri"/>
                <w:noProof/>
                <w:sz w:val="22"/>
                <w:szCs w:val="22"/>
              </w:rPr>
              <w:t>6.3  Consultation questions specific to this section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_Toc507145473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25</w:t>
            </w:r>
            <w:r w:rsidR="003F5A3D" w:rsidRPr="00A93476">
              <w:rPr>
                <w:noProof/>
                <w:webHidden/>
                <w:sz w:val="22"/>
                <w:szCs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74" w:history="1">
            <w:r w:rsidR="003F5A3D" w:rsidRPr="00A93476">
              <w:rPr>
                <w:rStyle w:val="Hyperlink"/>
                <w:sz w:val="22"/>
              </w:rPr>
              <w:t>7.</w:t>
            </w:r>
            <w:r w:rsidR="003F5A3D" w:rsidRPr="00A93476">
              <w:rPr>
                <w:rFonts w:asciiTheme="minorHAnsi" w:eastAsiaTheme="minorEastAsia" w:hAnsiTheme="minorHAnsi" w:cstheme="minorBidi"/>
                <w:color w:val="auto"/>
                <w:sz w:val="22"/>
                <w:lang w:val="en-AU" w:eastAsia="en-AU"/>
              </w:rPr>
              <w:tab/>
            </w:r>
            <w:r w:rsidR="003F5A3D" w:rsidRPr="00A93476">
              <w:rPr>
                <w:rStyle w:val="Hyperlink"/>
                <w:sz w:val="22"/>
              </w:rPr>
              <w:t>Overarching issues</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_Toc507145474 \h </w:instrText>
            </w:r>
            <w:r w:rsidR="003F5A3D" w:rsidRPr="00A93476">
              <w:rPr>
                <w:webHidden/>
                <w:sz w:val="22"/>
              </w:rPr>
            </w:r>
            <w:r w:rsidR="003F5A3D" w:rsidRPr="00A93476">
              <w:rPr>
                <w:webHidden/>
                <w:sz w:val="22"/>
              </w:rPr>
              <w:fldChar w:fldCharType="separate"/>
            </w:r>
            <w:r w:rsidR="00087484">
              <w:rPr>
                <w:webHidden/>
                <w:sz w:val="22"/>
              </w:rPr>
              <w:t>27</w:t>
            </w:r>
            <w:r w:rsidR="003F5A3D" w:rsidRPr="00A93476">
              <w:rPr>
                <w:webHidden/>
                <w:sz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75" w:history="1">
            <w:r w:rsidR="003F5A3D" w:rsidRPr="00A93476">
              <w:rPr>
                <w:rStyle w:val="Hyperlink"/>
                <w:rFonts w:eastAsia="Calibri"/>
                <w:noProof/>
                <w:sz w:val="22"/>
                <w:szCs w:val="22"/>
              </w:rPr>
              <w:t>7.1  Mandatory versus voluntary standards and labelling</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_Toc507145475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27</w:t>
            </w:r>
            <w:r w:rsidR="003F5A3D" w:rsidRPr="00A93476">
              <w:rPr>
                <w:noProof/>
                <w:webHidden/>
                <w:sz w:val="22"/>
                <w:szCs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76" w:history="1">
            <w:r w:rsidR="003F5A3D" w:rsidRPr="00A93476">
              <w:rPr>
                <w:rStyle w:val="Hyperlink"/>
                <w:rFonts w:eastAsia="Calibri"/>
                <w:noProof/>
                <w:sz w:val="22"/>
                <w:szCs w:val="22"/>
              </w:rPr>
              <w:t>7.2  Online labelling and print advertising</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_Toc507145476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27</w:t>
            </w:r>
            <w:r w:rsidR="003F5A3D" w:rsidRPr="00A93476">
              <w:rPr>
                <w:noProof/>
                <w:webHidden/>
                <w:sz w:val="22"/>
                <w:szCs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77" w:history="1">
            <w:r w:rsidR="003F5A3D" w:rsidRPr="00A93476">
              <w:rPr>
                <w:rStyle w:val="Hyperlink"/>
                <w:rFonts w:eastAsia="Calibri"/>
                <w:noProof/>
                <w:sz w:val="22"/>
                <w:szCs w:val="22"/>
              </w:rPr>
              <w:t>7.3  Demand response</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_Toc507145477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28</w:t>
            </w:r>
            <w:r w:rsidR="003F5A3D" w:rsidRPr="00A93476">
              <w:rPr>
                <w:noProof/>
                <w:webHidden/>
                <w:sz w:val="22"/>
                <w:szCs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78" w:history="1">
            <w:r w:rsidR="003F5A3D" w:rsidRPr="00A93476">
              <w:rPr>
                <w:rStyle w:val="Hyperlink"/>
                <w:rFonts w:eastAsia="Calibri"/>
                <w:noProof/>
                <w:sz w:val="22"/>
                <w:szCs w:val="22"/>
              </w:rPr>
              <w:t>7.4  Potential to expand to energy systems</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_Toc507145478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28</w:t>
            </w:r>
            <w:r w:rsidR="003F5A3D" w:rsidRPr="00A93476">
              <w:rPr>
                <w:noProof/>
                <w:webHidden/>
                <w:sz w:val="22"/>
                <w:szCs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79" w:history="1">
            <w:r w:rsidR="003F5A3D" w:rsidRPr="00A93476">
              <w:rPr>
                <w:rStyle w:val="Hyperlink"/>
                <w:rFonts w:eastAsia="Calibri"/>
                <w:noProof/>
                <w:sz w:val="22"/>
                <w:szCs w:val="22"/>
              </w:rPr>
              <w:t>7.5  Integrated products</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_Toc507145479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28</w:t>
            </w:r>
            <w:r w:rsidR="003F5A3D" w:rsidRPr="00A93476">
              <w:rPr>
                <w:noProof/>
                <w:webHidden/>
                <w:sz w:val="22"/>
                <w:szCs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80" w:history="1">
            <w:r w:rsidR="003F5A3D" w:rsidRPr="00A93476">
              <w:rPr>
                <w:rStyle w:val="Hyperlink"/>
                <w:rFonts w:eastAsia="Calibri"/>
                <w:noProof/>
                <w:sz w:val="22"/>
                <w:szCs w:val="22"/>
              </w:rPr>
              <w:t>7.6  International efficiency standards and testing</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_Toc507145480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29</w:t>
            </w:r>
            <w:r w:rsidR="003F5A3D" w:rsidRPr="00A93476">
              <w:rPr>
                <w:noProof/>
                <w:webHidden/>
                <w:sz w:val="22"/>
                <w:szCs w:val="22"/>
              </w:rPr>
              <w:fldChar w:fldCharType="end"/>
            </w:r>
          </w:hyperlink>
        </w:p>
        <w:p w:rsidR="003F5A3D" w:rsidRPr="00A93476" w:rsidRDefault="00064958" w:rsidP="00A93476">
          <w:pPr>
            <w:pStyle w:val="TOC2"/>
            <w:tabs>
              <w:tab w:val="clear" w:pos="7797"/>
              <w:tab w:val="clear" w:pos="8364"/>
              <w:tab w:val="clear" w:pos="10450"/>
              <w:tab w:val="right" w:leader="dot" w:pos="9072"/>
            </w:tabs>
            <w:rPr>
              <w:rFonts w:asciiTheme="minorHAnsi" w:eastAsiaTheme="minorEastAsia" w:hAnsiTheme="minorHAnsi" w:cstheme="minorBidi"/>
              <w:noProof/>
              <w:sz w:val="22"/>
              <w:szCs w:val="22"/>
              <w:lang w:eastAsia="en-AU"/>
            </w:rPr>
          </w:pPr>
          <w:hyperlink w:anchor="_Toc507145481" w:history="1">
            <w:r w:rsidR="003F5A3D" w:rsidRPr="00A93476">
              <w:rPr>
                <w:rStyle w:val="Hyperlink"/>
                <w:rFonts w:eastAsia="Calibri"/>
                <w:noProof/>
                <w:sz w:val="22"/>
                <w:szCs w:val="22"/>
              </w:rPr>
              <w:t>7.7  Consultation questions specific to this section</w:t>
            </w:r>
            <w:r w:rsidR="003F5A3D" w:rsidRPr="00A93476">
              <w:rPr>
                <w:noProof/>
                <w:webHidden/>
                <w:sz w:val="22"/>
                <w:szCs w:val="22"/>
              </w:rPr>
              <w:tab/>
            </w:r>
            <w:r w:rsidR="003F5A3D" w:rsidRPr="00A93476">
              <w:rPr>
                <w:noProof/>
                <w:webHidden/>
                <w:sz w:val="22"/>
                <w:szCs w:val="22"/>
              </w:rPr>
              <w:fldChar w:fldCharType="begin"/>
            </w:r>
            <w:r w:rsidR="003F5A3D" w:rsidRPr="00A93476">
              <w:rPr>
                <w:noProof/>
                <w:webHidden/>
                <w:sz w:val="22"/>
                <w:szCs w:val="22"/>
              </w:rPr>
              <w:instrText xml:space="preserve"> PAGEREF _Toc507145481 \h </w:instrText>
            </w:r>
            <w:r w:rsidR="003F5A3D" w:rsidRPr="00A93476">
              <w:rPr>
                <w:noProof/>
                <w:webHidden/>
                <w:sz w:val="22"/>
                <w:szCs w:val="22"/>
              </w:rPr>
            </w:r>
            <w:r w:rsidR="003F5A3D" w:rsidRPr="00A93476">
              <w:rPr>
                <w:noProof/>
                <w:webHidden/>
                <w:sz w:val="22"/>
                <w:szCs w:val="22"/>
              </w:rPr>
              <w:fldChar w:fldCharType="separate"/>
            </w:r>
            <w:r w:rsidR="00087484">
              <w:rPr>
                <w:noProof/>
                <w:webHidden/>
                <w:sz w:val="22"/>
                <w:szCs w:val="22"/>
              </w:rPr>
              <w:t>29</w:t>
            </w:r>
            <w:r w:rsidR="003F5A3D" w:rsidRPr="00A93476">
              <w:rPr>
                <w:noProof/>
                <w:webHidden/>
                <w:sz w:val="22"/>
                <w:szCs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82" w:history="1">
            <w:r w:rsidR="003F5A3D" w:rsidRPr="00A93476">
              <w:rPr>
                <w:rStyle w:val="Hyperlink"/>
                <w:sz w:val="22"/>
              </w:rPr>
              <w:t xml:space="preserve">8. </w:t>
            </w:r>
            <w:r w:rsidR="00A93476" w:rsidRPr="00A93476">
              <w:rPr>
                <w:rStyle w:val="Hyperlink"/>
                <w:sz w:val="22"/>
              </w:rPr>
              <w:tab/>
            </w:r>
            <w:r w:rsidR="003F5A3D" w:rsidRPr="00A93476">
              <w:rPr>
                <w:rStyle w:val="Hyperlink"/>
                <w:sz w:val="22"/>
              </w:rPr>
              <w:t>Consultation questions</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_Toc507145482 \h </w:instrText>
            </w:r>
            <w:r w:rsidR="003F5A3D" w:rsidRPr="00A93476">
              <w:rPr>
                <w:webHidden/>
                <w:sz w:val="22"/>
              </w:rPr>
            </w:r>
            <w:r w:rsidR="003F5A3D" w:rsidRPr="00A93476">
              <w:rPr>
                <w:webHidden/>
                <w:sz w:val="22"/>
              </w:rPr>
              <w:fldChar w:fldCharType="separate"/>
            </w:r>
            <w:r w:rsidR="00087484">
              <w:rPr>
                <w:webHidden/>
                <w:sz w:val="22"/>
              </w:rPr>
              <w:t>30</w:t>
            </w:r>
            <w:r w:rsidR="003F5A3D" w:rsidRPr="00A93476">
              <w:rPr>
                <w:webHidden/>
                <w:sz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83" w:history="1">
            <w:r w:rsidR="003F5A3D" w:rsidRPr="00A93476">
              <w:rPr>
                <w:rStyle w:val="Hyperlink"/>
                <w:sz w:val="22"/>
              </w:rPr>
              <w:t>9.</w:t>
            </w:r>
            <w:r w:rsidR="003F5A3D" w:rsidRPr="00A93476">
              <w:rPr>
                <w:rFonts w:asciiTheme="minorHAnsi" w:eastAsiaTheme="minorEastAsia" w:hAnsiTheme="minorHAnsi" w:cstheme="minorBidi"/>
                <w:color w:val="auto"/>
                <w:sz w:val="22"/>
                <w:lang w:val="en-AU" w:eastAsia="en-AU"/>
              </w:rPr>
              <w:tab/>
            </w:r>
            <w:r w:rsidR="003F5A3D" w:rsidRPr="00A93476">
              <w:rPr>
                <w:rStyle w:val="Hyperlink"/>
                <w:sz w:val="22"/>
              </w:rPr>
              <w:t>Next steps</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_Toc507145483 \h </w:instrText>
            </w:r>
            <w:r w:rsidR="003F5A3D" w:rsidRPr="00A93476">
              <w:rPr>
                <w:webHidden/>
                <w:sz w:val="22"/>
              </w:rPr>
            </w:r>
            <w:r w:rsidR="003F5A3D" w:rsidRPr="00A93476">
              <w:rPr>
                <w:webHidden/>
                <w:sz w:val="22"/>
              </w:rPr>
              <w:fldChar w:fldCharType="separate"/>
            </w:r>
            <w:r w:rsidR="00087484">
              <w:rPr>
                <w:webHidden/>
                <w:sz w:val="22"/>
              </w:rPr>
              <w:t>32</w:t>
            </w:r>
            <w:r w:rsidR="003F5A3D" w:rsidRPr="00A93476">
              <w:rPr>
                <w:webHidden/>
                <w:sz w:val="22"/>
              </w:rPr>
              <w:fldChar w:fldCharType="end"/>
            </w:r>
          </w:hyperlink>
        </w:p>
        <w:p w:rsidR="003F5A3D" w:rsidRPr="00A93476" w:rsidRDefault="00064958" w:rsidP="00A93476">
          <w:pPr>
            <w:pStyle w:val="TOC1"/>
            <w:rPr>
              <w:rFonts w:asciiTheme="minorHAnsi" w:eastAsiaTheme="minorEastAsia" w:hAnsiTheme="minorHAnsi" w:cstheme="minorBidi"/>
              <w:color w:val="auto"/>
              <w:sz w:val="22"/>
              <w:lang w:val="en-AU" w:eastAsia="en-AU"/>
            </w:rPr>
          </w:pPr>
          <w:hyperlink w:anchor="_Toc507145484" w:history="1">
            <w:r w:rsidR="003F5A3D" w:rsidRPr="00A93476">
              <w:rPr>
                <w:rStyle w:val="Hyperlink"/>
                <w:sz w:val="22"/>
              </w:rPr>
              <w:t>Appendix A: Terms of Reference</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_Toc507145484 \h </w:instrText>
            </w:r>
            <w:r w:rsidR="003F5A3D" w:rsidRPr="00A93476">
              <w:rPr>
                <w:webHidden/>
                <w:sz w:val="22"/>
              </w:rPr>
            </w:r>
            <w:r w:rsidR="003F5A3D" w:rsidRPr="00A93476">
              <w:rPr>
                <w:webHidden/>
                <w:sz w:val="22"/>
              </w:rPr>
              <w:fldChar w:fldCharType="separate"/>
            </w:r>
            <w:r w:rsidR="00087484">
              <w:rPr>
                <w:webHidden/>
                <w:sz w:val="22"/>
              </w:rPr>
              <w:t>33</w:t>
            </w:r>
            <w:r w:rsidR="003F5A3D" w:rsidRPr="00A93476">
              <w:rPr>
                <w:webHidden/>
                <w:sz w:val="22"/>
              </w:rPr>
              <w:fldChar w:fldCharType="end"/>
            </w:r>
          </w:hyperlink>
        </w:p>
        <w:p w:rsidR="009474B0" w:rsidRPr="00A93476" w:rsidRDefault="00064958" w:rsidP="00A93476">
          <w:pPr>
            <w:pStyle w:val="TOC1"/>
            <w:rPr>
              <w:sz w:val="22"/>
            </w:rPr>
          </w:pPr>
          <w:hyperlink w:anchor="_Toc507145485" w:history="1">
            <w:r w:rsidR="003F5A3D" w:rsidRPr="00A93476">
              <w:rPr>
                <w:rStyle w:val="Hyperlink"/>
                <w:sz w:val="22"/>
              </w:rPr>
              <w:t>Appendix B: GEMS impact calculations</w:t>
            </w:r>
            <w:r w:rsidR="003F5A3D" w:rsidRPr="00A93476">
              <w:rPr>
                <w:webHidden/>
                <w:sz w:val="22"/>
              </w:rPr>
              <w:tab/>
            </w:r>
            <w:r w:rsidR="003F5A3D" w:rsidRPr="00A93476">
              <w:rPr>
                <w:webHidden/>
                <w:sz w:val="22"/>
              </w:rPr>
              <w:fldChar w:fldCharType="begin"/>
            </w:r>
            <w:r w:rsidR="003F5A3D" w:rsidRPr="00A93476">
              <w:rPr>
                <w:webHidden/>
                <w:sz w:val="22"/>
              </w:rPr>
              <w:instrText xml:space="preserve"> PAGEREF _Toc507145485 \h </w:instrText>
            </w:r>
            <w:r w:rsidR="003F5A3D" w:rsidRPr="00A93476">
              <w:rPr>
                <w:webHidden/>
                <w:sz w:val="22"/>
              </w:rPr>
            </w:r>
            <w:r w:rsidR="003F5A3D" w:rsidRPr="00A93476">
              <w:rPr>
                <w:webHidden/>
                <w:sz w:val="22"/>
              </w:rPr>
              <w:fldChar w:fldCharType="separate"/>
            </w:r>
            <w:r w:rsidR="00087484">
              <w:rPr>
                <w:webHidden/>
                <w:sz w:val="22"/>
              </w:rPr>
              <w:t>35</w:t>
            </w:r>
            <w:r w:rsidR="003F5A3D" w:rsidRPr="00A93476">
              <w:rPr>
                <w:webHidden/>
                <w:sz w:val="22"/>
              </w:rPr>
              <w:fldChar w:fldCharType="end"/>
            </w:r>
          </w:hyperlink>
          <w:r w:rsidR="009474B0" w:rsidRPr="00A93476">
            <w:rPr>
              <w:rStyle w:val="Hyperlink"/>
              <w:sz w:val="22"/>
            </w:rPr>
            <w:fldChar w:fldCharType="end"/>
          </w:r>
        </w:p>
      </w:sdtContent>
    </w:sdt>
    <w:bookmarkEnd w:id="13"/>
    <w:bookmarkEnd w:id="15"/>
    <w:bookmarkEnd w:id="14"/>
    <w:p w:rsidR="0075170B" w:rsidRPr="00A93476" w:rsidRDefault="0075170B" w:rsidP="00586F84">
      <w:pPr>
        <w:rPr>
          <w:sz w:val="22"/>
          <w:szCs w:val="22"/>
        </w:rPr>
        <w:sectPr w:rsidR="0075170B" w:rsidRPr="00A93476" w:rsidSect="00831222">
          <w:headerReference w:type="even" r:id="rId17"/>
          <w:headerReference w:type="default" r:id="rId18"/>
          <w:footerReference w:type="default" r:id="rId19"/>
          <w:headerReference w:type="first" r:id="rId20"/>
          <w:pgSz w:w="11900" w:h="16840"/>
          <w:pgMar w:top="1440" w:right="720" w:bottom="720" w:left="720" w:header="720" w:footer="720" w:gutter="0"/>
          <w:pgNumType w:start="2"/>
          <w:cols w:space="720"/>
          <w:noEndnote/>
          <w:docGrid w:linePitch="272"/>
        </w:sectPr>
      </w:pPr>
    </w:p>
    <w:p w:rsidR="00434B52" w:rsidRPr="00434B52" w:rsidRDefault="00ED2CF5" w:rsidP="00586F84">
      <w:pPr>
        <w:pStyle w:val="Heading1"/>
      </w:pPr>
      <w:bookmarkStart w:id="16" w:name="_Toc477439918"/>
      <w:bookmarkStart w:id="17" w:name="_Toc501610433"/>
      <w:bookmarkStart w:id="18" w:name="_Toc507145438"/>
      <w:r>
        <w:t>List of abbreviations</w:t>
      </w:r>
      <w:bookmarkEnd w:id="16"/>
      <w:bookmarkEnd w:id="17"/>
      <w:bookmarkEnd w:id="18"/>
    </w:p>
    <w:tbl>
      <w:tblPr>
        <w:tblW w:w="0" w:type="auto"/>
        <w:tblLayout w:type="fixed"/>
        <w:tblCellMar>
          <w:left w:w="0" w:type="dxa"/>
          <w:right w:w="0" w:type="dxa"/>
        </w:tblCellMar>
        <w:tblLook w:val="0000" w:firstRow="0" w:lastRow="0" w:firstColumn="0" w:lastColumn="0" w:noHBand="0" w:noVBand="0"/>
      </w:tblPr>
      <w:tblGrid>
        <w:gridCol w:w="1814"/>
        <w:gridCol w:w="6973"/>
      </w:tblGrid>
      <w:tr w:rsidR="0006552E">
        <w:trPr>
          <w:trHeight w:val="60"/>
        </w:trPr>
        <w:tc>
          <w:tcPr>
            <w:tcW w:w="1814" w:type="dxa"/>
            <w:tcBorders>
              <w:top w:val="nil"/>
              <w:left w:val="nil"/>
              <w:bottom w:val="nil"/>
              <w:right w:val="nil"/>
            </w:tcBorders>
            <w:tcMar>
              <w:top w:w="125" w:type="dxa"/>
              <w:left w:w="0" w:type="dxa"/>
              <w:bottom w:w="125" w:type="dxa"/>
              <w:right w:w="0" w:type="dxa"/>
            </w:tcMar>
          </w:tcPr>
          <w:p w:rsidR="0006552E" w:rsidRPr="00982823" w:rsidRDefault="0006552E" w:rsidP="000663CD">
            <w:pPr>
              <w:pStyle w:val="Text"/>
              <w:spacing w:line="288" w:lineRule="auto"/>
            </w:pPr>
            <w:r>
              <w:t>AS</w:t>
            </w:r>
          </w:p>
        </w:tc>
        <w:tc>
          <w:tcPr>
            <w:tcW w:w="6973" w:type="dxa"/>
            <w:tcBorders>
              <w:top w:val="nil"/>
              <w:left w:val="nil"/>
              <w:bottom w:val="nil"/>
              <w:right w:val="nil"/>
            </w:tcBorders>
            <w:tcMar>
              <w:top w:w="125" w:type="dxa"/>
              <w:left w:w="0" w:type="dxa"/>
              <w:bottom w:w="125" w:type="dxa"/>
              <w:right w:w="0" w:type="dxa"/>
            </w:tcMar>
          </w:tcPr>
          <w:p w:rsidR="0006552E" w:rsidRPr="00BF3A95" w:rsidRDefault="0006552E" w:rsidP="000663CD">
            <w:pPr>
              <w:pStyle w:val="Text"/>
              <w:spacing w:line="288" w:lineRule="auto"/>
            </w:pPr>
            <w:r>
              <w:t>Australian Standard</w:t>
            </w:r>
          </w:p>
        </w:tc>
      </w:tr>
      <w:tr w:rsidR="000F032B">
        <w:trPr>
          <w:trHeight w:val="60"/>
        </w:trPr>
        <w:tc>
          <w:tcPr>
            <w:tcW w:w="1814" w:type="dxa"/>
            <w:tcBorders>
              <w:top w:val="nil"/>
              <w:left w:val="nil"/>
              <w:bottom w:val="nil"/>
              <w:right w:val="nil"/>
            </w:tcBorders>
            <w:tcMar>
              <w:top w:w="125" w:type="dxa"/>
              <w:left w:w="0" w:type="dxa"/>
              <w:bottom w:w="125" w:type="dxa"/>
              <w:right w:w="0" w:type="dxa"/>
            </w:tcMar>
          </w:tcPr>
          <w:p w:rsidR="000F032B" w:rsidRDefault="000F032B" w:rsidP="000663CD">
            <w:pPr>
              <w:pStyle w:val="Text"/>
              <w:spacing w:line="288" w:lineRule="auto"/>
            </w:pPr>
            <w:r w:rsidRPr="00982823">
              <w:t>COAG</w:t>
            </w:r>
          </w:p>
        </w:tc>
        <w:tc>
          <w:tcPr>
            <w:tcW w:w="6973" w:type="dxa"/>
            <w:tcBorders>
              <w:top w:val="nil"/>
              <w:left w:val="nil"/>
              <w:bottom w:val="nil"/>
              <w:right w:val="nil"/>
            </w:tcBorders>
            <w:tcMar>
              <w:top w:w="125" w:type="dxa"/>
              <w:left w:w="0" w:type="dxa"/>
              <w:bottom w:w="125" w:type="dxa"/>
              <w:right w:w="0" w:type="dxa"/>
            </w:tcMar>
          </w:tcPr>
          <w:p w:rsidR="000F032B" w:rsidRPr="00C45CBC" w:rsidRDefault="000F032B" w:rsidP="000663CD">
            <w:pPr>
              <w:pStyle w:val="Text"/>
              <w:spacing w:line="288" w:lineRule="auto"/>
            </w:pPr>
            <w:r w:rsidRPr="00BF3A95">
              <w:t>Council of Australian Governments</w:t>
            </w:r>
          </w:p>
        </w:tc>
      </w:tr>
      <w:tr w:rsidR="000F032B">
        <w:trPr>
          <w:trHeight w:val="60"/>
        </w:trPr>
        <w:tc>
          <w:tcPr>
            <w:tcW w:w="1814" w:type="dxa"/>
            <w:tcBorders>
              <w:top w:val="nil"/>
              <w:left w:val="nil"/>
              <w:bottom w:val="nil"/>
              <w:right w:val="nil"/>
            </w:tcBorders>
            <w:tcMar>
              <w:top w:w="125" w:type="dxa"/>
              <w:left w:w="0" w:type="dxa"/>
              <w:bottom w:w="125" w:type="dxa"/>
              <w:right w:w="0" w:type="dxa"/>
            </w:tcMar>
          </w:tcPr>
          <w:p w:rsidR="000F032B" w:rsidRDefault="000F032B" w:rsidP="000663CD">
            <w:pPr>
              <w:pStyle w:val="Text"/>
              <w:spacing w:line="288" w:lineRule="auto"/>
            </w:pPr>
            <w:r w:rsidRPr="001045AB">
              <w:t>E3</w:t>
            </w:r>
          </w:p>
        </w:tc>
        <w:tc>
          <w:tcPr>
            <w:tcW w:w="6973" w:type="dxa"/>
            <w:tcBorders>
              <w:top w:val="nil"/>
              <w:left w:val="nil"/>
              <w:bottom w:val="nil"/>
              <w:right w:val="nil"/>
            </w:tcBorders>
            <w:tcMar>
              <w:top w:w="125" w:type="dxa"/>
              <w:left w:w="0" w:type="dxa"/>
              <w:bottom w:w="125" w:type="dxa"/>
              <w:right w:w="0" w:type="dxa"/>
            </w:tcMar>
          </w:tcPr>
          <w:p w:rsidR="000F032B" w:rsidRPr="00C45CBC" w:rsidRDefault="000F032B" w:rsidP="000663CD">
            <w:pPr>
              <w:pStyle w:val="Text"/>
              <w:spacing w:line="288" w:lineRule="auto"/>
            </w:pPr>
            <w:r w:rsidRPr="0008735A">
              <w:t>Equipment Energy Efficiency</w:t>
            </w:r>
          </w:p>
        </w:tc>
      </w:tr>
      <w:tr w:rsidR="00434B52">
        <w:trPr>
          <w:trHeight w:val="60"/>
        </w:trPr>
        <w:tc>
          <w:tcPr>
            <w:tcW w:w="1814" w:type="dxa"/>
            <w:tcBorders>
              <w:top w:val="nil"/>
              <w:left w:val="nil"/>
              <w:bottom w:val="nil"/>
              <w:right w:val="nil"/>
            </w:tcBorders>
            <w:tcMar>
              <w:top w:w="125" w:type="dxa"/>
              <w:left w:w="0" w:type="dxa"/>
              <w:bottom w:w="125" w:type="dxa"/>
              <w:right w:w="0" w:type="dxa"/>
            </w:tcMar>
          </w:tcPr>
          <w:p w:rsidR="00434B52" w:rsidRPr="00C76299" w:rsidRDefault="00434B52" w:rsidP="000663CD">
            <w:pPr>
              <w:pStyle w:val="Text"/>
              <w:spacing w:line="288" w:lineRule="auto"/>
            </w:pPr>
            <w:r>
              <w:t>EEAT</w:t>
            </w:r>
          </w:p>
        </w:tc>
        <w:tc>
          <w:tcPr>
            <w:tcW w:w="6973" w:type="dxa"/>
            <w:tcBorders>
              <w:top w:val="nil"/>
              <w:left w:val="nil"/>
              <w:bottom w:val="nil"/>
              <w:right w:val="nil"/>
            </w:tcBorders>
            <w:tcMar>
              <w:top w:w="125" w:type="dxa"/>
              <w:left w:w="0" w:type="dxa"/>
              <w:bottom w:w="125" w:type="dxa"/>
              <w:right w:w="0" w:type="dxa"/>
            </w:tcMar>
          </w:tcPr>
          <w:p w:rsidR="00434B52" w:rsidRPr="00720E96" w:rsidRDefault="00434B52" w:rsidP="000F032B">
            <w:pPr>
              <w:pStyle w:val="Text"/>
              <w:spacing w:line="288" w:lineRule="auto"/>
            </w:pPr>
            <w:r>
              <w:t>Energy Efficiency Advisory Team</w:t>
            </w:r>
          </w:p>
        </w:tc>
      </w:tr>
      <w:tr w:rsidR="000F032B">
        <w:trPr>
          <w:trHeight w:val="60"/>
        </w:trPr>
        <w:tc>
          <w:tcPr>
            <w:tcW w:w="1814" w:type="dxa"/>
            <w:tcBorders>
              <w:top w:val="nil"/>
              <w:left w:val="nil"/>
              <w:bottom w:val="nil"/>
              <w:right w:val="nil"/>
            </w:tcBorders>
            <w:tcMar>
              <w:top w:w="125" w:type="dxa"/>
              <w:left w:w="0" w:type="dxa"/>
              <w:bottom w:w="125" w:type="dxa"/>
              <w:right w:w="0" w:type="dxa"/>
            </w:tcMar>
          </w:tcPr>
          <w:p w:rsidR="000F032B" w:rsidRPr="00A77F37" w:rsidRDefault="000F032B" w:rsidP="000663CD">
            <w:pPr>
              <w:pStyle w:val="Text"/>
              <w:spacing w:line="288" w:lineRule="auto"/>
            </w:pPr>
            <w:r w:rsidRPr="00C76299">
              <w:t>ERL</w:t>
            </w:r>
          </w:p>
        </w:tc>
        <w:tc>
          <w:tcPr>
            <w:tcW w:w="6973" w:type="dxa"/>
            <w:tcBorders>
              <w:top w:val="nil"/>
              <w:left w:val="nil"/>
              <w:bottom w:val="nil"/>
              <w:right w:val="nil"/>
            </w:tcBorders>
            <w:tcMar>
              <w:top w:w="125" w:type="dxa"/>
              <w:left w:w="0" w:type="dxa"/>
              <w:bottom w:w="125" w:type="dxa"/>
              <w:right w:w="0" w:type="dxa"/>
            </w:tcMar>
          </w:tcPr>
          <w:p w:rsidR="000F032B" w:rsidRDefault="000F032B" w:rsidP="000F032B">
            <w:pPr>
              <w:pStyle w:val="Text"/>
              <w:spacing w:line="288" w:lineRule="auto"/>
            </w:pPr>
            <w:r w:rsidRPr="00720E96">
              <w:t>Energy Rating Label</w:t>
            </w:r>
          </w:p>
        </w:tc>
      </w:tr>
      <w:tr w:rsidR="000F032B">
        <w:trPr>
          <w:trHeight w:val="60"/>
        </w:trPr>
        <w:tc>
          <w:tcPr>
            <w:tcW w:w="1814" w:type="dxa"/>
            <w:tcBorders>
              <w:top w:val="nil"/>
              <w:left w:val="nil"/>
              <w:bottom w:val="nil"/>
              <w:right w:val="nil"/>
            </w:tcBorders>
            <w:tcMar>
              <w:top w:w="125" w:type="dxa"/>
              <w:left w:w="0" w:type="dxa"/>
              <w:bottom w:w="125" w:type="dxa"/>
              <w:right w:w="0" w:type="dxa"/>
            </w:tcMar>
          </w:tcPr>
          <w:p w:rsidR="000F032B" w:rsidRDefault="000F032B" w:rsidP="00DD3AEB">
            <w:pPr>
              <w:pStyle w:val="Text"/>
              <w:spacing w:line="288" w:lineRule="auto"/>
            </w:pPr>
            <w:r>
              <w:t>GEMS</w:t>
            </w:r>
          </w:p>
        </w:tc>
        <w:tc>
          <w:tcPr>
            <w:tcW w:w="6973" w:type="dxa"/>
            <w:tcBorders>
              <w:top w:val="nil"/>
              <w:left w:val="nil"/>
              <w:bottom w:val="nil"/>
              <w:right w:val="nil"/>
            </w:tcBorders>
            <w:tcMar>
              <w:top w:w="125" w:type="dxa"/>
              <w:left w:w="0" w:type="dxa"/>
              <w:bottom w:w="125" w:type="dxa"/>
              <w:right w:w="0" w:type="dxa"/>
            </w:tcMar>
          </w:tcPr>
          <w:p w:rsidR="000F032B" w:rsidRPr="00C45CBC" w:rsidRDefault="000F032B" w:rsidP="00DD3AEB">
            <w:pPr>
              <w:pStyle w:val="Text"/>
              <w:spacing w:line="288" w:lineRule="auto"/>
            </w:pPr>
            <w:r w:rsidRPr="00C45CBC">
              <w:t>Greenhouse and Energy Minimum Standards</w:t>
            </w:r>
          </w:p>
        </w:tc>
      </w:tr>
      <w:tr w:rsidR="000F032B">
        <w:trPr>
          <w:trHeight w:val="60"/>
        </w:trPr>
        <w:tc>
          <w:tcPr>
            <w:tcW w:w="1814" w:type="dxa"/>
            <w:tcBorders>
              <w:top w:val="nil"/>
              <w:left w:val="nil"/>
              <w:bottom w:val="nil"/>
              <w:right w:val="nil"/>
            </w:tcBorders>
            <w:tcMar>
              <w:top w:w="125" w:type="dxa"/>
              <w:left w:w="0" w:type="dxa"/>
              <w:bottom w:w="125" w:type="dxa"/>
              <w:right w:w="0" w:type="dxa"/>
            </w:tcMar>
          </w:tcPr>
          <w:p w:rsidR="000F032B" w:rsidRPr="00A77F37" w:rsidRDefault="000F032B" w:rsidP="000663CD">
            <w:pPr>
              <w:pStyle w:val="Text"/>
              <w:spacing w:line="288" w:lineRule="auto"/>
            </w:pPr>
            <w:r w:rsidRPr="00453C5C">
              <w:t>MEPS</w:t>
            </w:r>
          </w:p>
        </w:tc>
        <w:tc>
          <w:tcPr>
            <w:tcW w:w="6973" w:type="dxa"/>
            <w:tcBorders>
              <w:top w:val="nil"/>
              <w:left w:val="nil"/>
              <w:bottom w:val="nil"/>
              <w:right w:val="nil"/>
            </w:tcBorders>
            <w:tcMar>
              <w:top w:w="125" w:type="dxa"/>
              <w:left w:w="0" w:type="dxa"/>
              <w:bottom w:w="125" w:type="dxa"/>
              <w:right w:w="0" w:type="dxa"/>
            </w:tcMar>
          </w:tcPr>
          <w:p w:rsidR="000F032B" w:rsidRDefault="000F032B" w:rsidP="007A5F7B">
            <w:pPr>
              <w:pStyle w:val="Text"/>
              <w:spacing w:line="288" w:lineRule="auto"/>
            </w:pPr>
            <w:r w:rsidRPr="003773BC">
              <w:t xml:space="preserve">Minimum Energy Performance Standards </w:t>
            </w:r>
          </w:p>
        </w:tc>
      </w:tr>
      <w:tr w:rsidR="000F032B">
        <w:trPr>
          <w:trHeight w:val="60"/>
        </w:trPr>
        <w:tc>
          <w:tcPr>
            <w:tcW w:w="1814" w:type="dxa"/>
            <w:tcBorders>
              <w:top w:val="nil"/>
              <w:left w:val="nil"/>
              <w:bottom w:val="nil"/>
              <w:right w:val="nil"/>
            </w:tcBorders>
            <w:tcMar>
              <w:top w:w="125" w:type="dxa"/>
              <w:left w:w="0" w:type="dxa"/>
              <w:bottom w:w="125" w:type="dxa"/>
              <w:right w:w="0" w:type="dxa"/>
            </w:tcMar>
          </w:tcPr>
          <w:p w:rsidR="000F032B" w:rsidRDefault="000F032B" w:rsidP="000663CD">
            <w:pPr>
              <w:pStyle w:val="Text"/>
              <w:spacing w:line="288" w:lineRule="auto"/>
            </w:pPr>
            <w:r w:rsidRPr="00B65C63">
              <w:t>the GEMS Act</w:t>
            </w:r>
          </w:p>
        </w:tc>
        <w:tc>
          <w:tcPr>
            <w:tcW w:w="6973" w:type="dxa"/>
            <w:tcBorders>
              <w:top w:val="nil"/>
              <w:left w:val="nil"/>
              <w:bottom w:val="nil"/>
              <w:right w:val="nil"/>
            </w:tcBorders>
            <w:tcMar>
              <w:top w:w="125" w:type="dxa"/>
              <w:left w:w="0" w:type="dxa"/>
              <w:bottom w:w="125" w:type="dxa"/>
              <w:right w:w="0" w:type="dxa"/>
            </w:tcMar>
          </w:tcPr>
          <w:p w:rsidR="000F032B" w:rsidRPr="00C45CBC" w:rsidRDefault="000F032B" w:rsidP="000663CD">
            <w:pPr>
              <w:pStyle w:val="Text"/>
              <w:spacing w:line="288" w:lineRule="auto"/>
            </w:pPr>
            <w:r w:rsidRPr="001A1F59">
              <w:t>The Greenhouse and Energy Minimum Standards Act 2012</w:t>
            </w:r>
          </w:p>
        </w:tc>
      </w:tr>
    </w:tbl>
    <w:p w:rsidR="0075170B" w:rsidRDefault="0075170B" w:rsidP="00DD3AEB">
      <w:pPr>
        <w:suppressAutoHyphens/>
        <w:spacing w:line="288" w:lineRule="auto"/>
        <w:rPr>
          <w:rFonts w:cs="MyriadPro-Regular"/>
          <w:color w:val="000000"/>
          <w:sz w:val="52"/>
          <w:szCs w:val="52"/>
          <w:lang w:val="en-US"/>
        </w:rPr>
      </w:pPr>
      <w:r>
        <w:br w:type="page"/>
      </w:r>
    </w:p>
    <w:p w:rsidR="00ED2CF5" w:rsidRPr="00E604BD" w:rsidRDefault="00D56D8D" w:rsidP="00DD3AEB">
      <w:pPr>
        <w:pStyle w:val="Heading1"/>
      </w:pPr>
      <w:bookmarkStart w:id="19" w:name="_Toc477439919"/>
      <w:bookmarkStart w:id="20" w:name="_Toc501610434"/>
      <w:bookmarkStart w:id="21" w:name="_Toc507145439"/>
      <w:r w:rsidRPr="00E604BD">
        <w:t>1.</w:t>
      </w:r>
      <w:r w:rsidRPr="00E604BD">
        <w:tab/>
      </w:r>
      <w:r w:rsidR="00ED2CF5" w:rsidRPr="00E604BD">
        <w:t>Introduction</w:t>
      </w:r>
      <w:bookmarkEnd w:id="19"/>
      <w:bookmarkEnd w:id="20"/>
      <w:bookmarkEnd w:id="21"/>
    </w:p>
    <w:p w:rsidR="00354426" w:rsidRDefault="00354426" w:rsidP="00354426">
      <w:pPr>
        <w:pStyle w:val="Heading2"/>
      </w:pPr>
      <w:bookmarkStart w:id="22" w:name="_Toc507145440"/>
      <w:proofErr w:type="gramStart"/>
      <w:r>
        <w:t xml:space="preserve">1.1  </w:t>
      </w:r>
      <w:r w:rsidRPr="004F3912">
        <w:t>Why</w:t>
      </w:r>
      <w:proofErr w:type="gramEnd"/>
      <w:r w:rsidRPr="004F3912">
        <w:t xml:space="preserve"> the review is being undertaken</w:t>
      </w:r>
      <w:bookmarkEnd w:id="22"/>
    </w:p>
    <w:p w:rsidR="00354426" w:rsidRDefault="00354426" w:rsidP="009B4493">
      <w:pPr>
        <w:suppressAutoHyphens/>
        <w:spacing w:after="120" w:line="288" w:lineRule="auto"/>
        <w:ind w:left="567"/>
        <w:rPr>
          <w:rFonts w:eastAsia="Calibri"/>
          <w:sz w:val="24"/>
          <w:szCs w:val="22"/>
        </w:rPr>
      </w:pPr>
      <w:r w:rsidRPr="0049287F">
        <w:rPr>
          <w:rFonts w:eastAsia="Calibri"/>
          <w:sz w:val="24"/>
          <w:szCs w:val="24"/>
        </w:rPr>
        <w:t xml:space="preserve">The </w:t>
      </w:r>
      <w:r w:rsidRPr="005F265D">
        <w:rPr>
          <w:rFonts w:eastAsia="Calibri"/>
          <w:i/>
          <w:sz w:val="24"/>
          <w:szCs w:val="24"/>
        </w:rPr>
        <w:t>Greenhouse and Energy Minimum Standards Act 2012</w:t>
      </w:r>
      <w:r w:rsidRPr="0049287F">
        <w:rPr>
          <w:rFonts w:eastAsia="Calibri"/>
          <w:sz w:val="24"/>
          <w:szCs w:val="24"/>
        </w:rPr>
        <w:t xml:space="preserve"> (the GEMS Act) came into effect on 1</w:t>
      </w:r>
      <w:r w:rsidRPr="00117E01">
        <w:rPr>
          <w:rFonts w:eastAsia="Calibri"/>
          <w:sz w:val="24"/>
          <w:szCs w:val="24"/>
        </w:rPr>
        <w:t> </w:t>
      </w:r>
      <w:r>
        <w:rPr>
          <w:rFonts w:eastAsia="Calibri"/>
          <w:sz w:val="24"/>
          <w:szCs w:val="24"/>
        </w:rPr>
        <w:t>October 2012</w:t>
      </w:r>
      <w:r w:rsidR="00820EB1" w:rsidRPr="007D7C2B">
        <w:rPr>
          <w:rFonts w:eastAsia="Calibri"/>
          <w:sz w:val="24"/>
          <w:szCs w:val="24"/>
        </w:rPr>
        <w:t>.</w:t>
      </w:r>
      <w:r w:rsidRPr="007D7C2B">
        <w:rPr>
          <w:rFonts w:eastAsia="Calibri"/>
          <w:sz w:val="24"/>
          <w:szCs w:val="24"/>
        </w:rPr>
        <w:t xml:space="preserve"> </w:t>
      </w:r>
      <w:r w:rsidR="00820EB1" w:rsidRPr="007D7C2B">
        <w:rPr>
          <w:rFonts w:eastAsia="Calibri"/>
          <w:sz w:val="24"/>
          <w:szCs w:val="22"/>
        </w:rPr>
        <w:t xml:space="preserve">Section 176 of the Act specifies </w:t>
      </w:r>
      <w:r w:rsidRPr="007D7C2B">
        <w:rPr>
          <w:rFonts w:eastAsia="Calibri"/>
          <w:sz w:val="24"/>
          <w:szCs w:val="22"/>
        </w:rPr>
        <w:t xml:space="preserve">a review of the operation of the Act </w:t>
      </w:r>
      <w:r w:rsidR="00820EB1" w:rsidRPr="007D7C2B">
        <w:rPr>
          <w:rFonts w:eastAsia="Calibri"/>
          <w:sz w:val="24"/>
          <w:szCs w:val="22"/>
        </w:rPr>
        <w:t>be commenced</w:t>
      </w:r>
      <w:r w:rsidR="00820EB1">
        <w:rPr>
          <w:rFonts w:eastAsia="Calibri"/>
          <w:sz w:val="24"/>
          <w:szCs w:val="22"/>
        </w:rPr>
        <w:t xml:space="preserve"> </w:t>
      </w:r>
      <w:r w:rsidRPr="00242ED2">
        <w:rPr>
          <w:rFonts w:eastAsia="Calibri"/>
          <w:sz w:val="24"/>
          <w:szCs w:val="22"/>
        </w:rPr>
        <w:t xml:space="preserve">as soon as possible after the fifth anniversary of its commencement date. </w:t>
      </w:r>
      <w:r w:rsidR="001C6D4F">
        <w:rPr>
          <w:rFonts w:eastAsia="Calibri"/>
          <w:sz w:val="24"/>
          <w:szCs w:val="22"/>
        </w:rPr>
        <w:t>This statutory requirement provides an opportunity to review the legislation at an early stage</w:t>
      </w:r>
      <w:r w:rsidR="006E2713">
        <w:rPr>
          <w:rFonts w:eastAsia="Calibri"/>
          <w:sz w:val="24"/>
          <w:szCs w:val="22"/>
        </w:rPr>
        <w:t xml:space="preserve"> and ensure its effectiveness</w:t>
      </w:r>
      <w:r w:rsidR="001C6D4F">
        <w:rPr>
          <w:rFonts w:eastAsia="Calibri"/>
          <w:sz w:val="24"/>
          <w:szCs w:val="22"/>
        </w:rPr>
        <w:t xml:space="preserve">. </w:t>
      </w:r>
      <w:r w:rsidRPr="001F55DB">
        <w:rPr>
          <w:rFonts w:eastAsia="Calibri"/>
          <w:sz w:val="24"/>
          <w:szCs w:val="22"/>
        </w:rPr>
        <w:t xml:space="preserve">As a program that is expected to continue well into the future, and face changing </w:t>
      </w:r>
      <w:r w:rsidR="00314198" w:rsidRPr="00DC08FC">
        <w:rPr>
          <w:rFonts w:eastAsia="Calibri"/>
          <w:sz w:val="24"/>
          <w:szCs w:val="22"/>
        </w:rPr>
        <w:t xml:space="preserve">market conditions and technology advancements, the </w:t>
      </w:r>
      <w:r w:rsidRPr="001F55DB">
        <w:rPr>
          <w:rFonts w:eastAsia="Calibri"/>
          <w:sz w:val="24"/>
          <w:szCs w:val="22"/>
        </w:rPr>
        <w:t xml:space="preserve">operation of the Act must </w:t>
      </w:r>
      <w:r w:rsidR="009B4493" w:rsidRPr="00DC08FC">
        <w:rPr>
          <w:rFonts w:eastAsia="Calibri"/>
          <w:sz w:val="24"/>
          <w:szCs w:val="22"/>
        </w:rPr>
        <w:t xml:space="preserve">also </w:t>
      </w:r>
      <w:r w:rsidRPr="001F55DB">
        <w:rPr>
          <w:rFonts w:eastAsia="Calibri"/>
          <w:sz w:val="24"/>
          <w:szCs w:val="22"/>
        </w:rPr>
        <w:t>be reviewed every ten years after the first review.</w:t>
      </w:r>
      <w:r w:rsidR="009B4493" w:rsidRPr="00DC08FC">
        <w:rPr>
          <w:rFonts w:eastAsia="Calibri"/>
          <w:sz w:val="24"/>
          <w:szCs w:val="22"/>
        </w:rPr>
        <w:t xml:space="preserve"> </w:t>
      </w:r>
    </w:p>
    <w:p w:rsidR="0049287F" w:rsidRPr="004F3912" w:rsidRDefault="00961E5D" w:rsidP="00DD3AEB">
      <w:pPr>
        <w:pStyle w:val="Heading2"/>
      </w:pPr>
      <w:bookmarkStart w:id="23" w:name="_Toc507145441"/>
      <w:proofErr w:type="gramStart"/>
      <w:r>
        <w:t>1</w:t>
      </w:r>
      <w:r w:rsidR="00354426">
        <w:t>.2</w:t>
      </w:r>
      <w:r>
        <w:t xml:space="preserve"> </w:t>
      </w:r>
      <w:r w:rsidR="00E604BD">
        <w:t xml:space="preserve"> </w:t>
      </w:r>
      <w:r w:rsidR="00D56D8D" w:rsidRPr="004F3912">
        <w:t>Purpose</w:t>
      </w:r>
      <w:proofErr w:type="gramEnd"/>
      <w:r w:rsidR="00D56D8D" w:rsidRPr="004F3912">
        <w:t xml:space="preserve"> of the legislation</w:t>
      </w:r>
      <w:bookmarkEnd w:id="23"/>
      <w:r w:rsidR="00D56D8D" w:rsidRPr="004F3912">
        <w:t xml:space="preserve"> </w:t>
      </w:r>
    </w:p>
    <w:p w:rsidR="0075295B" w:rsidRPr="00F15AAD" w:rsidRDefault="00DC4B44" w:rsidP="0075295B">
      <w:pPr>
        <w:suppressAutoHyphens/>
        <w:spacing w:after="200" w:line="288" w:lineRule="auto"/>
        <w:ind w:left="567"/>
        <w:rPr>
          <w:rFonts w:eastAsia="Calibri"/>
          <w:sz w:val="24"/>
          <w:szCs w:val="24"/>
        </w:rPr>
      </w:pPr>
      <w:r>
        <w:rPr>
          <w:rFonts w:eastAsia="Calibri"/>
          <w:sz w:val="24"/>
          <w:szCs w:val="24"/>
        </w:rPr>
        <w:t>The GEMS Act implemented a commitment by the Australian G</w:t>
      </w:r>
      <w:r w:rsidRPr="00DC4B44">
        <w:rPr>
          <w:rFonts w:eastAsia="Calibri"/>
          <w:sz w:val="24"/>
          <w:szCs w:val="24"/>
        </w:rPr>
        <w:t>overnment and the Council</w:t>
      </w:r>
      <w:r w:rsidR="00510E46">
        <w:rPr>
          <w:rFonts w:eastAsia="Calibri"/>
          <w:sz w:val="24"/>
          <w:szCs w:val="24"/>
        </w:rPr>
        <w:t> </w:t>
      </w:r>
      <w:r w:rsidRPr="00DC4B44">
        <w:rPr>
          <w:rFonts w:eastAsia="Calibri"/>
          <w:sz w:val="24"/>
          <w:szCs w:val="24"/>
        </w:rPr>
        <w:t>of</w:t>
      </w:r>
      <w:r w:rsidR="00510E46">
        <w:rPr>
          <w:rFonts w:eastAsia="Calibri"/>
          <w:sz w:val="24"/>
          <w:szCs w:val="24"/>
        </w:rPr>
        <w:t> </w:t>
      </w:r>
      <w:r w:rsidRPr="00DC4B44">
        <w:rPr>
          <w:rFonts w:eastAsia="Calibri"/>
          <w:sz w:val="24"/>
          <w:szCs w:val="24"/>
        </w:rPr>
        <w:t xml:space="preserve">Australian Governments (COAG) to </w:t>
      </w:r>
      <w:r w:rsidR="005B2213">
        <w:rPr>
          <w:rFonts w:eastAsia="Calibri"/>
          <w:sz w:val="24"/>
          <w:szCs w:val="24"/>
        </w:rPr>
        <w:t>establish national legislation to re</w:t>
      </w:r>
      <w:r w:rsidR="001F55DB">
        <w:rPr>
          <w:rFonts w:eastAsia="Calibri"/>
          <w:sz w:val="24"/>
          <w:szCs w:val="24"/>
        </w:rPr>
        <w:t>g</w:t>
      </w:r>
      <w:r w:rsidR="005B2213">
        <w:rPr>
          <w:rFonts w:eastAsia="Calibri"/>
          <w:sz w:val="24"/>
          <w:szCs w:val="24"/>
        </w:rPr>
        <w:t>ulate</w:t>
      </w:r>
      <w:r w:rsidR="001F55DB">
        <w:rPr>
          <w:rFonts w:eastAsia="Calibri"/>
          <w:sz w:val="24"/>
          <w:szCs w:val="24"/>
        </w:rPr>
        <w:t xml:space="preserve"> energy</w:t>
      </w:r>
      <w:r w:rsidR="005B2213">
        <w:rPr>
          <w:rFonts w:eastAsia="Calibri"/>
          <w:sz w:val="24"/>
          <w:szCs w:val="24"/>
        </w:rPr>
        <w:t xml:space="preserve"> efficie</w:t>
      </w:r>
      <w:r w:rsidR="00600845">
        <w:rPr>
          <w:rFonts w:eastAsia="Calibri"/>
          <w:sz w:val="24"/>
          <w:szCs w:val="24"/>
        </w:rPr>
        <w:t>ncy and labelling standards for</w:t>
      </w:r>
      <w:r w:rsidR="005B2213">
        <w:rPr>
          <w:rFonts w:eastAsia="Calibri"/>
          <w:sz w:val="24"/>
          <w:szCs w:val="24"/>
        </w:rPr>
        <w:t xml:space="preserve"> products</w:t>
      </w:r>
      <w:r w:rsidRPr="00DC4B44">
        <w:rPr>
          <w:rFonts w:eastAsia="Calibri"/>
          <w:sz w:val="24"/>
          <w:szCs w:val="24"/>
        </w:rPr>
        <w:t>.</w:t>
      </w:r>
      <w:r>
        <w:rPr>
          <w:rFonts w:eastAsia="Calibri"/>
          <w:sz w:val="24"/>
          <w:szCs w:val="24"/>
        </w:rPr>
        <w:t xml:space="preserve"> </w:t>
      </w:r>
      <w:r w:rsidR="00977568" w:rsidRPr="0049287F">
        <w:rPr>
          <w:rFonts w:eastAsia="Calibri"/>
          <w:sz w:val="24"/>
          <w:szCs w:val="24"/>
        </w:rPr>
        <w:t>The national framework replaced seven</w:t>
      </w:r>
      <w:r w:rsidR="00BB5A59">
        <w:rPr>
          <w:rFonts w:eastAsia="Calibri"/>
          <w:sz w:val="24"/>
          <w:szCs w:val="24"/>
        </w:rPr>
        <w:t xml:space="preserve"> separate</w:t>
      </w:r>
      <w:r w:rsidR="00977568" w:rsidRPr="0049287F">
        <w:rPr>
          <w:rFonts w:eastAsia="Calibri"/>
          <w:sz w:val="24"/>
          <w:szCs w:val="24"/>
        </w:rPr>
        <w:t xml:space="preserve"> state and territory legislative frameworks</w:t>
      </w:r>
      <w:r w:rsidR="00977568">
        <w:rPr>
          <w:rFonts w:eastAsia="Calibri"/>
          <w:sz w:val="24"/>
          <w:szCs w:val="24"/>
        </w:rPr>
        <w:t>.</w:t>
      </w:r>
      <w:r w:rsidR="0075295B">
        <w:rPr>
          <w:rFonts w:eastAsia="Calibri"/>
          <w:sz w:val="24"/>
          <w:szCs w:val="24"/>
        </w:rPr>
        <w:t xml:space="preserve"> </w:t>
      </w:r>
      <w:r w:rsidR="00434B52">
        <w:rPr>
          <w:rFonts w:eastAsia="Calibri"/>
          <w:sz w:val="24"/>
          <w:szCs w:val="24"/>
        </w:rPr>
        <w:t xml:space="preserve">See </w:t>
      </w:r>
      <w:r w:rsidR="00434B52">
        <w:rPr>
          <w:rFonts w:eastAsia="Calibri"/>
          <w:b/>
          <w:sz w:val="24"/>
          <w:szCs w:val="24"/>
        </w:rPr>
        <w:t>Box 1</w:t>
      </w:r>
      <w:r w:rsidR="00434B52">
        <w:rPr>
          <w:rFonts w:eastAsia="Calibri"/>
          <w:sz w:val="24"/>
          <w:szCs w:val="24"/>
        </w:rPr>
        <w:t xml:space="preserve"> in relation to the transition to the national regime</w:t>
      </w:r>
      <w:r w:rsidR="00354BA4">
        <w:rPr>
          <w:rFonts w:eastAsia="Calibri"/>
          <w:sz w:val="24"/>
          <w:szCs w:val="24"/>
        </w:rPr>
        <w:t>.</w:t>
      </w:r>
    </w:p>
    <w:p w:rsidR="002D53E1" w:rsidRPr="0049287F" w:rsidRDefault="002D53E1" w:rsidP="002D53E1">
      <w:pPr>
        <w:suppressAutoHyphens/>
        <w:spacing w:after="200" w:line="288" w:lineRule="auto"/>
        <w:ind w:left="567"/>
        <w:rPr>
          <w:rFonts w:eastAsia="Calibri"/>
          <w:sz w:val="24"/>
          <w:szCs w:val="24"/>
        </w:rPr>
      </w:pPr>
      <w:r w:rsidRPr="0049287F">
        <w:rPr>
          <w:rFonts w:eastAsia="Calibri"/>
          <w:sz w:val="24"/>
          <w:szCs w:val="24"/>
        </w:rPr>
        <w:t>The national legislation permits the Australian Government to set mandatory minimum efficiency requirements for products,</w:t>
      </w:r>
      <w:r>
        <w:rPr>
          <w:rFonts w:eastAsia="Calibri"/>
          <w:sz w:val="24"/>
          <w:szCs w:val="24"/>
        </w:rPr>
        <w:t xml:space="preserve"> which helps </w:t>
      </w:r>
      <w:r w:rsidRPr="0049287F">
        <w:rPr>
          <w:rFonts w:eastAsia="Calibri"/>
          <w:sz w:val="24"/>
          <w:szCs w:val="24"/>
        </w:rPr>
        <w:t xml:space="preserve">drive greater energy efficiency </w:t>
      </w:r>
      <w:r>
        <w:rPr>
          <w:rFonts w:eastAsia="Calibri"/>
          <w:sz w:val="24"/>
          <w:szCs w:val="24"/>
        </w:rPr>
        <w:t>and excludes the poorest performing products from the market</w:t>
      </w:r>
      <w:r w:rsidRPr="0049287F">
        <w:rPr>
          <w:rFonts w:eastAsia="Calibri"/>
          <w:sz w:val="24"/>
          <w:szCs w:val="24"/>
        </w:rPr>
        <w:t xml:space="preserve">. The GEMS Act also allows the Australian Government to set nationally-consistent labelling requirements, to increase Australians’ awareness of options to improve energy efficiency and reduce energy consumption, energy costs and greenhouse gas emissions. </w:t>
      </w:r>
    </w:p>
    <w:p w:rsidR="002D53E1" w:rsidRPr="00354BA4" w:rsidRDefault="002D53E1" w:rsidP="002D53E1">
      <w:pPr>
        <w:suppressAutoHyphens/>
        <w:spacing w:after="200" w:line="288" w:lineRule="auto"/>
        <w:ind w:left="567"/>
        <w:rPr>
          <w:rFonts w:eastAsia="Calibri"/>
          <w:sz w:val="24"/>
          <w:szCs w:val="24"/>
        </w:rPr>
      </w:pPr>
      <w:r w:rsidRPr="0049287F">
        <w:rPr>
          <w:rFonts w:eastAsia="Calibri"/>
          <w:sz w:val="24"/>
          <w:szCs w:val="24"/>
        </w:rPr>
        <w:t>The GEMS Act is the underpinning legislation for the Equipment Energy Efficiency (E3) Program. The E3 Program, which commenced in 1992, is a cross-jurisdictional program through which the Australian Government, state and territor</w:t>
      </w:r>
      <w:r>
        <w:rPr>
          <w:rFonts w:eastAsia="Calibri"/>
          <w:sz w:val="24"/>
          <w:szCs w:val="24"/>
        </w:rPr>
        <w:t>y governments</w:t>
      </w:r>
      <w:r w:rsidRPr="0049287F">
        <w:rPr>
          <w:rFonts w:eastAsia="Calibri"/>
          <w:sz w:val="24"/>
          <w:szCs w:val="24"/>
        </w:rPr>
        <w:t xml:space="preserve"> and the Ne</w:t>
      </w:r>
      <w:r w:rsidR="00510E46">
        <w:rPr>
          <w:rFonts w:eastAsia="Calibri"/>
          <w:sz w:val="24"/>
          <w:szCs w:val="24"/>
        </w:rPr>
        <w:t>w </w:t>
      </w:r>
      <w:r w:rsidRPr="0049287F">
        <w:rPr>
          <w:rFonts w:eastAsia="Calibri"/>
          <w:sz w:val="24"/>
          <w:szCs w:val="24"/>
        </w:rPr>
        <w:t>Zealand Government</w:t>
      </w:r>
      <w:r w:rsidR="00DE7AB5">
        <w:rPr>
          <w:rStyle w:val="FootnoteReference"/>
          <w:rFonts w:eastAsia="Calibri"/>
          <w:sz w:val="24"/>
          <w:szCs w:val="24"/>
        </w:rPr>
        <w:footnoteReference w:id="1"/>
      </w:r>
      <w:r w:rsidRPr="0049287F">
        <w:rPr>
          <w:rFonts w:eastAsia="Calibri"/>
          <w:sz w:val="24"/>
          <w:szCs w:val="24"/>
        </w:rPr>
        <w:t xml:space="preserve"> collaborate to deliver a single, integrated program on energy efficiency standards and energy labelling for equipment and appliances. The program</w:t>
      </w:r>
      <w:r>
        <w:rPr>
          <w:rFonts w:eastAsia="Calibri"/>
          <w:sz w:val="24"/>
          <w:szCs w:val="24"/>
        </w:rPr>
        <w:t xml:space="preserve"> currently </w:t>
      </w:r>
      <w:r w:rsidRPr="0049287F">
        <w:rPr>
          <w:rFonts w:eastAsia="Calibri"/>
          <w:sz w:val="24"/>
          <w:szCs w:val="24"/>
        </w:rPr>
        <w:t>regulates 2</w:t>
      </w:r>
      <w:r>
        <w:rPr>
          <w:rFonts w:eastAsia="Calibri"/>
          <w:sz w:val="24"/>
          <w:szCs w:val="24"/>
        </w:rPr>
        <w:t>2 </w:t>
      </w:r>
      <w:r w:rsidR="00434B52">
        <w:rPr>
          <w:rFonts w:eastAsia="Calibri"/>
          <w:sz w:val="24"/>
          <w:szCs w:val="24"/>
        </w:rPr>
        <w:t>products by way of</w:t>
      </w:r>
      <w:r w:rsidRPr="0049287F">
        <w:rPr>
          <w:rFonts w:eastAsia="Calibri"/>
          <w:sz w:val="24"/>
          <w:szCs w:val="24"/>
        </w:rPr>
        <w:t xml:space="preserve"> Minimum Energy Performance Standards</w:t>
      </w:r>
      <w:r>
        <w:rPr>
          <w:rFonts w:eastAsia="Calibri"/>
          <w:sz w:val="24"/>
          <w:szCs w:val="24"/>
        </w:rPr>
        <w:t xml:space="preserve"> (MEPS)</w:t>
      </w:r>
      <w:r w:rsidRPr="0049287F">
        <w:rPr>
          <w:rFonts w:eastAsia="Calibri"/>
          <w:sz w:val="24"/>
          <w:szCs w:val="24"/>
        </w:rPr>
        <w:t xml:space="preserve"> and the Energy Rating Label</w:t>
      </w:r>
      <w:r>
        <w:rPr>
          <w:rFonts w:eastAsia="Calibri"/>
          <w:sz w:val="24"/>
          <w:szCs w:val="24"/>
        </w:rPr>
        <w:t xml:space="preserve"> (ERL)</w:t>
      </w:r>
      <w:r w:rsidRPr="0049287F">
        <w:rPr>
          <w:rFonts w:eastAsia="Calibri"/>
          <w:sz w:val="24"/>
          <w:szCs w:val="24"/>
        </w:rPr>
        <w:t>.</w:t>
      </w:r>
    </w:p>
    <w:p w:rsidR="00DC4B44" w:rsidRDefault="00DC4B44">
      <w:pPr>
        <w:suppressAutoHyphens/>
        <w:spacing w:after="200" w:line="288" w:lineRule="auto"/>
        <w:ind w:left="567"/>
        <w:rPr>
          <w:rFonts w:eastAsia="Calibri"/>
          <w:sz w:val="24"/>
          <w:szCs w:val="24"/>
        </w:rPr>
      </w:pPr>
      <w:r w:rsidRPr="00DC4B44">
        <w:rPr>
          <w:rFonts w:eastAsia="Calibri"/>
          <w:sz w:val="24"/>
          <w:szCs w:val="24"/>
        </w:rPr>
        <w:t>The GEMS Act also g</w:t>
      </w:r>
      <w:r w:rsidR="007B7D11">
        <w:rPr>
          <w:rFonts w:eastAsia="Calibri"/>
          <w:sz w:val="24"/>
          <w:szCs w:val="24"/>
        </w:rPr>
        <w:t>ave</w:t>
      </w:r>
      <w:r w:rsidRPr="00DC4B44">
        <w:rPr>
          <w:rFonts w:eastAsia="Calibri"/>
          <w:sz w:val="24"/>
          <w:szCs w:val="24"/>
        </w:rPr>
        <w:t xml:space="preserve"> effect to certain commitments under the United Nations Framework Convention on Climate Change to adopt national policies and measures to mitigate climate change and limit Australia’s emissions of greenhouse gases. It aims to promote the development and application of technologies and practices that control emissions of greenhouse gases.</w:t>
      </w:r>
    </w:p>
    <w:p w:rsidR="005E6692" w:rsidRDefault="00724F5D" w:rsidP="00C5730F">
      <w:pPr>
        <w:suppressAutoHyphens/>
        <w:spacing w:after="120" w:line="288" w:lineRule="auto"/>
        <w:ind w:left="567"/>
      </w:pPr>
      <w:r>
        <w:rPr>
          <w:noProof/>
          <w:lang w:eastAsia="en-AU"/>
        </w:rPr>
        <mc:AlternateContent>
          <mc:Choice Requires="wps">
            <w:drawing>
              <wp:anchor distT="45720" distB="45720" distL="114300" distR="114300" simplePos="0" relativeHeight="251670528" behindDoc="0" locked="0" layoutInCell="1" allowOverlap="1" wp14:anchorId="0E0C965D" wp14:editId="13F12E74">
                <wp:simplePos x="0" y="0"/>
                <wp:positionH relativeFrom="column">
                  <wp:posOffset>321945</wp:posOffset>
                </wp:positionH>
                <wp:positionV relativeFrom="paragraph">
                  <wp:posOffset>340995</wp:posOffset>
                </wp:positionV>
                <wp:extent cx="6146165" cy="3609340"/>
                <wp:effectExtent l="0" t="0" r="26035"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609340"/>
                        </a:xfrm>
                        <a:prstGeom prst="rect">
                          <a:avLst/>
                        </a:prstGeom>
                        <a:solidFill>
                          <a:srgbClr val="FFFFFF"/>
                        </a:solidFill>
                        <a:ln w="9525">
                          <a:solidFill>
                            <a:srgbClr val="000000"/>
                          </a:solidFill>
                          <a:miter lim="800000"/>
                          <a:headEnd/>
                          <a:tailEnd/>
                        </a:ln>
                      </wps:spPr>
                      <wps:txbx>
                        <w:txbxContent>
                          <w:p w:rsidR="00E12B40" w:rsidRPr="00841A06" w:rsidRDefault="00E12B40" w:rsidP="00354BA4">
                            <w:pPr>
                              <w:suppressAutoHyphens/>
                              <w:spacing w:after="120" w:line="288" w:lineRule="auto"/>
                              <w:ind w:left="142"/>
                              <w:rPr>
                                <w:rFonts w:eastAsia="Calibri"/>
                                <w:b/>
                                <w:i/>
                              </w:rPr>
                            </w:pPr>
                            <w:r>
                              <w:rPr>
                                <w:rFonts w:eastAsia="Calibri"/>
                                <w:b/>
                                <w:sz w:val="24"/>
                                <w:szCs w:val="24"/>
                              </w:rPr>
                              <w:t>Box 1: Rationale for t</w:t>
                            </w:r>
                            <w:r w:rsidRPr="00FA3D21">
                              <w:rPr>
                                <w:rFonts w:eastAsia="Calibri"/>
                                <w:b/>
                                <w:sz w:val="24"/>
                                <w:szCs w:val="24"/>
                              </w:rPr>
                              <w:t>ransition to national legislation</w:t>
                            </w:r>
                            <w:r>
                              <w:rPr>
                                <w:rFonts w:eastAsia="Calibri"/>
                                <w:b/>
                                <w:sz w:val="24"/>
                                <w:szCs w:val="24"/>
                              </w:rPr>
                              <w:t xml:space="preserve"> </w:t>
                            </w:r>
                          </w:p>
                          <w:p w:rsidR="00E12B40" w:rsidRDefault="00E12B40" w:rsidP="00F853DE">
                            <w:pPr>
                              <w:suppressAutoHyphens/>
                              <w:spacing w:after="120" w:line="288" w:lineRule="auto"/>
                              <w:ind w:left="142"/>
                              <w:rPr>
                                <w:rFonts w:eastAsia="Calibri"/>
                                <w:sz w:val="24"/>
                                <w:szCs w:val="24"/>
                              </w:rPr>
                            </w:pPr>
                            <w:r w:rsidRPr="00E052F6">
                              <w:rPr>
                                <w:rFonts w:eastAsia="Calibri"/>
                                <w:sz w:val="24"/>
                                <w:szCs w:val="24"/>
                              </w:rPr>
                              <w:t xml:space="preserve">The evolving expansion of the </w:t>
                            </w:r>
                            <w:r>
                              <w:rPr>
                                <w:rFonts w:eastAsia="Calibri"/>
                                <w:sz w:val="24"/>
                                <w:szCs w:val="24"/>
                              </w:rPr>
                              <w:t>E3 P</w:t>
                            </w:r>
                            <w:r w:rsidRPr="00E052F6">
                              <w:rPr>
                                <w:rFonts w:eastAsia="Calibri"/>
                                <w:sz w:val="24"/>
                                <w:szCs w:val="24"/>
                              </w:rPr>
                              <w:t>rogram under separate state and territory laws resulted in inconsistencies which increased the regulatory burden for businesses and government agencies. These included</w:t>
                            </w:r>
                            <w:r>
                              <w:rPr>
                                <w:rFonts w:eastAsia="Calibri"/>
                                <w:sz w:val="24"/>
                                <w:szCs w:val="24"/>
                              </w:rPr>
                              <w:t>:</w:t>
                            </w:r>
                            <w:r w:rsidRPr="00E052F6">
                              <w:rPr>
                                <w:rFonts w:eastAsia="Calibri"/>
                                <w:sz w:val="24"/>
                                <w:szCs w:val="24"/>
                              </w:rPr>
                              <w:t xml:space="preserve"> </w:t>
                            </w:r>
                          </w:p>
                          <w:p w:rsidR="00E12B40" w:rsidRPr="00DC08FC" w:rsidRDefault="00E12B40" w:rsidP="00F853DE">
                            <w:pPr>
                              <w:pStyle w:val="ListBullet"/>
                              <w:tabs>
                                <w:tab w:val="clear" w:pos="360"/>
                                <w:tab w:val="num" w:pos="567"/>
                              </w:tabs>
                              <w:suppressAutoHyphens/>
                              <w:spacing w:after="120"/>
                              <w:ind w:left="567" w:hanging="425"/>
                              <w:contextualSpacing w:val="0"/>
                              <w:rPr>
                                <w:rFonts w:eastAsia="Calibri"/>
                                <w:sz w:val="24"/>
                              </w:rPr>
                            </w:pPr>
                            <w:r w:rsidRPr="00DC08FC">
                              <w:rPr>
                                <w:rFonts w:eastAsia="Calibri"/>
                                <w:sz w:val="24"/>
                              </w:rPr>
                              <w:t xml:space="preserve">a lack of coordination of the implementation date for agreed regulations </w:t>
                            </w:r>
                          </w:p>
                          <w:p w:rsidR="00E12B40" w:rsidRPr="00DC08FC" w:rsidRDefault="00E12B40" w:rsidP="00F853DE">
                            <w:pPr>
                              <w:pStyle w:val="ListBullet"/>
                              <w:tabs>
                                <w:tab w:val="clear" w:pos="360"/>
                                <w:tab w:val="num" w:pos="567"/>
                              </w:tabs>
                              <w:suppressAutoHyphens/>
                              <w:spacing w:after="120"/>
                              <w:ind w:left="567" w:hanging="425"/>
                              <w:contextualSpacing w:val="0"/>
                              <w:rPr>
                                <w:rFonts w:eastAsia="Calibri"/>
                                <w:sz w:val="24"/>
                              </w:rPr>
                            </w:pPr>
                            <w:r w:rsidRPr="00DC08FC">
                              <w:rPr>
                                <w:rFonts w:eastAsia="Calibri"/>
                                <w:sz w:val="24"/>
                              </w:rPr>
                              <w:t>some jurisdictions implementing requirements that were more stringent than n</w:t>
                            </w:r>
                            <w:r>
                              <w:rPr>
                                <w:rFonts w:eastAsia="Calibri"/>
                                <w:sz w:val="24"/>
                              </w:rPr>
                              <w:t>a</w:t>
                            </w:r>
                            <w:r w:rsidRPr="00DC08FC">
                              <w:rPr>
                                <w:rFonts w:eastAsia="Calibri"/>
                                <w:sz w:val="24"/>
                              </w:rPr>
                              <w:t xml:space="preserve">tionally agreed MEPS levels </w:t>
                            </w:r>
                          </w:p>
                          <w:p w:rsidR="00E12B40" w:rsidRPr="00DC08FC" w:rsidRDefault="00E12B40" w:rsidP="00F853DE">
                            <w:pPr>
                              <w:pStyle w:val="ListBullet"/>
                              <w:tabs>
                                <w:tab w:val="clear" w:pos="360"/>
                                <w:tab w:val="num" w:pos="567"/>
                              </w:tabs>
                              <w:suppressAutoHyphens/>
                              <w:spacing w:after="120"/>
                              <w:ind w:left="567" w:hanging="425"/>
                              <w:contextualSpacing w:val="0"/>
                              <w:rPr>
                                <w:rFonts w:eastAsia="Calibri"/>
                                <w:sz w:val="24"/>
                              </w:rPr>
                            </w:pPr>
                            <w:proofErr w:type="gramStart"/>
                            <w:r w:rsidRPr="00DC08FC">
                              <w:rPr>
                                <w:rFonts w:eastAsia="Calibri"/>
                                <w:sz w:val="24"/>
                              </w:rPr>
                              <w:t>differences</w:t>
                            </w:r>
                            <w:proofErr w:type="gramEnd"/>
                            <w:r w:rsidRPr="00DC08FC">
                              <w:rPr>
                                <w:rFonts w:eastAsia="Calibri"/>
                                <w:sz w:val="24"/>
                              </w:rPr>
                              <w:t xml:space="preserve"> in how registration, compliance and enforcement were dealt with b</w:t>
                            </w:r>
                            <w:r>
                              <w:rPr>
                                <w:rFonts w:eastAsia="Calibri"/>
                                <w:sz w:val="24"/>
                              </w:rPr>
                              <w:t>e</w:t>
                            </w:r>
                            <w:r w:rsidRPr="00DC08FC">
                              <w:rPr>
                                <w:rFonts w:eastAsia="Calibri"/>
                                <w:sz w:val="24"/>
                              </w:rPr>
                              <w:t>tween jurisdictions.</w:t>
                            </w:r>
                          </w:p>
                          <w:p w:rsidR="00E12B40" w:rsidRPr="00E052F6" w:rsidRDefault="00E12B40" w:rsidP="00F853DE">
                            <w:pPr>
                              <w:suppressAutoHyphens/>
                              <w:spacing w:after="200" w:line="288" w:lineRule="auto"/>
                              <w:ind w:left="142"/>
                              <w:rPr>
                                <w:rFonts w:eastAsia="Calibri"/>
                                <w:sz w:val="24"/>
                                <w:szCs w:val="24"/>
                              </w:rPr>
                            </w:pPr>
                            <w:r w:rsidRPr="00E052F6">
                              <w:rPr>
                                <w:rFonts w:eastAsia="Calibri"/>
                                <w:sz w:val="24"/>
                                <w:szCs w:val="24"/>
                              </w:rPr>
                              <w:t xml:space="preserve">These issues </w:t>
                            </w:r>
                            <w:r w:rsidRPr="00547C4C">
                              <w:rPr>
                                <w:rFonts w:eastAsia="Calibri"/>
                                <w:sz w:val="24"/>
                                <w:szCs w:val="24"/>
                              </w:rPr>
                              <w:t>resulted</w:t>
                            </w:r>
                            <w:r w:rsidRPr="00E052F6">
                              <w:rPr>
                                <w:rFonts w:eastAsia="Calibri"/>
                                <w:sz w:val="24"/>
                                <w:szCs w:val="24"/>
                              </w:rPr>
                              <w:t xml:space="preserve"> in delays in implementation, increased costs to industry and reduced benefits expected to flow to consumers. </w:t>
                            </w:r>
                          </w:p>
                          <w:p w:rsidR="00E12B40" w:rsidRDefault="00E12B40" w:rsidP="00F853DE">
                            <w:pPr>
                              <w:suppressAutoHyphens/>
                              <w:spacing w:after="200" w:line="288" w:lineRule="auto"/>
                              <w:ind w:left="142"/>
                              <w:rPr>
                                <w:rFonts w:eastAsia="Calibri"/>
                                <w:sz w:val="24"/>
                                <w:szCs w:val="24"/>
                              </w:rPr>
                            </w:pPr>
                            <w:r w:rsidRPr="00E052F6">
                              <w:rPr>
                                <w:rFonts w:eastAsia="Calibri"/>
                                <w:sz w:val="24"/>
                                <w:szCs w:val="24"/>
                              </w:rPr>
                              <w:t xml:space="preserve">In response to these problems, a Regulation Impact Statement (RIS) process </w:t>
                            </w:r>
                            <w:r>
                              <w:rPr>
                                <w:rFonts w:eastAsia="Calibri"/>
                                <w:sz w:val="24"/>
                                <w:szCs w:val="24"/>
                              </w:rPr>
                              <w:t>examined</w:t>
                            </w:r>
                            <w:r w:rsidRPr="00E052F6">
                              <w:rPr>
                                <w:rFonts w:eastAsia="Calibri"/>
                                <w:sz w:val="24"/>
                                <w:szCs w:val="24"/>
                              </w:rPr>
                              <w:t xml:space="preserve"> options to improve the regulatory framework. The RIS explored </w:t>
                            </w:r>
                            <w:r>
                              <w:rPr>
                                <w:rFonts w:eastAsia="Calibri"/>
                                <w:sz w:val="24"/>
                                <w:szCs w:val="24"/>
                              </w:rPr>
                              <w:t>several</w:t>
                            </w:r>
                            <w:r w:rsidRPr="00E052F6">
                              <w:rPr>
                                <w:rFonts w:eastAsia="Calibri"/>
                                <w:sz w:val="24"/>
                                <w:szCs w:val="24"/>
                              </w:rPr>
                              <w:t xml:space="preserve"> framework options a</w:t>
                            </w:r>
                            <w:r>
                              <w:rPr>
                                <w:rFonts w:eastAsia="Calibri"/>
                                <w:sz w:val="24"/>
                                <w:szCs w:val="24"/>
                              </w:rPr>
                              <w:t>nd concluded that the most cost-</w:t>
                            </w:r>
                            <w:r w:rsidRPr="00E052F6">
                              <w:rPr>
                                <w:rFonts w:eastAsia="Calibri"/>
                                <w:sz w:val="24"/>
                                <w:szCs w:val="24"/>
                              </w:rPr>
                              <w:t>effective option was to est</w:t>
                            </w:r>
                            <w:r>
                              <w:rPr>
                                <w:rFonts w:eastAsia="Calibri"/>
                                <w:sz w:val="24"/>
                                <w:szCs w:val="24"/>
                              </w:rPr>
                              <w:t>ablish a streamlined nationally-</w:t>
                            </w:r>
                            <w:r w:rsidRPr="00E052F6">
                              <w:rPr>
                                <w:rFonts w:eastAsia="Calibri"/>
                                <w:sz w:val="24"/>
                                <w:szCs w:val="24"/>
                              </w:rPr>
                              <w:t>consistent regulatory framework.</w:t>
                            </w:r>
                          </w:p>
                          <w:p w:rsidR="00E12B40" w:rsidRDefault="00E12B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C965D" id="_x0000_t202" coordsize="21600,21600" o:spt="202" path="m,l,21600r21600,l21600,xe">
                <v:stroke joinstyle="miter"/>
                <v:path gradientshapeok="t" o:connecttype="rect"/>
              </v:shapetype>
              <v:shape id="Text Box 2" o:spid="_x0000_s1026" type="#_x0000_t202" style="position:absolute;left:0;text-align:left;margin-left:25.35pt;margin-top:26.85pt;width:483.95pt;height:284.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3CJAIAAEUEAAAOAAAAZHJzL2Uyb0RvYy54bWysU9uO2yAQfa/Uf0C8N7Zz68aKs9pmm6rS&#10;9iLt9gMwxjEqMBRI7O3X74CzabRtX6rygBhmOMycM7O+HrQiR+G8BFPRYpJTIgyHRpp9Rb897N5c&#10;UeIDMw1TYERFH4Wn15vXr9a9LcUUOlCNcARBjC97W9EuBFtmmeed0MxPwAqDzhacZgFNt88ax3pE&#10;1yqb5vky68E11gEX3uPt7eikm4TftoKHL23rRSCqophbSLtLex33bLNm5d4x20l+SoP9QxaaSYOf&#10;nqFuWWDk4ORvUFpyBx7aMOGgM2hbyUWqAasp8hfV3HfMilQLkuPtmSb//2D55+NXR2RT0RklhmmU&#10;6EEMgbyDgUwjO731JQbdWwwLA16jyqlSb++Af/fEwLZjZi9unIO+E6zB7Ir4Mrt4OuL4CFL3n6DB&#10;b9ghQAIaWqcjdUgGQXRU6fGsTEyF4+WymC+L5YISjr7ZMl/N5km7jJXPz63z4YMATeKhog6lT/Ds&#10;eOdDTIeVzyHxNw9KNjupVDLcvt4qR44M22SXVqrgRZgypK/oajFdjAz8FSJP608QWgbsdyV1Ra/O&#10;QayMvL03TerGwKQaz5iyMiciI3cji2Goh5MwNTSPSKmDsa9xDvHQgftJSY89XVH/48CcoER9NCjL&#10;qpgjbSQkY754O0XDXXrqSw8zHKEqGigZj9uQBicSZuAG5WtlIjbqPGZyyhV7NfF9mqs4DJd2ivo1&#10;/ZsnAAAA//8DAFBLAwQUAAYACAAAACEAKubr3d8AAAAKAQAADwAAAGRycy9kb3ducmV2LnhtbEyP&#10;wU7DMBBE70j8g7VIXBC1k0IaQpwKIYHgBgXB1Y3dJMJeB9tNw9+zPcFptJrR7Jt6PTvLJhPi4FFC&#10;thDADLZeD9hJeH97uCyBxaRQK+vRSPgxEdbN6UmtKu0P+GqmTeoYlWCslIQ+pbHiPLa9cSou/GiQ&#10;vJ0PTiU6Q8d1UAcqd5bnQhTcqQHpQ69Gc9+b9muzdxLKq6fpMz4vXz7aYmdv0sVqevwOUp6fzXe3&#10;wJKZ018YjviEDg0xbf0edWRWwrVYUZJ0SXr0RVYWwLYSijzPgDc1/z+h+QUAAP//AwBQSwECLQAU&#10;AAYACAAAACEAtoM4kv4AAADhAQAAEwAAAAAAAAAAAAAAAAAAAAAAW0NvbnRlbnRfVHlwZXNdLnht&#10;bFBLAQItABQABgAIAAAAIQA4/SH/1gAAAJQBAAALAAAAAAAAAAAAAAAAAC8BAABfcmVscy8ucmVs&#10;c1BLAQItABQABgAIAAAAIQAJXe3CJAIAAEUEAAAOAAAAAAAAAAAAAAAAAC4CAABkcnMvZTJvRG9j&#10;LnhtbFBLAQItABQABgAIAAAAIQAq5uvd3wAAAAoBAAAPAAAAAAAAAAAAAAAAAH4EAABkcnMvZG93&#10;bnJldi54bWxQSwUGAAAAAAQABADzAAAAigUAAAAA&#10;">
                <v:textbox>
                  <w:txbxContent>
                    <w:p w:rsidR="00E12B40" w:rsidRPr="00841A06" w:rsidRDefault="00E12B40" w:rsidP="00354BA4">
                      <w:pPr>
                        <w:suppressAutoHyphens/>
                        <w:spacing w:after="120" w:line="288" w:lineRule="auto"/>
                        <w:ind w:left="142"/>
                        <w:rPr>
                          <w:rFonts w:eastAsia="Calibri"/>
                          <w:b/>
                          <w:i/>
                        </w:rPr>
                      </w:pPr>
                      <w:r>
                        <w:rPr>
                          <w:rFonts w:eastAsia="Calibri"/>
                          <w:b/>
                          <w:sz w:val="24"/>
                          <w:szCs w:val="24"/>
                        </w:rPr>
                        <w:t>Box 1: Rationale for t</w:t>
                      </w:r>
                      <w:r w:rsidRPr="00FA3D21">
                        <w:rPr>
                          <w:rFonts w:eastAsia="Calibri"/>
                          <w:b/>
                          <w:sz w:val="24"/>
                          <w:szCs w:val="24"/>
                        </w:rPr>
                        <w:t>ransition to national legislation</w:t>
                      </w:r>
                      <w:r>
                        <w:rPr>
                          <w:rFonts w:eastAsia="Calibri"/>
                          <w:b/>
                          <w:sz w:val="24"/>
                          <w:szCs w:val="24"/>
                        </w:rPr>
                        <w:t xml:space="preserve"> </w:t>
                      </w:r>
                    </w:p>
                    <w:p w:rsidR="00E12B40" w:rsidRDefault="00E12B40" w:rsidP="00F853DE">
                      <w:pPr>
                        <w:suppressAutoHyphens/>
                        <w:spacing w:after="120" w:line="288" w:lineRule="auto"/>
                        <w:ind w:left="142"/>
                        <w:rPr>
                          <w:rFonts w:eastAsia="Calibri"/>
                          <w:sz w:val="24"/>
                          <w:szCs w:val="24"/>
                        </w:rPr>
                      </w:pPr>
                      <w:r w:rsidRPr="00E052F6">
                        <w:rPr>
                          <w:rFonts w:eastAsia="Calibri"/>
                          <w:sz w:val="24"/>
                          <w:szCs w:val="24"/>
                        </w:rPr>
                        <w:t xml:space="preserve">The evolving expansion of the </w:t>
                      </w:r>
                      <w:r>
                        <w:rPr>
                          <w:rFonts w:eastAsia="Calibri"/>
                          <w:sz w:val="24"/>
                          <w:szCs w:val="24"/>
                        </w:rPr>
                        <w:t>E3 P</w:t>
                      </w:r>
                      <w:r w:rsidRPr="00E052F6">
                        <w:rPr>
                          <w:rFonts w:eastAsia="Calibri"/>
                          <w:sz w:val="24"/>
                          <w:szCs w:val="24"/>
                        </w:rPr>
                        <w:t>rogram under separate state and territory laws resulted in inconsistencies which increased the regulatory burden for businesses and government agencies. These included</w:t>
                      </w:r>
                      <w:r>
                        <w:rPr>
                          <w:rFonts w:eastAsia="Calibri"/>
                          <w:sz w:val="24"/>
                          <w:szCs w:val="24"/>
                        </w:rPr>
                        <w:t>:</w:t>
                      </w:r>
                      <w:r w:rsidRPr="00E052F6">
                        <w:rPr>
                          <w:rFonts w:eastAsia="Calibri"/>
                          <w:sz w:val="24"/>
                          <w:szCs w:val="24"/>
                        </w:rPr>
                        <w:t xml:space="preserve"> </w:t>
                      </w:r>
                    </w:p>
                    <w:p w:rsidR="00E12B40" w:rsidRPr="00DC08FC" w:rsidRDefault="00E12B40" w:rsidP="00F853DE">
                      <w:pPr>
                        <w:pStyle w:val="ListBullet"/>
                        <w:tabs>
                          <w:tab w:val="clear" w:pos="360"/>
                          <w:tab w:val="num" w:pos="567"/>
                        </w:tabs>
                        <w:suppressAutoHyphens/>
                        <w:spacing w:after="120"/>
                        <w:ind w:left="567" w:hanging="425"/>
                        <w:contextualSpacing w:val="0"/>
                        <w:rPr>
                          <w:rFonts w:eastAsia="Calibri"/>
                          <w:sz w:val="24"/>
                        </w:rPr>
                      </w:pPr>
                      <w:r w:rsidRPr="00DC08FC">
                        <w:rPr>
                          <w:rFonts w:eastAsia="Calibri"/>
                          <w:sz w:val="24"/>
                        </w:rPr>
                        <w:t xml:space="preserve">a lack of coordination of the implementation date for agreed regulations </w:t>
                      </w:r>
                    </w:p>
                    <w:p w:rsidR="00E12B40" w:rsidRPr="00DC08FC" w:rsidRDefault="00E12B40" w:rsidP="00F853DE">
                      <w:pPr>
                        <w:pStyle w:val="ListBullet"/>
                        <w:tabs>
                          <w:tab w:val="clear" w:pos="360"/>
                          <w:tab w:val="num" w:pos="567"/>
                        </w:tabs>
                        <w:suppressAutoHyphens/>
                        <w:spacing w:after="120"/>
                        <w:ind w:left="567" w:hanging="425"/>
                        <w:contextualSpacing w:val="0"/>
                        <w:rPr>
                          <w:rFonts w:eastAsia="Calibri"/>
                          <w:sz w:val="24"/>
                        </w:rPr>
                      </w:pPr>
                      <w:r w:rsidRPr="00DC08FC">
                        <w:rPr>
                          <w:rFonts w:eastAsia="Calibri"/>
                          <w:sz w:val="24"/>
                        </w:rPr>
                        <w:t>some jurisdictions implementing requirements that were more stringent than n</w:t>
                      </w:r>
                      <w:r>
                        <w:rPr>
                          <w:rFonts w:eastAsia="Calibri"/>
                          <w:sz w:val="24"/>
                        </w:rPr>
                        <w:t>a</w:t>
                      </w:r>
                      <w:r w:rsidRPr="00DC08FC">
                        <w:rPr>
                          <w:rFonts w:eastAsia="Calibri"/>
                          <w:sz w:val="24"/>
                        </w:rPr>
                        <w:t xml:space="preserve">tionally agreed MEPS levels </w:t>
                      </w:r>
                    </w:p>
                    <w:p w:rsidR="00E12B40" w:rsidRPr="00DC08FC" w:rsidRDefault="00E12B40" w:rsidP="00F853DE">
                      <w:pPr>
                        <w:pStyle w:val="ListBullet"/>
                        <w:tabs>
                          <w:tab w:val="clear" w:pos="360"/>
                          <w:tab w:val="num" w:pos="567"/>
                        </w:tabs>
                        <w:suppressAutoHyphens/>
                        <w:spacing w:after="120"/>
                        <w:ind w:left="567" w:hanging="425"/>
                        <w:contextualSpacing w:val="0"/>
                        <w:rPr>
                          <w:rFonts w:eastAsia="Calibri"/>
                          <w:sz w:val="24"/>
                        </w:rPr>
                      </w:pPr>
                      <w:r w:rsidRPr="00DC08FC">
                        <w:rPr>
                          <w:rFonts w:eastAsia="Calibri"/>
                          <w:sz w:val="24"/>
                        </w:rPr>
                        <w:t>differences in how registration, compliance and enforcement were dealt with b</w:t>
                      </w:r>
                      <w:r>
                        <w:rPr>
                          <w:rFonts w:eastAsia="Calibri"/>
                          <w:sz w:val="24"/>
                        </w:rPr>
                        <w:t>e</w:t>
                      </w:r>
                      <w:r w:rsidRPr="00DC08FC">
                        <w:rPr>
                          <w:rFonts w:eastAsia="Calibri"/>
                          <w:sz w:val="24"/>
                        </w:rPr>
                        <w:t>tween jurisdictions.</w:t>
                      </w:r>
                    </w:p>
                    <w:p w:rsidR="00E12B40" w:rsidRPr="00E052F6" w:rsidRDefault="00E12B40" w:rsidP="00F853DE">
                      <w:pPr>
                        <w:suppressAutoHyphens/>
                        <w:spacing w:after="200" w:line="288" w:lineRule="auto"/>
                        <w:ind w:left="142"/>
                        <w:rPr>
                          <w:rFonts w:eastAsia="Calibri"/>
                          <w:sz w:val="24"/>
                          <w:szCs w:val="24"/>
                        </w:rPr>
                      </w:pPr>
                      <w:r w:rsidRPr="00E052F6">
                        <w:rPr>
                          <w:rFonts w:eastAsia="Calibri"/>
                          <w:sz w:val="24"/>
                          <w:szCs w:val="24"/>
                        </w:rPr>
                        <w:t xml:space="preserve">These issues </w:t>
                      </w:r>
                      <w:r w:rsidRPr="00547C4C">
                        <w:rPr>
                          <w:rFonts w:eastAsia="Calibri"/>
                          <w:sz w:val="24"/>
                          <w:szCs w:val="24"/>
                        </w:rPr>
                        <w:t>resulted</w:t>
                      </w:r>
                      <w:r w:rsidRPr="00E052F6">
                        <w:rPr>
                          <w:rFonts w:eastAsia="Calibri"/>
                          <w:sz w:val="24"/>
                          <w:szCs w:val="24"/>
                        </w:rPr>
                        <w:t xml:space="preserve"> in delays in implementation, increased costs to industry and reduced benefits expected to flow to consumers. </w:t>
                      </w:r>
                    </w:p>
                    <w:p w:rsidR="00E12B40" w:rsidRDefault="00E12B40" w:rsidP="00F853DE">
                      <w:pPr>
                        <w:suppressAutoHyphens/>
                        <w:spacing w:after="200" w:line="288" w:lineRule="auto"/>
                        <w:ind w:left="142"/>
                        <w:rPr>
                          <w:rFonts w:eastAsia="Calibri"/>
                          <w:sz w:val="24"/>
                          <w:szCs w:val="24"/>
                        </w:rPr>
                      </w:pPr>
                      <w:r w:rsidRPr="00E052F6">
                        <w:rPr>
                          <w:rFonts w:eastAsia="Calibri"/>
                          <w:sz w:val="24"/>
                          <w:szCs w:val="24"/>
                        </w:rPr>
                        <w:t xml:space="preserve">In response to these problems, a Regulation Impact Statement (RIS) process </w:t>
                      </w:r>
                      <w:r>
                        <w:rPr>
                          <w:rFonts w:eastAsia="Calibri"/>
                          <w:sz w:val="24"/>
                          <w:szCs w:val="24"/>
                        </w:rPr>
                        <w:t>examined</w:t>
                      </w:r>
                      <w:r w:rsidRPr="00E052F6">
                        <w:rPr>
                          <w:rFonts w:eastAsia="Calibri"/>
                          <w:sz w:val="24"/>
                          <w:szCs w:val="24"/>
                        </w:rPr>
                        <w:t xml:space="preserve"> options to improve the regulatory framework. The RIS explored </w:t>
                      </w:r>
                      <w:r>
                        <w:rPr>
                          <w:rFonts w:eastAsia="Calibri"/>
                          <w:sz w:val="24"/>
                          <w:szCs w:val="24"/>
                        </w:rPr>
                        <w:t>several</w:t>
                      </w:r>
                      <w:r w:rsidRPr="00E052F6">
                        <w:rPr>
                          <w:rFonts w:eastAsia="Calibri"/>
                          <w:sz w:val="24"/>
                          <w:szCs w:val="24"/>
                        </w:rPr>
                        <w:t xml:space="preserve"> framework options a</w:t>
                      </w:r>
                      <w:r>
                        <w:rPr>
                          <w:rFonts w:eastAsia="Calibri"/>
                          <w:sz w:val="24"/>
                          <w:szCs w:val="24"/>
                        </w:rPr>
                        <w:t>nd concluded that the most cost-</w:t>
                      </w:r>
                      <w:r w:rsidRPr="00E052F6">
                        <w:rPr>
                          <w:rFonts w:eastAsia="Calibri"/>
                          <w:sz w:val="24"/>
                          <w:szCs w:val="24"/>
                        </w:rPr>
                        <w:t>effective option was to est</w:t>
                      </w:r>
                      <w:r>
                        <w:rPr>
                          <w:rFonts w:eastAsia="Calibri"/>
                          <w:sz w:val="24"/>
                          <w:szCs w:val="24"/>
                        </w:rPr>
                        <w:t>ablish a streamlined nationally-</w:t>
                      </w:r>
                      <w:r w:rsidRPr="00E052F6">
                        <w:rPr>
                          <w:rFonts w:eastAsia="Calibri"/>
                          <w:sz w:val="24"/>
                          <w:szCs w:val="24"/>
                        </w:rPr>
                        <w:t>consistent regulatory framework.</w:t>
                      </w:r>
                    </w:p>
                    <w:p w:rsidR="00E12B40" w:rsidRDefault="00E12B40"/>
                  </w:txbxContent>
                </v:textbox>
                <w10:wrap type="square"/>
              </v:shape>
            </w:pict>
          </mc:Fallback>
        </mc:AlternateContent>
      </w:r>
      <w:r w:rsidR="00354426">
        <w:rPr>
          <w:rFonts w:eastAsia="Calibri"/>
          <w:sz w:val="24"/>
          <w:szCs w:val="24"/>
        </w:rPr>
        <w:t xml:space="preserve">A copy of the GEMS Act is available at </w:t>
      </w:r>
      <w:hyperlink r:id="rId21" w:history="1">
        <w:r w:rsidR="00354426" w:rsidRPr="00192B37">
          <w:rPr>
            <w:rStyle w:val="Hyperlink"/>
            <w:rFonts w:eastAsia="Calibri"/>
            <w:sz w:val="24"/>
            <w:szCs w:val="24"/>
          </w:rPr>
          <w:t>https://www.legislation.gov.au/Details/C2012A00132</w:t>
        </w:r>
      </w:hyperlink>
    </w:p>
    <w:p w:rsidR="005F49C4" w:rsidRDefault="005F49C4">
      <w:pPr>
        <w:rPr>
          <w:rFonts w:cs="MyriadPro-Regular"/>
          <w:color w:val="000000"/>
          <w:sz w:val="32"/>
          <w:szCs w:val="28"/>
          <w:lang w:val="en-GB"/>
        </w:rPr>
      </w:pPr>
      <w:r>
        <w:br w:type="page"/>
      </w:r>
    </w:p>
    <w:p w:rsidR="00C45CBC" w:rsidRDefault="00BF36B6">
      <w:pPr>
        <w:pStyle w:val="Heading2"/>
      </w:pPr>
      <w:bookmarkStart w:id="24" w:name="_Toc507145442"/>
      <w:proofErr w:type="gramStart"/>
      <w:r>
        <w:t>1.3</w:t>
      </w:r>
      <w:r w:rsidR="00961E5D">
        <w:t xml:space="preserve"> </w:t>
      </w:r>
      <w:r w:rsidR="00E604BD">
        <w:t xml:space="preserve"> </w:t>
      </w:r>
      <w:r w:rsidR="00C45CBC" w:rsidRPr="004F3912">
        <w:t>Terms</w:t>
      </w:r>
      <w:proofErr w:type="gramEnd"/>
      <w:r w:rsidR="00C45CBC" w:rsidRPr="004F3912">
        <w:t xml:space="preserve"> of Reference</w:t>
      </w:r>
      <w:r w:rsidR="00E1244C">
        <w:t xml:space="preserve"> and methodology</w:t>
      </w:r>
      <w:bookmarkEnd w:id="24"/>
    </w:p>
    <w:p w:rsidR="00242ED2" w:rsidRPr="009474B0" w:rsidRDefault="00242ED2" w:rsidP="009474B0">
      <w:pPr>
        <w:spacing w:after="120"/>
        <w:ind w:left="567"/>
        <w:rPr>
          <w:b/>
          <w:sz w:val="24"/>
        </w:rPr>
      </w:pPr>
      <w:r w:rsidRPr="009474B0">
        <w:rPr>
          <w:b/>
          <w:sz w:val="24"/>
        </w:rPr>
        <w:t>Scope</w:t>
      </w:r>
    </w:p>
    <w:p w:rsidR="00242ED2" w:rsidRPr="00242ED2" w:rsidRDefault="00242ED2" w:rsidP="00DD3AEB">
      <w:pPr>
        <w:suppressAutoHyphens/>
        <w:spacing w:after="120" w:line="288" w:lineRule="auto"/>
        <w:ind w:left="993" w:hanging="426"/>
        <w:rPr>
          <w:rFonts w:eastAsia="Calibri"/>
          <w:sz w:val="24"/>
          <w:szCs w:val="22"/>
        </w:rPr>
      </w:pPr>
      <w:r w:rsidRPr="00242ED2">
        <w:rPr>
          <w:rFonts w:eastAsia="Calibri"/>
          <w:sz w:val="24"/>
          <w:szCs w:val="22"/>
        </w:rPr>
        <w:t xml:space="preserve">The review will evaluate, </w:t>
      </w:r>
      <w:proofErr w:type="gramStart"/>
      <w:r w:rsidRPr="00242ED2">
        <w:rPr>
          <w:rFonts w:eastAsia="Calibri"/>
          <w:sz w:val="24"/>
          <w:szCs w:val="22"/>
        </w:rPr>
        <w:t>advise</w:t>
      </w:r>
      <w:proofErr w:type="gramEnd"/>
      <w:r w:rsidRPr="00242ED2">
        <w:rPr>
          <w:rFonts w:eastAsia="Calibri"/>
          <w:sz w:val="24"/>
          <w:szCs w:val="22"/>
        </w:rPr>
        <w:t xml:space="preserve"> and report on:</w:t>
      </w:r>
    </w:p>
    <w:p w:rsidR="00242ED2" w:rsidRPr="00242ED2" w:rsidRDefault="00242ED2" w:rsidP="009A3738">
      <w:pPr>
        <w:numPr>
          <w:ilvl w:val="0"/>
          <w:numId w:val="2"/>
        </w:numPr>
        <w:suppressAutoHyphens/>
        <w:spacing w:after="120" w:line="288" w:lineRule="auto"/>
        <w:ind w:left="993" w:hanging="426"/>
        <w:rPr>
          <w:rFonts w:eastAsia="Calibri"/>
          <w:sz w:val="24"/>
          <w:szCs w:val="22"/>
        </w:rPr>
      </w:pPr>
      <w:r w:rsidRPr="00242ED2">
        <w:rPr>
          <w:rFonts w:eastAsia="Calibri"/>
          <w:sz w:val="24"/>
          <w:szCs w:val="22"/>
        </w:rPr>
        <w:t>The extent to which the framework (including systems and procedures) established by the GEMS Act is achieving its purpose.</w:t>
      </w:r>
    </w:p>
    <w:p w:rsidR="00242ED2" w:rsidRPr="00242ED2" w:rsidRDefault="00242ED2" w:rsidP="009A3738">
      <w:pPr>
        <w:numPr>
          <w:ilvl w:val="0"/>
          <w:numId w:val="2"/>
        </w:numPr>
        <w:suppressAutoHyphens/>
        <w:spacing w:after="120" w:line="288" w:lineRule="auto"/>
        <w:ind w:left="993" w:hanging="426"/>
        <w:rPr>
          <w:rFonts w:eastAsia="Calibri"/>
          <w:sz w:val="24"/>
          <w:szCs w:val="22"/>
        </w:rPr>
      </w:pPr>
      <w:r w:rsidRPr="00242ED2">
        <w:rPr>
          <w:rFonts w:eastAsia="Calibri"/>
          <w:sz w:val="24"/>
          <w:szCs w:val="22"/>
        </w:rPr>
        <w:t>Improvements that could be made to the operation of the GEMS Act, including any costs and impacts on stakeholders.</w:t>
      </w:r>
    </w:p>
    <w:p w:rsidR="00242ED2" w:rsidRPr="00242ED2" w:rsidRDefault="00242ED2" w:rsidP="009A3738">
      <w:pPr>
        <w:numPr>
          <w:ilvl w:val="1"/>
          <w:numId w:val="2"/>
        </w:numPr>
        <w:suppressAutoHyphens/>
        <w:spacing w:after="120" w:line="288" w:lineRule="auto"/>
        <w:ind w:left="1418" w:hanging="425"/>
        <w:rPr>
          <w:rFonts w:eastAsia="Calibri"/>
          <w:sz w:val="24"/>
          <w:szCs w:val="22"/>
        </w:rPr>
      </w:pPr>
      <w:r w:rsidRPr="00242ED2">
        <w:rPr>
          <w:rFonts w:eastAsia="Calibri"/>
          <w:sz w:val="24"/>
          <w:szCs w:val="22"/>
        </w:rPr>
        <w:t>Particular attention should be given to improvements that will lead to an increased reduction in greenhouse gas emissions.</w:t>
      </w:r>
    </w:p>
    <w:p w:rsidR="00242ED2" w:rsidRPr="00242ED2" w:rsidRDefault="00242ED2" w:rsidP="009A3738">
      <w:pPr>
        <w:numPr>
          <w:ilvl w:val="0"/>
          <w:numId w:val="2"/>
        </w:numPr>
        <w:suppressAutoHyphens/>
        <w:spacing w:after="120" w:line="288" w:lineRule="auto"/>
        <w:ind w:left="993" w:hanging="426"/>
        <w:rPr>
          <w:rFonts w:eastAsia="Calibri"/>
          <w:sz w:val="24"/>
          <w:szCs w:val="22"/>
        </w:rPr>
      </w:pPr>
      <w:r w:rsidRPr="00242ED2">
        <w:rPr>
          <w:rFonts w:eastAsia="Calibri"/>
          <w:sz w:val="24"/>
          <w:szCs w:val="22"/>
        </w:rPr>
        <w:t>Implementation and transition actions to facilitate improvements to the Act identified at point 2.</w:t>
      </w:r>
    </w:p>
    <w:p w:rsidR="00242ED2" w:rsidRPr="00242ED2" w:rsidRDefault="00242ED2" w:rsidP="009A3738">
      <w:pPr>
        <w:numPr>
          <w:ilvl w:val="0"/>
          <w:numId w:val="2"/>
        </w:numPr>
        <w:suppressAutoHyphens/>
        <w:spacing w:after="120" w:line="288" w:lineRule="auto"/>
        <w:ind w:left="993" w:hanging="426"/>
        <w:rPr>
          <w:rFonts w:eastAsia="Calibri"/>
          <w:sz w:val="24"/>
          <w:szCs w:val="22"/>
        </w:rPr>
      </w:pPr>
      <w:r w:rsidRPr="00242ED2">
        <w:rPr>
          <w:rFonts w:eastAsia="Calibri"/>
          <w:sz w:val="24"/>
          <w:szCs w:val="22"/>
        </w:rPr>
        <w:t xml:space="preserve">Any other matters including environmental, cost, technical and regulatory issues relevant to the operation of the Act. </w:t>
      </w:r>
    </w:p>
    <w:p w:rsidR="00242ED2" w:rsidRPr="00242ED2" w:rsidRDefault="00242ED2" w:rsidP="00DD3AEB">
      <w:pPr>
        <w:suppressAutoHyphens/>
        <w:spacing w:after="120" w:line="288" w:lineRule="auto"/>
        <w:ind w:left="567"/>
        <w:rPr>
          <w:rFonts w:eastAsia="Calibri"/>
          <w:sz w:val="24"/>
          <w:szCs w:val="22"/>
        </w:rPr>
      </w:pPr>
      <w:r w:rsidRPr="0078496A">
        <w:rPr>
          <w:rFonts w:eastAsia="Calibri"/>
          <w:sz w:val="24"/>
          <w:szCs w:val="22"/>
        </w:rPr>
        <w:t xml:space="preserve">The </w:t>
      </w:r>
      <w:r w:rsidR="00BF36B6">
        <w:rPr>
          <w:rFonts w:eastAsia="Calibri"/>
          <w:sz w:val="24"/>
          <w:szCs w:val="22"/>
        </w:rPr>
        <w:t xml:space="preserve">TOR provides that the </w:t>
      </w:r>
      <w:r w:rsidRPr="0078496A">
        <w:rPr>
          <w:rFonts w:eastAsia="Calibri"/>
          <w:sz w:val="24"/>
          <w:szCs w:val="22"/>
        </w:rPr>
        <w:t>reviewer will be assisted by considering the f</w:t>
      </w:r>
      <w:r w:rsidR="005A6F45" w:rsidRPr="0078496A">
        <w:rPr>
          <w:rFonts w:eastAsia="Calibri"/>
          <w:sz w:val="24"/>
          <w:szCs w:val="22"/>
        </w:rPr>
        <w:t xml:space="preserve">ollowing issues in relation the </w:t>
      </w:r>
      <w:r w:rsidRPr="0078496A">
        <w:rPr>
          <w:rFonts w:eastAsia="Calibri"/>
          <w:sz w:val="24"/>
          <w:szCs w:val="22"/>
        </w:rPr>
        <w:t>GEMS Act:</w:t>
      </w:r>
      <w:r w:rsidRPr="00242ED2">
        <w:rPr>
          <w:rFonts w:eastAsia="Calibri"/>
          <w:sz w:val="24"/>
          <w:szCs w:val="22"/>
        </w:rPr>
        <w:t xml:space="preserve"> </w:t>
      </w:r>
    </w:p>
    <w:p w:rsidR="00242ED2" w:rsidRPr="00242ED2" w:rsidRDefault="00242ED2" w:rsidP="009A3738">
      <w:pPr>
        <w:numPr>
          <w:ilvl w:val="0"/>
          <w:numId w:val="3"/>
        </w:numPr>
        <w:suppressAutoHyphens/>
        <w:spacing w:after="120" w:line="288" w:lineRule="auto"/>
        <w:ind w:left="993" w:hanging="426"/>
        <w:rPr>
          <w:rFonts w:eastAsia="Calibri"/>
          <w:sz w:val="24"/>
          <w:szCs w:val="22"/>
        </w:rPr>
      </w:pPr>
      <w:r w:rsidRPr="00242ED2">
        <w:rPr>
          <w:rFonts w:eastAsia="Calibri"/>
          <w:sz w:val="24"/>
          <w:szCs w:val="22"/>
        </w:rPr>
        <w:t>The level of actual and required agility of the Act to respond to changing dynamics (for example, technological changes, increasing proportion of online sales, integrated products, less specific product categories).</w:t>
      </w:r>
    </w:p>
    <w:p w:rsidR="00242ED2" w:rsidRPr="00242ED2" w:rsidRDefault="00242ED2" w:rsidP="009A3738">
      <w:pPr>
        <w:numPr>
          <w:ilvl w:val="0"/>
          <w:numId w:val="3"/>
        </w:numPr>
        <w:suppressAutoHyphens/>
        <w:spacing w:after="120" w:line="288" w:lineRule="auto"/>
        <w:ind w:left="993" w:hanging="426"/>
        <w:rPr>
          <w:rFonts w:eastAsia="Calibri"/>
          <w:sz w:val="24"/>
          <w:szCs w:val="22"/>
        </w:rPr>
      </w:pPr>
      <w:r w:rsidRPr="00242ED2">
        <w:rPr>
          <w:rFonts w:eastAsia="Calibri"/>
          <w:sz w:val="24"/>
          <w:szCs w:val="22"/>
        </w:rPr>
        <w:t>The ability of the Act</w:t>
      </w:r>
      <w:r w:rsidR="00354426">
        <w:rPr>
          <w:rFonts w:eastAsia="Calibri"/>
          <w:sz w:val="24"/>
          <w:szCs w:val="22"/>
        </w:rPr>
        <w:t xml:space="preserve"> </w:t>
      </w:r>
      <w:r w:rsidRPr="00242ED2">
        <w:rPr>
          <w:rFonts w:eastAsia="Calibri"/>
          <w:sz w:val="24"/>
          <w:szCs w:val="22"/>
        </w:rPr>
        <w:t xml:space="preserve">to provide for adequate compliance arrangements for new and bespoke products. </w:t>
      </w:r>
    </w:p>
    <w:p w:rsidR="00242ED2" w:rsidRPr="00242ED2" w:rsidRDefault="00242ED2" w:rsidP="009A3738">
      <w:pPr>
        <w:numPr>
          <w:ilvl w:val="0"/>
          <w:numId w:val="3"/>
        </w:numPr>
        <w:suppressAutoHyphens/>
        <w:spacing w:after="120" w:line="288" w:lineRule="auto"/>
        <w:ind w:left="993" w:hanging="426"/>
        <w:rPr>
          <w:rFonts w:eastAsia="Calibri"/>
          <w:sz w:val="24"/>
          <w:szCs w:val="22"/>
        </w:rPr>
      </w:pPr>
      <w:r w:rsidRPr="00242ED2">
        <w:rPr>
          <w:rFonts w:eastAsia="Calibri"/>
          <w:sz w:val="24"/>
          <w:szCs w:val="22"/>
        </w:rPr>
        <w:t xml:space="preserve">Administrative challenges (current and anticipated) faced by businesses and the GEMS Regulator. </w:t>
      </w:r>
    </w:p>
    <w:p w:rsidR="00242ED2" w:rsidRPr="00242ED2" w:rsidRDefault="00242ED2" w:rsidP="009A3738">
      <w:pPr>
        <w:numPr>
          <w:ilvl w:val="0"/>
          <w:numId w:val="3"/>
        </w:numPr>
        <w:suppressAutoHyphens/>
        <w:spacing w:after="200" w:line="288" w:lineRule="auto"/>
        <w:ind w:left="993" w:hanging="426"/>
        <w:rPr>
          <w:rFonts w:eastAsia="Calibri"/>
          <w:sz w:val="24"/>
          <w:szCs w:val="22"/>
        </w:rPr>
      </w:pPr>
      <w:r w:rsidRPr="00242ED2">
        <w:rPr>
          <w:rFonts w:eastAsia="Calibri"/>
          <w:sz w:val="24"/>
          <w:szCs w:val="22"/>
        </w:rPr>
        <w:t xml:space="preserve">Whether there is a role for guidance about when mandatory standards are more useful and when other approaches might be more suitable. </w:t>
      </w:r>
    </w:p>
    <w:p w:rsidR="00242ED2" w:rsidRDefault="00242ED2" w:rsidP="00DD3AEB">
      <w:pPr>
        <w:suppressAutoHyphens/>
        <w:spacing w:after="120" w:line="288" w:lineRule="auto"/>
        <w:ind w:left="567"/>
        <w:rPr>
          <w:rFonts w:eastAsia="Calibri"/>
          <w:sz w:val="24"/>
          <w:szCs w:val="22"/>
        </w:rPr>
      </w:pPr>
      <w:r w:rsidRPr="00242ED2">
        <w:rPr>
          <w:rFonts w:eastAsia="Calibri"/>
          <w:sz w:val="24"/>
          <w:szCs w:val="22"/>
        </w:rPr>
        <w:t xml:space="preserve">The full </w:t>
      </w:r>
      <w:r w:rsidR="00354426">
        <w:rPr>
          <w:rFonts w:eastAsia="Calibri"/>
          <w:sz w:val="24"/>
          <w:szCs w:val="22"/>
        </w:rPr>
        <w:t>Terms of Reference</w:t>
      </w:r>
      <w:r w:rsidRPr="00242ED2">
        <w:rPr>
          <w:rFonts w:eastAsia="Calibri"/>
          <w:sz w:val="24"/>
          <w:szCs w:val="22"/>
        </w:rPr>
        <w:t xml:space="preserve"> for the review are at </w:t>
      </w:r>
      <w:r w:rsidRPr="00DC08FC">
        <w:rPr>
          <w:rFonts w:eastAsia="Calibri"/>
          <w:b/>
          <w:sz w:val="24"/>
          <w:szCs w:val="22"/>
        </w:rPr>
        <w:t>Appendix A</w:t>
      </w:r>
      <w:r w:rsidRPr="00242ED2">
        <w:rPr>
          <w:rFonts w:eastAsia="Calibri"/>
          <w:sz w:val="24"/>
          <w:szCs w:val="22"/>
        </w:rPr>
        <w:t xml:space="preserve">. </w:t>
      </w:r>
    </w:p>
    <w:p w:rsidR="005A6F45" w:rsidRPr="009474B0" w:rsidRDefault="005A6F45" w:rsidP="009474B0">
      <w:pPr>
        <w:spacing w:after="120"/>
        <w:ind w:left="567"/>
        <w:rPr>
          <w:b/>
          <w:sz w:val="24"/>
        </w:rPr>
      </w:pPr>
      <w:r w:rsidRPr="009474B0">
        <w:rPr>
          <w:b/>
          <w:sz w:val="24"/>
        </w:rPr>
        <w:t>Governance and Deliverables</w:t>
      </w:r>
    </w:p>
    <w:p w:rsidR="005A6F45" w:rsidRPr="005A6F45" w:rsidRDefault="005A6F45" w:rsidP="00DD3AEB">
      <w:pPr>
        <w:suppressAutoHyphens/>
        <w:spacing w:after="120" w:line="288" w:lineRule="auto"/>
        <w:ind w:left="567"/>
        <w:rPr>
          <w:rFonts w:eastAsia="Calibri"/>
          <w:sz w:val="24"/>
          <w:szCs w:val="22"/>
        </w:rPr>
      </w:pPr>
      <w:r w:rsidRPr="007D7C2B">
        <w:rPr>
          <w:rFonts w:eastAsia="Calibri"/>
          <w:sz w:val="24"/>
          <w:szCs w:val="22"/>
        </w:rPr>
        <w:t xml:space="preserve">The </w:t>
      </w:r>
      <w:r w:rsidR="0082257B" w:rsidRPr="007D7C2B">
        <w:rPr>
          <w:rFonts w:eastAsia="Calibri"/>
          <w:sz w:val="24"/>
          <w:szCs w:val="22"/>
        </w:rPr>
        <w:t xml:space="preserve">Minister for the Environment and Energy </w:t>
      </w:r>
      <w:r w:rsidR="00354426" w:rsidRPr="007D7C2B">
        <w:rPr>
          <w:rFonts w:eastAsia="Calibri"/>
          <w:sz w:val="24"/>
          <w:szCs w:val="22"/>
        </w:rPr>
        <w:t xml:space="preserve">has </w:t>
      </w:r>
      <w:r w:rsidR="0082257B" w:rsidRPr="007D7C2B">
        <w:rPr>
          <w:rFonts w:eastAsia="Calibri"/>
          <w:sz w:val="24"/>
          <w:szCs w:val="22"/>
        </w:rPr>
        <w:t>appointed</w:t>
      </w:r>
      <w:r w:rsidRPr="007D7C2B">
        <w:rPr>
          <w:rFonts w:eastAsia="Calibri"/>
          <w:sz w:val="24"/>
          <w:szCs w:val="22"/>
        </w:rPr>
        <w:t xml:space="preserve"> Ms Anna Collyer</w:t>
      </w:r>
      <w:r w:rsidR="00820EB1" w:rsidRPr="007D7C2B">
        <w:rPr>
          <w:rFonts w:eastAsia="Calibri"/>
          <w:sz w:val="24"/>
          <w:szCs w:val="22"/>
        </w:rPr>
        <w:t xml:space="preserve"> </w:t>
      </w:r>
      <w:r w:rsidRPr="007D7C2B">
        <w:rPr>
          <w:rFonts w:eastAsia="Calibri"/>
          <w:sz w:val="24"/>
          <w:szCs w:val="22"/>
        </w:rPr>
        <w:t>to undertake the review.</w:t>
      </w:r>
      <w:r w:rsidRPr="005A6F45">
        <w:rPr>
          <w:rFonts w:eastAsia="Calibri"/>
          <w:sz w:val="24"/>
          <w:szCs w:val="22"/>
        </w:rPr>
        <w:t xml:space="preserve"> Ms Collyer is</w:t>
      </w:r>
      <w:r w:rsidR="00DF32E9">
        <w:rPr>
          <w:rFonts w:eastAsia="Calibri"/>
          <w:sz w:val="24"/>
          <w:szCs w:val="22"/>
        </w:rPr>
        <w:t xml:space="preserve"> supported by the GEMS Review Team</w:t>
      </w:r>
      <w:r w:rsidRPr="005A6F45">
        <w:rPr>
          <w:rFonts w:eastAsia="Calibri"/>
          <w:sz w:val="24"/>
          <w:szCs w:val="22"/>
        </w:rPr>
        <w:t xml:space="preserve"> in the Department and will prov</w:t>
      </w:r>
      <w:r w:rsidR="00CE209E">
        <w:rPr>
          <w:rFonts w:eastAsia="Calibri"/>
          <w:sz w:val="24"/>
          <w:szCs w:val="22"/>
        </w:rPr>
        <w:t>ide regular updates to the COAG </w:t>
      </w:r>
      <w:r w:rsidRPr="005A6F45">
        <w:rPr>
          <w:rFonts w:eastAsia="Calibri"/>
          <w:sz w:val="24"/>
          <w:szCs w:val="22"/>
        </w:rPr>
        <w:t xml:space="preserve">Energy Council’s Energy Efficiency Advisory Team. </w:t>
      </w:r>
    </w:p>
    <w:p w:rsidR="00984435" w:rsidRDefault="005A6F45" w:rsidP="008E52EA">
      <w:pPr>
        <w:suppressAutoHyphens/>
        <w:spacing w:after="120" w:line="288" w:lineRule="auto"/>
        <w:ind w:left="567"/>
        <w:rPr>
          <w:rFonts w:eastAsia="Calibri"/>
          <w:sz w:val="24"/>
          <w:szCs w:val="22"/>
        </w:rPr>
      </w:pPr>
      <w:r w:rsidRPr="005A6F45">
        <w:rPr>
          <w:rFonts w:eastAsia="Calibri"/>
          <w:sz w:val="24"/>
          <w:szCs w:val="22"/>
        </w:rPr>
        <w:t xml:space="preserve">A written report of the review will be </w:t>
      </w:r>
      <w:r w:rsidR="00354426">
        <w:rPr>
          <w:rFonts w:eastAsia="Calibri"/>
          <w:sz w:val="24"/>
          <w:szCs w:val="22"/>
        </w:rPr>
        <w:t>submitted</w:t>
      </w:r>
      <w:r w:rsidRPr="005A6F45">
        <w:rPr>
          <w:rFonts w:eastAsia="Calibri"/>
          <w:sz w:val="24"/>
          <w:szCs w:val="22"/>
        </w:rPr>
        <w:t xml:space="preserve"> to the Minister</w:t>
      </w:r>
      <w:r w:rsidR="00830ECF">
        <w:rPr>
          <w:rFonts w:eastAsia="Calibri"/>
          <w:sz w:val="24"/>
          <w:szCs w:val="22"/>
        </w:rPr>
        <w:t xml:space="preserve"> for the Environment and Energy</w:t>
      </w:r>
      <w:r w:rsidRPr="005A6F45">
        <w:rPr>
          <w:rFonts w:eastAsia="Calibri"/>
          <w:sz w:val="24"/>
          <w:szCs w:val="22"/>
        </w:rPr>
        <w:t>.</w:t>
      </w:r>
    </w:p>
    <w:p w:rsidR="00BF2F2C" w:rsidRPr="00DC08FC" w:rsidRDefault="00E1244C" w:rsidP="00DC08FC">
      <w:pPr>
        <w:spacing w:after="120"/>
        <w:ind w:left="567"/>
        <w:rPr>
          <w:b/>
          <w:sz w:val="24"/>
        </w:rPr>
      </w:pPr>
      <w:r w:rsidRPr="00DC08FC">
        <w:rPr>
          <w:b/>
          <w:sz w:val="24"/>
        </w:rPr>
        <w:t>Methodology</w:t>
      </w:r>
    </w:p>
    <w:p w:rsidR="00E1244C" w:rsidRPr="00DC08FC" w:rsidRDefault="00E1244C" w:rsidP="00E1244C">
      <w:pPr>
        <w:suppressAutoHyphens/>
        <w:spacing w:after="120" w:line="288" w:lineRule="auto"/>
        <w:ind w:left="567"/>
        <w:rPr>
          <w:rFonts w:eastAsia="Calibri"/>
          <w:sz w:val="24"/>
          <w:szCs w:val="22"/>
        </w:rPr>
      </w:pPr>
      <w:r w:rsidRPr="00DC08FC">
        <w:rPr>
          <w:rFonts w:eastAsia="Calibri"/>
          <w:sz w:val="24"/>
          <w:szCs w:val="22"/>
        </w:rPr>
        <w:t>This review will assess the performance of the Act in terms of:</w:t>
      </w:r>
    </w:p>
    <w:p w:rsidR="00E1244C" w:rsidRPr="00DC08FC" w:rsidRDefault="00E1244C" w:rsidP="009A3738">
      <w:pPr>
        <w:numPr>
          <w:ilvl w:val="0"/>
          <w:numId w:val="3"/>
        </w:numPr>
        <w:suppressAutoHyphens/>
        <w:spacing w:after="120" w:line="288" w:lineRule="auto"/>
        <w:ind w:left="993" w:hanging="426"/>
        <w:rPr>
          <w:rFonts w:eastAsia="Calibri"/>
          <w:sz w:val="24"/>
          <w:szCs w:val="22"/>
        </w:rPr>
      </w:pPr>
      <w:r w:rsidRPr="00DC08FC">
        <w:rPr>
          <w:rFonts w:eastAsia="Calibri"/>
          <w:sz w:val="24"/>
          <w:szCs w:val="22"/>
        </w:rPr>
        <w:t>its efficacy compared with the previous state based regimes</w:t>
      </w:r>
    </w:p>
    <w:p w:rsidR="00E1244C" w:rsidRDefault="00E1244C" w:rsidP="009A3738">
      <w:pPr>
        <w:numPr>
          <w:ilvl w:val="0"/>
          <w:numId w:val="3"/>
        </w:numPr>
        <w:suppressAutoHyphens/>
        <w:spacing w:after="120" w:line="288" w:lineRule="auto"/>
        <w:ind w:left="993" w:hanging="426"/>
        <w:rPr>
          <w:rFonts w:eastAsia="Calibri"/>
          <w:sz w:val="24"/>
          <w:szCs w:val="22"/>
        </w:rPr>
      </w:pPr>
      <w:proofErr w:type="gramStart"/>
      <w:r w:rsidRPr="00DC08FC">
        <w:rPr>
          <w:rFonts w:eastAsia="Calibri"/>
          <w:sz w:val="24"/>
          <w:szCs w:val="22"/>
        </w:rPr>
        <w:t>its</w:t>
      </w:r>
      <w:proofErr w:type="gramEnd"/>
      <w:r w:rsidRPr="00DC08FC">
        <w:rPr>
          <w:rFonts w:eastAsia="Calibri"/>
          <w:sz w:val="24"/>
          <w:szCs w:val="22"/>
        </w:rPr>
        <w:t xml:space="preserve"> ability to reduce energy use and emissions</w:t>
      </w:r>
      <w:r w:rsidR="006C5023" w:rsidRPr="00DC08FC">
        <w:rPr>
          <w:rFonts w:eastAsia="Calibri"/>
          <w:sz w:val="24"/>
          <w:szCs w:val="22"/>
        </w:rPr>
        <w:t>.</w:t>
      </w:r>
    </w:p>
    <w:p w:rsidR="002D31C7" w:rsidRPr="002D31C7" w:rsidRDefault="00064958" w:rsidP="002D31C7">
      <w:pPr>
        <w:numPr>
          <w:ilvl w:val="0"/>
          <w:numId w:val="3"/>
        </w:numPr>
        <w:suppressAutoHyphens/>
        <w:spacing w:after="120" w:line="288" w:lineRule="auto"/>
        <w:ind w:left="993" w:hanging="426"/>
        <w:rPr>
          <w:rFonts w:eastAsia="Calibri"/>
          <w:sz w:val="24"/>
          <w:szCs w:val="22"/>
        </w:rPr>
      </w:pPr>
      <w:proofErr w:type="gramStart"/>
      <w:r>
        <w:rPr>
          <w:rFonts w:eastAsia="Calibri"/>
          <w:sz w:val="24"/>
          <w:szCs w:val="22"/>
        </w:rPr>
        <w:t>its</w:t>
      </w:r>
      <w:proofErr w:type="gramEnd"/>
      <w:r>
        <w:rPr>
          <w:rFonts w:eastAsia="Calibri"/>
          <w:sz w:val="24"/>
          <w:szCs w:val="22"/>
        </w:rPr>
        <w:t xml:space="preserve"> </w:t>
      </w:r>
      <w:r w:rsidR="002D31C7" w:rsidRPr="009D77C3">
        <w:rPr>
          <w:rFonts w:eastAsia="Calibri"/>
          <w:sz w:val="24"/>
          <w:szCs w:val="22"/>
        </w:rPr>
        <w:t xml:space="preserve">ability to reduce power bills for consumers and minimise </w:t>
      </w:r>
      <w:r w:rsidR="00657E0D">
        <w:rPr>
          <w:rFonts w:eastAsia="Calibri"/>
          <w:sz w:val="24"/>
          <w:szCs w:val="22"/>
        </w:rPr>
        <w:t xml:space="preserve">regulatory </w:t>
      </w:r>
      <w:r w:rsidR="002D31C7" w:rsidRPr="009D77C3">
        <w:rPr>
          <w:rFonts w:eastAsia="Calibri"/>
          <w:sz w:val="24"/>
          <w:szCs w:val="22"/>
        </w:rPr>
        <w:t>costs on industry</w:t>
      </w:r>
      <w:r w:rsidR="002D31C7">
        <w:rPr>
          <w:rFonts w:eastAsia="Calibri"/>
          <w:sz w:val="24"/>
          <w:szCs w:val="22"/>
        </w:rPr>
        <w:t>.</w:t>
      </w:r>
    </w:p>
    <w:p w:rsidR="00E1244C" w:rsidRPr="00DC08FC" w:rsidRDefault="00E1244C" w:rsidP="00E1244C">
      <w:pPr>
        <w:suppressAutoHyphens/>
        <w:spacing w:after="120" w:line="288" w:lineRule="auto"/>
        <w:ind w:left="567"/>
        <w:rPr>
          <w:rFonts w:eastAsia="Calibri"/>
          <w:sz w:val="24"/>
          <w:szCs w:val="22"/>
        </w:rPr>
      </w:pPr>
      <w:r w:rsidRPr="00DC08FC">
        <w:rPr>
          <w:rFonts w:eastAsia="Calibri"/>
          <w:sz w:val="24"/>
          <w:szCs w:val="22"/>
        </w:rPr>
        <w:t>In doing so</w:t>
      </w:r>
      <w:r w:rsidR="006C5023" w:rsidRPr="00DC08FC">
        <w:rPr>
          <w:rFonts w:eastAsia="Calibri"/>
          <w:sz w:val="24"/>
          <w:szCs w:val="22"/>
        </w:rPr>
        <w:t>,</w:t>
      </w:r>
      <w:r w:rsidRPr="00DC08FC">
        <w:rPr>
          <w:rFonts w:eastAsia="Calibri"/>
          <w:sz w:val="24"/>
          <w:szCs w:val="22"/>
        </w:rPr>
        <w:t xml:space="preserve"> the review will consider the problems iden</w:t>
      </w:r>
      <w:r w:rsidR="00510E46" w:rsidRPr="00DC08FC">
        <w:rPr>
          <w:rFonts w:eastAsia="Calibri"/>
          <w:sz w:val="24"/>
          <w:szCs w:val="22"/>
        </w:rPr>
        <w:t>tified in the Regulation Impact </w:t>
      </w:r>
      <w:r w:rsidRPr="00DC08FC">
        <w:rPr>
          <w:rFonts w:eastAsia="Calibri"/>
          <w:sz w:val="24"/>
          <w:szCs w:val="22"/>
        </w:rPr>
        <w:t xml:space="preserve">Statement </w:t>
      </w:r>
      <w:r w:rsidR="007069FF">
        <w:rPr>
          <w:rFonts w:eastAsia="Calibri"/>
          <w:sz w:val="24"/>
          <w:szCs w:val="22"/>
        </w:rPr>
        <w:t xml:space="preserve">(RIS) </w:t>
      </w:r>
      <w:r w:rsidRPr="00DC08FC">
        <w:rPr>
          <w:rFonts w:eastAsia="Calibri"/>
          <w:sz w:val="24"/>
          <w:szCs w:val="22"/>
        </w:rPr>
        <w:t>referred to in the Explanatory Memorandum that the GEMS Act was intended to address. These problems include those related to:</w:t>
      </w:r>
    </w:p>
    <w:p w:rsidR="00E1244C" w:rsidRPr="00DC08FC" w:rsidRDefault="00121237" w:rsidP="009A3738">
      <w:pPr>
        <w:numPr>
          <w:ilvl w:val="0"/>
          <w:numId w:val="3"/>
        </w:numPr>
        <w:suppressAutoHyphens/>
        <w:spacing w:after="120" w:line="288" w:lineRule="auto"/>
        <w:ind w:left="993" w:hanging="426"/>
        <w:rPr>
          <w:rFonts w:eastAsia="Calibri"/>
          <w:sz w:val="24"/>
          <w:szCs w:val="22"/>
        </w:rPr>
      </w:pPr>
      <w:r>
        <w:rPr>
          <w:rFonts w:eastAsia="Calibri"/>
          <w:sz w:val="24"/>
          <w:szCs w:val="22"/>
        </w:rPr>
        <w:t>t</w:t>
      </w:r>
      <w:r w:rsidR="00E1244C" w:rsidRPr="00DC08FC">
        <w:rPr>
          <w:rFonts w:eastAsia="Calibri"/>
          <w:sz w:val="24"/>
          <w:szCs w:val="22"/>
        </w:rPr>
        <w:t>he governance and administration of the program</w:t>
      </w:r>
    </w:p>
    <w:p w:rsidR="00E1244C" w:rsidRPr="00DC08FC" w:rsidRDefault="00121237" w:rsidP="009A3738">
      <w:pPr>
        <w:numPr>
          <w:ilvl w:val="0"/>
          <w:numId w:val="3"/>
        </w:numPr>
        <w:suppressAutoHyphens/>
        <w:spacing w:after="120" w:line="288" w:lineRule="auto"/>
        <w:ind w:left="993" w:hanging="426"/>
        <w:rPr>
          <w:rFonts w:eastAsia="Calibri"/>
          <w:sz w:val="24"/>
          <w:szCs w:val="22"/>
        </w:rPr>
      </w:pPr>
      <w:r>
        <w:rPr>
          <w:rFonts w:eastAsia="Calibri"/>
          <w:sz w:val="24"/>
          <w:szCs w:val="22"/>
        </w:rPr>
        <w:t>s</w:t>
      </w:r>
      <w:r w:rsidR="00E1244C" w:rsidRPr="00DC08FC">
        <w:rPr>
          <w:rFonts w:eastAsia="Calibri"/>
          <w:sz w:val="24"/>
          <w:szCs w:val="22"/>
        </w:rPr>
        <w:t>cope of the program an</w:t>
      </w:r>
      <w:bookmarkStart w:id="25" w:name="_GoBack"/>
      <w:bookmarkEnd w:id="25"/>
      <w:r w:rsidR="00E1244C" w:rsidRPr="00DC08FC">
        <w:rPr>
          <w:rFonts w:eastAsia="Calibri"/>
          <w:sz w:val="24"/>
          <w:szCs w:val="22"/>
        </w:rPr>
        <w:t>d appropriate targeting of products</w:t>
      </w:r>
    </w:p>
    <w:p w:rsidR="00E1244C" w:rsidRPr="00DC08FC" w:rsidRDefault="00121237" w:rsidP="009A3738">
      <w:pPr>
        <w:numPr>
          <w:ilvl w:val="0"/>
          <w:numId w:val="3"/>
        </w:numPr>
        <w:suppressAutoHyphens/>
        <w:spacing w:after="120" w:line="288" w:lineRule="auto"/>
        <w:ind w:left="993" w:hanging="426"/>
        <w:rPr>
          <w:rFonts w:eastAsia="Calibri"/>
          <w:sz w:val="24"/>
          <w:szCs w:val="22"/>
        </w:rPr>
      </w:pPr>
      <w:r>
        <w:rPr>
          <w:rFonts w:eastAsia="Calibri"/>
          <w:sz w:val="24"/>
          <w:szCs w:val="22"/>
        </w:rPr>
        <w:t>a</w:t>
      </w:r>
      <w:r w:rsidR="00E1244C" w:rsidRPr="00DC08FC">
        <w:rPr>
          <w:rFonts w:eastAsia="Calibri"/>
          <w:sz w:val="24"/>
          <w:szCs w:val="22"/>
        </w:rPr>
        <w:t>ssociated environmental impacts</w:t>
      </w:r>
    </w:p>
    <w:p w:rsidR="00E1244C" w:rsidRPr="00DC08FC" w:rsidRDefault="00121237" w:rsidP="009A3738">
      <w:pPr>
        <w:numPr>
          <w:ilvl w:val="0"/>
          <w:numId w:val="3"/>
        </w:numPr>
        <w:suppressAutoHyphens/>
        <w:spacing w:after="120" w:line="288" w:lineRule="auto"/>
        <w:ind w:left="993" w:hanging="426"/>
        <w:rPr>
          <w:rFonts w:eastAsia="Calibri"/>
          <w:sz w:val="24"/>
          <w:szCs w:val="22"/>
        </w:rPr>
      </w:pPr>
      <w:r>
        <w:rPr>
          <w:rFonts w:eastAsia="Calibri"/>
          <w:sz w:val="24"/>
          <w:szCs w:val="22"/>
        </w:rPr>
        <w:t>m</w:t>
      </w:r>
      <w:r w:rsidR="00E1244C" w:rsidRPr="00DC08FC">
        <w:rPr>
          <w:rFonts w:eastAsia="Calibri"/>
          <w:sz w:val="24"/>
          <w:szCs w:val="22"/>
        </w:rPr>
        <w:t>onitoring</w:t>
      </w:r>
    </w:p>
    <w:p w:rsidR="00E1244C" w:rsidRPr="00DC08FC" w:rsidRDefault="00121237" w:rsidP="009A3738">
      <w:pPr>
        <w:numPr>
          <w:ilvl w:val="0"/>
          <w:numId w:val="3"/>
        </w:numPr>
        <w:suppressAutoHyphens/>
        <w:spacing w:after="120" w:line="288" w:lineRule="auto"/>
        <w:ind w:left="993" w:hanging="426"/>
        <w:rPr>
          <w:rFonts w:eastAsia="Calibri"/>
          <w:sz w:val="24"/>
          <w:szCs w:val="22"/>
        </w:rPr>
      </w:pPr>
      <w:proofErr w:type="gramStart"/>
      <w:r>
        <w:rPr>
          <w:rFonts w:eastAsia="Calibri"/>
          <w:sz w:val="24"/>
          <w:szCs w:val="22"/>
        </w:rPr>
        <w:t>t</w:t>
      </w:r>
      <w:r w:rsidR="00E1244C" w:rsidRPr="00DC08FC">
        <w:rPr>
          <w:rFonts w:eastAsia="Calibri"/>
          <w:sz w:val="24"/>
          <w:szCs w:val="22"/>
        </w:rPr>
        <w:t>argeting</w:t>
      </w:r>
      <w:proofErr w:type="gramEnd"/>
      <w:r w:rsidR="00E1244C" w:rsidRPr="00DC08FC">
        <w:rPr>
          <w:rFonts w:eastAsia="Calibri"/>
          <w:sz w:val="24"/>
          <w:szCs w:val="22"/>
        </w:rPr>
        <w:t xml:space="preserve"> information to purchasers</w:t>
      </w:r>
      <w:r w:rsidR="006C5023" w:rsidRPr="00DC08FC">
        <w:rPr>
          <w:rFonts w:eastAsia="Calibri"/>
          <w:sz w:val="24"/>
          <w:szCs w:val="22"/>
        </w:rPr>
        <w:t>.</w:t>
      </w:r>
    </w:p>
    <w:p w:rsidR="00E1244C" w:rsidRDefault="00E1244C" w:rsidP="008C5889">
      <w:pPr>
        <w:suppressAutoHyphens/>
        <w:spacing w:after="120" w:line="288" w:lineRule="auto"/>
        <w:ind w:left="567"/>
        <w:rPr>
          <w:rFonts w:eastAsia="Calibri"/>
          <w:sz w:val="24"/>
          <w:szCs w:val="22"/>
        </w:rPr>
      </w:pPr>
      <w:r w:rsidRPr="00DC08FC">
        <w:rPr>
          <w:rFonts w:eastAsia="Calibri"/>
          <w:sz w:val="24"/>
          <w:szCs w:val="22"/>
        </w:rPr>
        <w:t>The assessment will focus primarily on standards and labelling interventions implemented through GEM</w:t>
      </w:r>
      <w:r w:rsidR="008C5889" w:rsidRPr="00DC08FC">
        <w:rPr>
          <w:rFonts w:eastAsia="Calibri"/>
          <w:sz w:val="24"/>
          <w:szCs w:val="22"/>
        </w:rPr>
        <w:t>S. It will not review the Inter-Go</w:t>
      </w:r>
      <w:r w:rsidRPr="00DC08FC">
        <w:rPr>
          <w:rFonts w:eastAsia="Calibri"/>
          <w:sz w:val="24"/>
          <w:szCs w:val="22"/>
        </w:rPr>
        <w:t>vernmental Agreement for GEMS, as this was undertaken in</w:t>
      </w:r>
      <w:r w:rsidR="006C5023" w:rsidRPr="00DC08FC">
        <w:rPr>
          <w:rFonts w:eastAsia="Calibri"/>
          <w:sz w:val="24"/>
          <w:szCs w:val="22"/>
        </w:rPr>
        <w:t xml:space="preserve"> the</w:t>
      </w:r>
      <w:r w:rsidRPr="00DC08FC">
        <w:rPr>
          <w:rFonts w:eastAsia="Calibri"/>
          <w:sz w:val="24"/>
          <w:szCs w:val="22"/>
        </w:rPr>
        <w:t xml:space="preserve"> 2015</w:t>
      </w:r>
      <w:r w:rsidR="00087D6B" w:rsidRPr="00DC08FC">
        <w:rPr>
          <w:rFonts w:eastAsia="Calibri"/>
          <w:sz w:val="24"/>
          <w:szCs w:val="22"/>
        </w:rPr>
        <w:t xml:space="preserve"> GEMS Review</w:t>
      </w:r>
      <w:r w:rsidRPr="00DC08FC">
        <w:rPr>
          <w:rFonts w:eastAsia="Calibri"/>
          <w:sz w:val="24"/>
          <w:szCs w:val="22"/>
        </w:rPr>
        <w:t>.</w:t>
      </w:r>
    </w:p>
    <w:p w:rsidR="00B80770" w:rsidRDefault="005E1957" w:rsidP="00C5730F">
      <w:pPr>
        <w:suppressAutoHyphens/>
        <w:spacing w:after="120" w:line="288" w:lineRule="auto"/>
        <w:ind w:left="567"/>
        <w:rPr>
          <w:rFonts w:eastAsia="Calibri"/>
          <w:sz w:val="24"/>
          <w:szCs w:val="24"/>
        </w:rPr>
      </w:pPr>
      <w:r w:rsidRPr="007D7C2B">
        <w:rPr>
          <w:rFonts w:eastAsia="Calibri"/>
          <w:sz w:val="24"/>
          <w:szCs w:val="24"/>
        </w:rPr>
        <w:t xml:space="preserve">Stakeholder feedback </w:t>
      </w:r>
      <w:r w:rsidR="000E46BB" w:rsidRPr="007D7C2B">
        <w:rPr>
          <w:rFonts w:eastAsia="Calibri"/>
          <w:sz w:val="24"/>
          <w:szCs w:val="24"/>
        </w:rPr>
        <w:t>will be</w:t>
      </w:r>
      <w:r w:rsidRPr="007D7C2B">
        <w:rPr>
          <w:rFonts w:eastAsia="Calibri"/>
          <w:sz w:val="24"/>
          <w:szCs w:val="24"/>
        </w:rPr>
        <w:t xml:space="preserve"> very importan</w:t>
      </w:r>
      <w:r w:rsidR="000E46BB" w:rsidRPr="007D7C2B">
        <w:rPr>
          <w:rFonts w:eastAsia="Calibri"/>
          <w:sz w:val="24"/>
          <w:szCs w:val="24"/>
        </w:rPr>
        <w:t xml:space="preserve">t to the assessment and outcomes of </w:t>
      </w:r>
      <w:r w:rsidR="00AB261A" w:rsidRPr="007D7C2B">
        <w:rPr>
          <w:rFonts w:eastAsia="Calibri"/>
          <w:sz w:val="24"/>
          <w:szCs w:val="24"/>
        </w:rPr>
        <w:t xml:space="preserve">this </w:t>
      </w:r>
      <w:r w:rsidR="000E46BB" w:rsidRPr="007D7C2B">
        <w:rPr>
          <w:rFonts w:eastAsia="Calibri"/>
          <w:sz w:val="24"/>
          <w:szCs w:val="24"/>
        </w:rPr>
        <w:t>review</w:t>
      </w:r>
      <w:r w:rsidRPr="007D7C2B">
        <w:rPr>
          <w:rFonts w:eastAsia="Calibri"/>
          <w:sz w:val="24"/>
          <w:szCs w:val="24"/>
        </w:rPr>
        <w:t>.</w:t>
      </w:r>
      <w:r w:rsidR="00F82162" w:rsidRPr="007D7C2B">
        <w:rPr>
          <w:rFonts w:eastAsia="Calibri"/>
          <w:sz w:val="24"/>
          <w:szCs w:val="24"/>
        </w:rPr>
        <w:t xml:space="preserve"> </w:t>
      </w:r>
      <w:r w:rsidR="000E46BB" w:rsidRPr="007D7C2B">
        <w:rPr>
          <w:rFonts w:eastAsia="Calibri"/>
          <w:sz w:val="24"/>
          <w:szCs w:val="24"/>
        </w:rPr>
        <w:t>Feedback can be provided</w:t>
      </w:r>
      <w:r w:rsidR="00F82162" w:rsidRPr="007D7C2B">
        <w:rPr>
          <w:rFonts w:eastAsia="Calibri"/>
          <w:sz w:val="24"/>
          <w:szCs w:val="24"/>
        </w:rPr>
        <w:t xml:space="preserve"> by making a </w:t>
      </w:r>
      <w:r w:rsidR="000E46BB" w:rsidRPr="007D7C2B">
        <w:rPr>
          <w:rFonts w:eastAsia="Calibri"/>
          <w:sz w:val="24"/>
          <w:szCs w:val="24"/>
        </w:rPr>
        <w:t xml:space="preserve">written </w:t>
      </w:r>
      <w:r w:rsidR="00F82162" w:rsidRPr="007D7C2B">
        <w:rPr>
          <w:rFonts w:eastAsia="Calibri"/>
          <w:sz w:val="24"/>
          <w:szCs w:val="24"/>
        </w:rPr>
        <w:t xml:space="preserve">submission on the Discussion Paper (this </w:t>
      </w:r>
      <w:r w:rsidR="000E46BB" w:rsidRPr="007D7C2B">
        <w:rPr>
          <w:rFonts w:eastAsia="Calibri"/>
          <w:sz w:val="24"/>
          <w:szCs w:val="24"/>
        </w:rPr>
        <w:t xml:space="preserve">document) and the Draft Report. </w:t>
      </w:r>
      <w:r w:rsidR="00F82162" w:rsidRPr="007D7C2B">
        <w:rPr>
          <w:rFonts w:eastAsia="Calibri"/>
          <w:sz w:val="24"/>
          <w:szCs w:val="24"/>
        </w:rPr>
        <w:t>Publi</w:t>
      </w:r>
      <w:r w:rsidR="00BF36B6" w:rsidRPr="007D7C2B">
        <w:rPr>
          <w:rFonts w:eastAsia="Calibri"/>
          <w:sz w:val="24"/>
          <w:szCs w:val="24"/>
        </w:rPr>
        <w:t>c consultation sessions on the D</w:t>
      </w:r>
      <w:r w:rsidR="00F82162" w:rsidRPr="007D7C2B">
        <w:rPr>
          <w:rFonts w:eastAsia="Calibri"/>
          <w:sz w:val="24"/>
          <w:szCs w:val="24"/>
        </w:rPr>
        <w:t xml:space="preserve">raft </w:t>
      </w:r>
      <w:r w:rsidR="00BF36B6" w:rsidRPr="007D7C2B">
        <w:rPr>
          <w:rFonts w:eastAsia="Calibri"/>
          <w:sz w:val="24"/>
          <w:szCs w:val="24"/>
        </w:rPr>
        <w:t>R</w:t>
      </w:r>
      <w:r w:rsidR="00F82162" w:rsidRPr="007D7C2B">
        <w:rPr>
          <w:rFonts w:eastAsia="Calibri"/>
          <w:sz w:val="24"/>
          <w:szCs w:val="24"/>
        </w:rPr>
        <w:t xml:space="preserve">eport will </w:t>
      </w:r>
      <w:r w:rsidR="000E46BB" w:rsidRPr="007D7C2B">
        <w:rPr>
          <w:rFonts w:eastAsia="Calibri"/>
          <w:sz w:val="24"/>
          <w:szCs w:val="24"/>
        </w:rPr>
        <w:t xml:space="preserve">also be </w:t>
      </w:r>
      <w:r w:rsidR="00D729A1" w:rsidRPr="007D7C2B">
        <w:rPr>
          <w:rFonts w:eastAsia="Calibri"/>
          <w:sz w:val="24"/>
          <w:szCs w:val="24"/>
        </w:rPr>
        <w:t>conducted</w:t>
      </w:r>
      <w:r w:rsidR="000E46BB" w:rsidRPr="007D7C2B">
        <w:rPr>
          <w:rFonts w:eastAsia="Calibri"/>
          <w:sz w:val="24"/>
          <w:szCs w:val="24"/>
        </w:rPr>
        <w:t xml:space="preserve"> to assist </w:t>
      </w:r>
      <w:r w:rsidR="00F82162" w:rsidRPr="007D7C2B">
        <w:rPr>
          <w:rFonts w:eastAsia="Calibri"/>
          <w:sz w:val="24"/>
          <w:szCs w:val="24"/>
        </w:rPr>
        <w:t>the development of a Final Report.</w:t>
      </w:r>
    </w:p>
    <w:p w:rsidR="00BF36B6" w:rsidRDefault="00BF36B6" w:rsidP="00354BA4">
      <w:pPr>
        <w:pStyle w:val="Heading2"/>
        <w:spacing w:before="120"/>
        <w:rPr>
          <w:rFonts w:eastAsia="Calibri"/>
        </w:rPr>
      </w:pPr>
      <w:bookmarkStart w:id="26" w:name="_Toc507145443"/>
      <w:proofErr w:type="gramStart"/>
      <w:r>
        <w:rPr>
          <w:rFonts w:eastAsia="Calibri"/>
        </w:rPr>
        <w:t>1.4  Structure</w:t>
      </w:r>
      <w:proofErr w:type="gramEnd"/>
      <w:r>
        <w:rPr>
          <w:rFonts w:eastAsia="Calibri"/>
        </w:rPr>
        <w:t xml:space="preserve"> of this Discussion Paper</w:t>
      </w:r>
      <w:bookmarkEnd w:id="26"/>
    </w:p>
    <w:p w:rsidR="00BF36B6" w:rsidRPr="00BF36B6" w:rsidRDefault="00BF36B6" w:rsidP="00BF36B6">
      <w:pPr>
        <w:suppressAutoHyphens/>
        <w:spacing w:after="120" w:line="288" w:lineRule="auto"/>
        <w:ind w:left="567"/>
        <w:rPr>
          <w:rFonts w:eastAsia="Calibri"/>
          <w:sz w:val="24"/>
          <w:szCs w:val="22"/>
        </w:rPr>
      </w:pPr>
      <w:r w:rsidRPr="00BF36B6">
        <w:rPr>
          <w:rFonts w:eastAsia="Calibri"/>
          <w:sz w:val="24"/>
          <w:szCs w:val="22"/>
        </w:rPr>
        <w:t>Secti</w:t>
      </w:r>
      <w:r w:rsidR="00E513DC">
        <w:rPr>
          <w:rFonts w:eastAsia="Calibri"/>
          <w:sz w:val="24"/>
          <w:szCs w:val="22"/>
        </w:rPr>
        <w:t>ons 2 and 3 of this Discussion P</w:t>
      </w:r>
      <w:r w:rsidRPr="00BF36B6">
        <w:rPr>
          <w:rFonts w:eastAsia="Calibri"/>
          <w:sz w:val="24"/>
          <w:szCs w:val="22"/>
        </w:rPr>
        <w:t>aper provide further background context to this 2018 review, including information in relation to the impact of GEMS.</w:t>
      </w:r>
    </w:p>
    <w:p w:rsidR="00BF36B6" w:rsidRDefault="00BF36B6" w:rsidP="00BF36B6">
      <w:pPr>
        <w:suppressAutoHyphens/>
        <w:spacing w:after="120" w:line="288" w:lineRule="auto"/>
        <w:ind w:left="567"/>
        <w:rPr>
          <w:rFonts w:eastAsia="Calibri"/>
          <w:sz w:val="24"/>
          <w:szCs w:val="22"/>
        </w:rPr>
      </w:pPr>
      <w:r>
        <w:rPr>
          <w:rFonts w:eastAsia="Calibri"/>
          <w:sz w:val="24"/>
          <w:szCs w:val="22"/>
        </w:rPr>
        <w:t>Sections 4, 5 and 6 consider each of the key elements of the regulatory regime established by the GEMS Act:</w:t>
      </w:r>
    </w:p>
    <w:p w:rsidR="00BF36B6" w:rsidRDefault="00BF36B6" w:rsidP="009A3738">
      <w:pPr>
        <w:numPr>
          <w:ilvl w:val="0"/>
          <w:numId w:val="3"/>
        </w:numPr>
        <w:suppressAutoHyphens/>
        <w:spacing w:after="120" w:line="288" w:lineRule="auto"/>
        <w:ind w:left="993" w:hanging="426"/>
        <w:rPr>
          <w:rFonts w:eastAsia="Calibri"/>
          <w:sz w:val="24"/>
          <w:szCs w:val="22"/>
        </w:rPr>
      </w:pPr>
      <w:r>
        <w:rPr>
          <w:rFonts w:eastAsia="Calibri"/>
          <w:sz w:val="24"/>
          <w:szCs w:val="22"/>
        </w:rPr>
        <w:t>process for making GEMS determinations by which products come within the regulatory regime</w:t>
      </w:r>
    </w:p>
    <w:p w:rsidR="00BF36B6" w:rsidRDefault="00BF36B6" w:rsidP="009A3738">
      <w:pPr>
        <w:numPr>
          <w:ilvl w:val="0"/>
          <w:numId w:val="3"/>
        </w:numPr>
        <w:suppressAutoHyphens/>
        <w:spacing w:after="120" w:line="288" w:lineRule="auto"/>
        <w:ind w:left="993" w:hanging="426"/>
        <w:rPr>
          <w:rFonts w:eastAsia="Calibri"/>
          <w:sz w:val="24"/>
          <w:szCs w:val="22"/>
        </w:rPr>
      </w:pPr>
      <w:r>
        <w:rPr>
          <w:rFonts w:eastAsia="Calibri"/>
          <w:sz w:val="24"/>
          <w:szCs w:val="22"/>
        </w:rPr>
        <w:t>requirements in relation to the registration of GEMS products</w:t>
      </w:r>
    </w:p>
    <w:p w:rsidR="00BF36B6" w:rsidRDefault="00BF36B6" w:rsidP="009A3738">
      <w:pPr>
        <w:numPr>
          <w:ilvl w:val="0"/>
          <w:numId w:val="3"/>
        </w:numPr>
        <w:suppressAutoHyphens/>
        <w:spacing w:after="120" w:line="288" w:lineRule="auto"/>
        <w:ind w:left="993" w:hanging="426"/>
        <w:rPr>
          <w:rFonts w:eastAsia="Calibri"/>
          <w:sz w:val="24"/>
          <w:szCs w:val="22"/>
        </w:rPr>
      </w:pPr>
      <w:proofErr w:type="gramStart"/>
      <w:r>
        <w:rPr>
          <w:rFonts w:eastAsia="Calibri"/>
          <w:sz w:val="24"/>
          <w:szCs w:val="22"/>
        </w:rPr>
        <w:t>the</w:t>
      </w:r>
      <w:proofErr w:type="gramEnd"/>
      <w:r>
        <w:rPr>
          <w:rFonts w:eastAsia="Calibri"/>
          <w:sz w:val="24"/>
          <w:szCs w:val="22"/>
        </w:rPr>
        <w:t xml:space="preserve"> monitoring and compliance activities undertaken under the GEMS Act.</w:t>
      </w:r>
    </w:p>
    <w:p w:rsidR="00BF36B6" w:rsidRPr="00450106" w:rsidRDefault="00E513DC" w:rsidP="00450106">
      <w:pPr>
        <w:suppressAutoHyphens/>
        <w:spacing w:after="120" w:line="288" w:lineRule="auto"/>
        <w:ind w:left="567"/>
        <w:rPr>
          <w:rFonts w:eastAsia="Calibri"/>
          <w:sz w:val="24"/>
          <w:szCs w:val="22"/>
        </w:rPr>
      </w:pPr>
      <w:r w:rsidRPr="00450106">
        <w:rPr>
          <w:rFonts w:eastAsia="Calibri"/>
          <w:sz w:val="24"/>
          <w:szCs w:val="22"/>
        </w:rPr>
        <w:t>Each section provides a high level summary of relevant parts of the legislation, and includes a brief discussion of a number of issues which arise, or may arise in the future, under the regulatory regime.  Section 7 sets out a brief discussion of a number of overarching issues.</w:t>
      </w:r>
    </w:p>
    <w:p w:rsidR="00E513DC" w:rsidRDefault="00E513DC" w:rsidP="00450106">
      <w:pPr>
        <w:suppressAutoHyphens/>
        <w:spacing w:after="120" w:line="288" w:lineRule="auto"/>
        <w:ind w:left="567"/>
        <w:rPr>
          <w:rFonts w:eastAsia="Calibri"/>
          <w:sz w:val="24"/>
          <w:szCs w:val="24"/>
        </w:rPr>
      </w:pPr>
      <w:r w:rsidRPr="00450106">
        <w:rPr>
          <w:rFonts w:eastAsia="Calibri"/>
          <w:sz w:val="24"/>
          <w:szCs w:val="22"/>
        </w:rPr>
        <w:t>Section 8 provides</w:t>
      </w:r>
      <w:r w:rsidR="00450106" w:rsidRPr="00450106">
        <w:rPr>
          <w:rFonts w:eastAsia="Calibri"/>
          <w:sz w:val="24"/>
          <w:szCs w:val="22"/>
        </w:rPr>
        <w:t xml:space="preserve"> direction in relation to the input sought by this Dis</w:t>
      </w:r>
      <w:r w:rsidR="00450106">
        <w:rPr>
          <w:rFonts w:eastAsia="Calibri"/>
          <w:sz w:val="24"/>
          <w:szCs w:val="24"/>
        </w:rPr>
        <w:t xml:space="preserve">cussion Paper, including </w:t>
      </w:r>
      <w:r w:rsidR="00820EB1" w:rsidRPr="007D7C2B">
        <w:rPr>
          <w:rFonts w:eastAsia="Calibri"/>
          <w:sz w:val="24"/>
          <w:szCs w:val="24"/>
        </w:rPr>
        <w:t xml:space="preserve">a </w:t>
      </w:r>
      <w:r w:rsidR="00AB261A" w:rsidRPr="007D7C2B">
        <w:rPr>
          <w:rFonts w:eastAsia="Calibri"/>
          <w:sz w:val="24"/>
          <w:szCs w:val="24"/>
        </w:rPr>
        <w:t>list of</w:t>
      </w:r>
      <w:r w:rsidR="00820EB1" w:rsidRPr="007D7C2B">
        <w:rPr>
          <w:rFonts w:eastAsia="Calibri"/>
          <w:sz w:val="24"/>
          <w:szCs w:val="24"/>
        </w:rPr>
        <w:t xml:space="preserve"> the</w:t>
      </w:r>
      <w:r w:rsidR="00820EB1">
        <w:rPr>
          <w:rFonts w:eastAsia="Calibri"/>
          <w:sz w:val="24"/>
          <w:szCs w:val="24"/>
        </w:rPr>
        <w:t xml:space="preserve"> </w:t>
      </w:r>
      <w:r w:rsidR="00450106">
        <w:rPr>
          <w:rFonts w:eastAsia="Calibri"/>
          <w:sz w:val="24"/>
          <w:szCs w:val="24"/>
        </w:rPr>
        <w:t>questions for consideration.  It is not intended to limit responses, but provides a framework to consider and raise issues.</w:t>
      </w:r>
    </w:p>
    <w:p w:rsidR="00BF36B6" w:rsidRDefault="00450106" w:rsidP="00354BA4">
      <w:pPr>
        <w:suppressAutoHyphens/>
        <w:spacing w:after="120" w:line="288" w:lineRule="auto"/>
        <w:ind w:left="567"/>
        <w:rPr>
          <w:rFonts w:eastAsia="Calibri"/>
          <w:sz w:val="24"/>
          <w:szCs w:val="24"/>
        </w:rPr>
      </w:pPr>
      <w:r>
        <w:rPr>
          <w:rFonts w:eastAsia="Calibri"/>
          <w:sz w:val="24"/>
          <w:szCs w:val="24"/>
        </w:rPr>
        <w:t>Section 9 sets out the next steps in relation to the review and opportunities for further consultation (as noted above).</w:t>
      </w:r>
      <w:r w:rsidR="00BF36B6">
        <w:rPr>
          <w:rFonts w:eastAsia="Calibri"/>
          <w:sz w:val="24"/>
          <w:szCs w:val="24"/>
        </w:rPr>
        <w:br w:type="page"/>
      </w:r>
    </w:p>
    <w:p w:rsidR="00147A93" w:rsidRPr="00E604BD" w:rsidRDefault="00147A93" w:rsidP="00147A93">
      <w:pPr>
        <w:pStyle w:val="Heading1"/>
      </w:pPr>
      <w:bookmarkStart w:id="27" w:name="_Toc507145444"/>
      <w:bookmarkStart w:id="28" w:name="_Toc501610435"/>
      <w:r>
        <w:t>2</w:t>
      </w:r>
      <w:r w:rsidRPr="00E604BD">
        <w:t xml:space="preserve">. Impact of </w:t>
      </w:r>
      <w:r>
        <w:t xml:space="preserve">the </w:t>
      </w:r>
      <w:r w:rsidRPr="00E604BD">
        <w:t>GEMS</w:t>
      </w:r>
      <w:r>
        <w:t xml:space="preserve"> Act</w:t>
      </w:r>
      <w:bookmarkEnd w:id="27"/>
    </w:p>
    <w:p w:rsidR="00147A93" w:rsidRDefault="00147A93" w:rsidP="00147A93">
      <w:pPr>
        <w:suppressAutoHyphens/>
        <w:spacing w:after="200" w:line="288" w:lineRule="auto"/>
        <w:rPr>
          <w:rFonts w:eastAsia="Calibri"/>
          <w:bCs/>
          <w:sz w:val="24"/>
          <w:szCs w:val="24"/>
        </w:rPr>
      </w:pPr>
      <w:r>
        <w:rPr>
          <w:rFonts w:eastAsia="Calibri"/>
          <w:bCs/>
          <w:sz w:val="24"/>
          <w:szCs w:val="24"/>
        </w:rPr>
        <w:t xml:space="preserve">By consolidating a multi-jurisdictional scheme into national legislation, the GEMS Act has reduced regulatory burden on industry and led to further efficiencies in implementing regulations. GEMS regulations </w:t>
      </w:r>
      <w:r w:rsidRPr="002F790A">
        <w:rPr>
          <w:rFonts w:eastAsia="Calibri"/>
          <w:bCs/>
          <w:sz w:val="24"/>
          <w:szCs w:val="24"/>
        </w:rPr>
        <w:t>have</w:t>
      </w:r>
      <w:r>
        <w:rPr>
          <w:rFonts w:eastAsia="Calibri"/>
          <w:bCs/>
          <w:sz w:val="24"/>
          <w:szCs w:val="24"/>
        </w:rPr>
        <w:t xml:space="preserve"> driven</w:t>
      </w:r>
      <w:r w:rsidRPr="002F790A">
        <w:rPr>
          <w:rFonts w:eastAsia="Calibri"/>
          <w:bCs/>
          <w:sz w:val="24"/>
          <w:szCs w:val="24"/>
        </w:rPr>
        <w:t xml:space="preserve"> significant improvements in energy effi</w:t>
      </w:r>
      <w:r>
        <w:rPr>
          <w:rFonts w:eastAsia="Calibri"/>
          <w:bCs/>
          <w:sz w:val="24"/>
          <w:szCs w:val="24"/>
        </w:rPr>
        <w:t>ciency and have contributed</w:t>
      </w:r>
      <w:r w:rsidRPr="002F790A">
        <w:rPr>
          <w:rFonts w:eastAsia="Calibri"/>
          <w:bCs/>
          <w:sz w:val="24"/>
          <w:szCs w:val="24"/>
        </w:rPr>
        <w:t xml:space="preserve"> to reduced energy consumption, energy costs</w:t>
      </w:r>
      <w:r>
        <w:rPr>
          <w:rFonts w:eastAsia="Calibri"/>
          <w:bCs/>
          <w:sz w:val="24"/>
          <w:szCs w:val="24"/>
        </w:rPr>
        <w:t xml:space="preserve"> and greenhouse gas emissions. </w:t>
      </w:r>
    </w:p>
    <w:p w:rsidR="00147A93" w:rsidRDefault="00147A93" w:rsidP="00147A93">
      <w:pPr>
        <w:suppressAutoHyphens/>
        <w:spacing w:after="120" w:line="288" w:lineRule="auto"/>
        <w:rPr>
          <w:rFonts w:eastAsia="Calibri"/>
          <w:bCs/>
          <w:sz w:val="24"/>
          <w:szCs w:val="24"/>
        </w:rPr>
      </w:pPr>
      <w:r>
        <w:rPr>
          <w:rFonts w:eastAsia="Calibri"/>
          <w:bCs/>
          <w:sz w:val="24"/>
          <w:szCs w:val="24"/>
        </w:rPr>
        <w:t>The 2015 Review found that:</w:t>
      </w:r>
    </w:p>
    <w:p w:rsidR="00147A93" w:rsidRPr="006B352A" w:rsidRDefault="00147A93" w:rsidP="00147A93">
      <w:pPr>
        <w:suppressAutoHyphens/>
        <w:spacing w:after="200" w:line="288" w:lineRule="auto"/>
        <w:ind w:left="567"/>
        <w:rPr>
          <w:rFonts w:eastAsia="Calibri"/>
          <w:bCs/>
          <w:sz w:val="24"/>
          <w:szCs w:val="24"/>
        </w:rPr>
      </w:pPr>
      <w:r>
        <w:rPr>
          <w:rFonts w:eastAsia="Calibri"/>
          <w:sz w:val="24"/>
          <w:szCs w:val="24"/>
        </w:rPr>
        <w:t>T</w:t>
      </w:r>
      <w:r w:rsidRPr="00617889">
        <w:rPr>
          <w:rFonts w:eastAsia="Calibri"/>
          <w:sz w:val="24"/>
          <w:szCs w:val="24"/>
        </w:rPr>
        <w:t xml:space="preserve">he GEMS scheme, as a national program compared to the previous multi-jurisdictional scheme, provides consistency within the market; is more economical to comply with, mainly due to reduced uncertainty and administrative burden; and is less confusing for consumers. </w:t>
      </w:r>
    </w:p>
    <w:p w:rsidR="00147A93" w:rsidRDefault="00147A93" w:rsidP="00147A93">
      <w:pPr>
        <w:spacing w:after="200" w:line="276" w:lineRule="auto"/>
        <w:rPr>
          <w:rFonts w:eastAsia="Calibri"/>
          <w:sz w:val="24"/>
          <w:szCs w:val="22"/>
        </w:rPr>
      </w:pPr>
      <w:r w:rsidRPr="0071675A">
        <w:rPr>
          <w:rFonts w:eastAsia="Calibri"/>
          <w:sz w:val="24"/>
          <w:szCs w:val="22"/>
        </w:rPr>
        <w:t xml:space="preserve">In its response to the 2015 Review, the COAG Energy Council </w:t>
      </w:r>
      <w:r>
        <w:rPr>
          <w:rFonts w:eastAsia="Calibri"/>
          <w:sz w:val="24"/>
          <w:szCs w:val="22"/>
        </w:rPr>
        <w:t xml:space="preserve">noted </w:t>
      </w:r>
      <w:r w:rsidRPr="0071675A">
        <w:rPr>
          <w:rFonts w:eastAsia="Calibri"/>
          <w:sz w:val="24"/>
          <w:szCs w:val="22"/>
        </w:rPr>
        <w:t>that further steps</w:t>
      </w:r>
      <w:r>
        <w:rPr>
          <w:rFonts w:eastAsia="Calibri"/>
          <w:sz w:val="24"/>
          <w:szCs w:val="22"/>
        </w:rPr>
        <w:t xml:space="preserve"> had been</w:t>
      </w:r>
      <w:r w:rsidRPr="0071675A">
        <w:rPr>
          <w:rFonts w:eastAsia="Calibri"/>
          <w:sz w:val="24"/>
          <w:szCs w:val="22"/>
        </w:rPr>
        <w:t xml:space="preserve"> taken to reduce the regulatory burden on industry. </w:t>
      </w:r>
      <w:r>
        <w:rPr>
          <w:rFonts w:eastAsia="Calibri"/>
          <w:sz w:val="24"/>
          <w:szCs w:val="22"/>
        </w:rPr>
        <w:t>These</w:t>
      </w:r>
      <w:r w:rsidRPr="0071675A">
        <w:rPr>
          <w:rFonts w:eastAsia="Calibri"/>
          <w:sz w:val="24"/>
          <w:szCs w:val="22"/>
        </w:rPr>
        <w:t xml:space="preserve"> include</w:t>
      </w:r>
      <w:r>
        <w:rPr>
          <w:rFonts w:eastAsia="Calibri"/>
          <w:sz w:val="24"/>
          <w:szCs w:val="22"/>
        </w:rPr>
        <w:t>d</w:t>
      </w:r>
      <w:r w:rsidRPr="0071675A">
        <w:rPr>
          <w:rFonts w:eastAsia="Calibri"/>
          <w:sz w:val="24"/>
          <w:szCs w:val="22"/>
        </w:rPr>
        <w:t xml:space="preserve"> streamlining the registration system to simplify the process and moves to</w:t>
      </w:r>
      <w:r>
        <w:rPr>
          <w:rFonts w:eastAsia="Calibri"/>
          <w:sz w:val="24"/>
          <w:szCs w:val="22"/>
        </w:rPr>
        <w:t xml:space="preserve"> increase</w:t>
      </w:r>
      <w:r w:rsidRPr="0071675A">
        <w:rPr>
          <w:rFonts w:eastAsia="Calibri"/>
          <w:sz w:val="24"/>
          <w:szCs w:val="22"/>
        </w:rPr>
        <w:t xml:space="preserve"> international harmonisation (for both test methods and energy efficiency standards).</w:t>
      </w:r>
      <w:r w:rsidRPr="0071675A" w:rsidDel="00554654">
        <w:rPr>
          <w:rFonts w:eastAsia="Calibri"/>
          <w:sz w:val="24"/>
          <w:szCs w:val="22"/>
        </w:rPr>
        <w:t xml:space="preserve"> </w:t>
      </w:r>
    </w:p>
    <w:p w:rsidR="009D32DA" w:rsidRDefault="00147A93" w:rsidP="009D32DA">
      <w:pPr>
        <w:suppressAutoHyphens/>
        <w:spacing w:after="120" w:line="288" w:lineRule="auto"/>
        <w:rPr>
          <w:sz w:val="24"/>
        </w:rPr>
      </w:pPr>
      <w:r>
        <w:rPr>
          <w:rFonts w:eastAsia="Calibri"/>
          <w:sz w:val="24"/>
          <w:szCs w:val="24"/>
        </w:rPr>
        <w:t>GEMS</w:t>
      </w:r>
      <w:r w:rsidRPr="005B2706">
        <w:rPr>
          <w:rFonts w:eastAsia="Calibri"/>
          <w:sz w:val="24"/>
          <w:szCs w:val="24"/>
        </w:rPr>
        <w:t xml:space="preserve"> regulations save the average Australian household between $140 and $220 on their electricity bill each year. </w:t>
      </w:r>
      <w:r w:rsidRPr="005B34F0">
        <w:rPr>
          <w:sz w:val="24"/>
        </w:rPr>
        <w:t xml:space="preserve">The bulk of the benefits of GEMS regulations for households are delivered through appliances such as air conditioners, lighting and refrigerators. </w:t>
      </w:r>
      <w:r w:rsidR="009D32DA" w:rsidRPr="009D32DA">
        <w:rPr>
          <w:sz w:val="24"/>
        </w:rPr>
        <w:t xml:space="preserve">See </w:t>
      </w:r>
      <w:r w:rsidR="009D32DA" w:rsidRPr="009D32DA">
        <w:rPr>
          <w:b/>
          <w:sz w:val="24"/>
        </w:rPr>
        <w:t>Box 2</w:t>
      </w:r>
      <w:r w:rsidR="009D32DA" w:rsidRPr="009D32DA">
        <w:rPr>
          <w:sz w:val="24"/>
        </w:rPr>
        <w:t xml:space="preserve"> for examples of the type of household savings on energy bills resulting from GEMS regulations</w:t>
      </w:r>
      <w:r w:rsidR="009D32DA">
        <w:rPr>
          <w:sz w:val="24"/>
        </w:rPr>
        <w:t xml:space="preserve">. </w:t>
      </w:r>
    </w:p>
    <w:p w:rsidR="00147A93" w:rsidRPr="005B2706" w:rsidRDefault="00147A93" w:rsidP="009D32DA">
      <w:pPr>
        <w:suppressAutoHyphens/>
        <w:spacing w:after="120" w:line="288" w:lineRule="auto"/>
        <w:rPr>
          <w:rFonts w:eastAsia="Calibri"/>
          <w:sz w:val="24"/>
          <w:szCs w:val="24"/>
        </w:rPr>
      </w:pPr>
      <w:r w:rsidRPr="005B2706">
        <w:rPr>
          <w:rFonts w:eastAsia="Calibri"/>
          <w:sz w:val="24"/>
          <w:szCs w:val="24"/>
        </w:rPr>
        <w:t>Between 2000 and 2014,</w:t>
      </w:r>
      <w:r>
        <w:rPr>
          <w:rFonts w:eastAsia="Calibri"/>
          <w:sz w:val="24"/>
          <w:szCs w:val="24"/>
        </w:rPr>
        <w:t xml:space="preserve"> the</w:t>
      </w:r>
      <w:r w:rsidRPr="005B2706">
        <w:rPr>
          <w:rFonts w:eastAsia="Calibri"/>
          <w:sz w:val="24"/>
          <w:szCs w:val="24"/>
        </w:rPr>
        <w:t xml:space="preserve"> E3 Program delivered </w:t>
      </w:r>
      <w:r w:rsidRPr="00820EB1">
        <w:rPr>
          <w:rFonts w:eastAsia="Calibri"/>
          <w:sz w:val="24"/>
          <w:szCs w:val="24"/>
        </w:rPr>
        <w:t xml:space="preserve">a net benefit to </w:t>
      </w:r>
      <w:r w:rsidR="00820EB1" w:rsidRPr="007D7C2B">
        <w:rPr>
          <w:rFonts w:eastAsia="Calibri"/>
          <w:sz w:val="24"/>
          <w:szCs w:val="24"/>
        </w:rPr>
        <w:t>consumers</w:t>
      </w:r>
      <w:r w:rsidR="00820EB1" w:rsidRPr="00820EB1">
        <w:rPr>
          <w:rFonts w:eastAsia="Calibri"/>
          <w:sz w:val="24"/>
          <w:szCs w:val="24"/>
        </w:rPr>
        <w:t xml:space="preserve"> </w:t>
      </w:r>
      <w:r w:rsidRPr="00820EB1">
        <w:rPr>
          <w:rFonts w:eastAsia="Calibri"/>
          <w:sz w:val="24"/>
          <w:szCs w:val="24"/>
        </w:rPr>
        <w:t>of between $4.3 and $7.8 billion</w:t>
      </w:r>
      <w:r w:rsidRPr="005B2706">
        <w:rPr>
          <w:rFonts w:eastAsia="Calibri"/>
          <w:sz w:val="24"/>
          <w:szCs w:val="24"/>
        </w:rPr>
        <w:t xml:space="preserve">. The program also reduced Australia’s emissions by between 23 and 35 million tonnes. </w:t>
      </w:r>
    </w:p>
    <w:p w:rsidR="00147A93" w:rsidRDefault="00147A93" w:rsidP="00147A93">
      <w:pPr>
        <w:suppressAutoHyphens/>
        <w:spacing w:after="200" w:line="288" w:lineRule="auto"/>
        <w:rPr>
          <w:rFonts w:eastAsia="Calibri"/>
          <w:sz w:val="24"/>
          <w:szCs w:val="24"/>
        </w:rPr>
      </w:pPr>
      <w:r w:rsidRPr="005B2706">
        <w:rPr>
          <w:rFonts w:eastAsia="Calibri"/>
          <w:sz w:val="24"/>
          <w:szCs w:val="24"/>
        </w:rPr>
        <w:t xml:space="preserve">From 2015 to 2020, the </w:t>
      </w:r>
      <w:r>
        <w:rPr>
          <w:rFonts w:eastAsia="Calibri"/>
          <w:sz w:val="24"/>
          <w:szCs w:val="24"/>
        </w:rPr>
        <w:t>GEMS regulations are</w:t>
      </w:r>
      <w:r w:rsidRPr="005B2706">
        <w:rPr>
          <w:rFonts w:eastAsia="Calibri"/>
          <w:sz w:val="24"/>
          <w:szCs w:val="24"/>
        </w:rPr>
        <w:t xml:space="preserve"> projected to deliver a further net benefit of between $5.1</w:t>
      </w:r>
      <w:r>
        <w:rPr>
          <w:rFonts w:eastAsia="Calibri"/>
          <w:sz w:val="24"/>
          <w:szCs w:val="24"/>
        </w:rPr>
        <w:t> </w:t>
      </w:r>
      <w:r w:rsidRPr="005B2706">
        <w:rPr>
          <w:rFonts w:eastAsia="Calibri"/>
          <w:sz w:val="24"/>
          <w:szCs w:val="24"/>
        </w:rPr>
        <w:t>and $11 billion. In this same period, the program is projected to deliver between 27 and 44</w:t>
      </w:r>
      <w:r>
        <w:rPr>
          <w:rFonts w:eastAsia="Calibri"/>
          <w:sz w:val="24"/>
          <w:szCs w:val="24"/>
        </w:rPr>
        <w:t> </w:t>
      </w:r>
      <w:r w:rsidRPr="005B2706">
        <w:rPr>
          <w:rFonts w:eastAsia="Calibri"/>
          <w:sz w:val="24"/>
          <w:szCs w:val="24"/>
        </w:rPr>
        <w:t>million tonnes of greenhouse gas emissions savings.</w:t>
      </w:r>
    </w:p>
    <w:p w:rsidR="00820EB1" w:rsidRPr="005B2706" w:rsidRDefault="00820EB1" w:rsidP="00820EB1">
      <w:pPr>
        <w:suppressAutoHyphens/>
        <w:spacing w:after="200" w:line="288" w:lineRule="auto"/>
        <w:rPr>
          <w:rFonts w:eastAsia="Calibri"/>
          <w:sz w:val="24"/>
          <w:szCs w:val="24"/>
        </w:rPr>
      </w:pPr>
      <w:r w:rsidRPr="007D7C2B">
        <w:rPr>
          <w:rFonts w:eastAsia="Calibri"/>
          <w:sz w:val="24"/>
          <w:szCs w:val="24"/>
        </w:rPr>
        <w:t>In 2016, the net savings of GEMS regulations to the Australian economy was in the range of $870 million to $1.58 billion, with greenhouse gas emissions savings of between 4.5 and 6.9 million tonnes. That is the equivalent of half of Queensland’s annual household emissions.</w:t>
      </w:r>
      <w:r w:rsidRPr="005B2706">
        <w:rPr>
          <w:rFonts w:eastAsia="Calibri"/>
          <w:sz w:val="24"/>
          <w:szCs w:val="24"/>
        </w:rPr>
        <w:t xml:space="preserve"> </w:t>
      </w:r>
    </w:p>
    <w:p w:rsidR="00147A93" w:rsidRDefault="00147A93" w:rsidP="00147A93">
      <w:pPr>
        <w:suppressAutoHyphens/>
        <w:spacing w:after="120" w:line="288" w:lineRule="auto"/>
        <w:rPr>
          <w:b/>
          <w:sz w:val="24"/>
        </w:rPr>
      </w:pPr>
      <w:r w:rsidRPr="005B2706">
        <w:rPr>
          <w:rFonts w:eastAsia="Calibri"/>
          <w:sz w:val="24"/>
          <w:szCs w:val="24"/>
        </w:rPr>
        <w:t xml:space="preserve">Over the 2020 emissions reduction period, equipment and appliances standards are expected to deliver between 50 and 79 million tonnes of greenhouse gas emissions savings, which equates to </w:t>
      </w:r>
      <w:r>
        <w:rPr>
          <w:rFonts w:eastAsia="Calibri"/>
          <w:sz w:val="24"/>
          <w:szCs w:val="24"/>
        </w:rPr>
        <w:t>nine</w:t>
      </w:r>
      <w:r w:rsidRPr="005B2706">
        <w:rPr>
          <w:rFonts w:eastAsia="Calibri"/>
          <w:sz w:val="24"/>
          <w:szCs w:val="24"/>
        </w:rPr>
        <w:t xml:space="preserve"> to 15 per cent of Australia’s 2020 emissions reduction </w:t>
      </w:r>
      <w:r w:rsidRPr="00830ECF">
        <w:rPr>
          <w:rFonts w:eastAsia="Calibri"/>
          <w:sz w:val="24"/>
          <w:szCs w:val="24"/>
        </w:rPr>
        <w:t>target.</w:t>
      </w:r>
      <w:r w:rsidRPr="00830ECF">
        <w:rPr>
          <w:b/>
          <w:sz w:val="24"/>
        </w:rPr>
        <w:t xml:space="preserve"> </w:t>
      </w:r>
    </w:p>
    <w:p w:rsidR="00147A93" w:rsidRDefault="00147A93" w:rsidP="00147A93">
      <w:pPr>
        <w:suppressAutoHyphens/>
        <w:spacing w:after="120" w:line="288" w:lineRule="auto"/>
        <w:rPr>
          <w:sz w:val="24"/>
        </w:rPr>
      </w:pPr>
      <w:r w:rsidRPr="00325512">
        <w:rPr>
          <w:sz w:val="24"/>
        </w:rPr>
        <w:t>A guide to the calculations o</w:t>
      </w:r>
      <w:r w:rsidR="009D32DA">
        <w:rPr>
          <w:sz w:val="24"/>
        </w:rPr>
        <w:t>f</w:t>
      </w:r>
      <w:r w:rsidRPr="00325512">
        <w:rPr>
          <w:sz w:val="24"/>
        </w:rPr>
        <w:t xml:space="preserve"> the impact of the GEMS Act is </w:t>
      </w:r>
      <w:r w:rsidRPr="0094293A">
        <w:rPr>
          <w:sz w:val="24"/>
        </w:rPr>
        <w:t xml:space="preserve">at </w:t>
      </w:r>
      <w:r w:rsidRPr="00DC08FC">
        <w:rPr>
          <w:b/>
          <w:sz w:val="24"/>
        </w:rPr>
        <w:t>Appendix B</w:t>
      </w:r>
      <w:r w:rsidRPr="0094293A">
        <w:rPr>
          <w:sz w:val="24"/>
        </w:rPr>
        <w:t>.</w:t>
      </w:r>
      <w:r w:rsidRPr="00325512">
        <w:rPr>
          <w:sz w:val="24"/>
        </w:rPr>
        <w:t xml:space="preserve"> </w:t>
      </w:r>
    </w:p>
    <w:p w:rsidR="00147A93" w:rsidRDefault="00147A93" w:rsidP="00147A93">
      <w:pPr>
        <w:rPr>
          <w:sz w:val="18"/>
        </w:rPr>
      </w:pPr>
      <w:r>
        <w:rPr>
          <w:noProof/>
          <w:lang w:eastAsia="en-AU"/>
        </w:rPr>
        <mc:AlternateContent>
          <mc:Choice Requires="wps">
            <w:drawing>
              <wp:anchor distT="45720" distB="45720" distL="114300" distR="114300" simplePos="0" relativeHeight="251701248" behindDoc="0" locked="0" layoutInCell="1" allowOverlap="1" wp14:anchorId="6C2DE424" wp14:editId="02BE0A56">
                <wp:simplePos x="0" y="0"/>
                <wp:positionH relativeFrom="margin">
                  <wp:posOffset>12700</wp:posOffset>
                </wp:positionH>
                <wp:positionV relativeFrom="paragraph">
                  <wp:posOffset>4445</wp:posOffset>
                </wp:positionV>
                <wp:extent cx="6400800" cy="24384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38400"/>
                        </a:xfrm>
                        <a:prstGeom prst="rect">
                          <a:avLst/>
                        </a:prstGeom>
                        <a:solidFill>
                          <a:srgbClr val="FFFFFF"/>
                        </a:solidFill>
                        <a:ln w="9525">
                          <a:solidFill>
                            <a:srgbClr val="000000"/>
                          </a:solidFill>
                          <a:miter lim="800000"/>
                          <a:headEnd/>
                          <a:tailEnd/>
                        </a:ln>
                      </wps:spPr>
                      <wps:txbx>
                        <w:txbxContent>
                          <w:p w:rsidR="00E12B40" w:rsidRPr="00FE149E" w:rsidRDefault="00E12B40" w:rsidP="00147A93">
                            <w:pPr>
                              <w:suppressAutoHyphens/>
                              <w:spacing w:after="120"/>
                              <w:rPr>
                                <w:b/>
                                <w:sz w:val="24"/>
                              </w:rPr>
                            </w:pPr>
                            <w:r w:rsidRPr="00FE149E">
                              <w:rPr>
                                <w:b/>
                                <w:sz w:val="24"/>
                              </w:rPr>
                              <w:t>Box 2:</w:t>
                            </w:r>
                            <w:r>
                              <w:rPr>
                                <w:b/>
                                <w:sz w:val="24"/>
                              </w:rPr>
                              <w:t xml:space="preserve"> Examples of</w:t>
                            </w:r>
                            <w:r w:rsidRPr="00FE149E">
                              <w:rPr>
                                <w:b/>
                                <w:sz w:val="24"/>
                              </w:rPr>
                              <w:t xml:space="preserve"> </w:t>
                            </w:r>
                            <w:r>
                              <w:rPr>
                                <w:b/>
                                <w:sz w:val="24"/>
                              </w:rPr>
                              <w:t>potential household savings using GEMS information</w:t>
                            </w:r>
                          </w:p>
                          <w:p w:rsidR="00E12B40" w:rsidRPr="007D7C2B" w:rsidRDefault="00E12B40" w:rsidP="0032529E">
                            <w:pPr>
                              <w:suppressAutoHyphens/>
                              <w:spacing w:after="120"/>
                              <w:rPr>
                                <w:sz w:val="24"/>
                              </w:rPr>
                            </w:pPr>
                            <w:r w:rsidRPr="007D7C2B">
                              <w:rPr>
                                <w:sz w:val="24"/>
                              </w:rPr>
                              <w:t xml:space="preserve">Purchasing appliances that are more energy efficient may cost more upfront but they can save consumers money in the long term. For example: </w:t>
                            </w:r>
                          </w:p>
                          <w:p w:rsidR="00E12B40" w:rsidRPr="007D7C2B" w:rsidRDefault="00E12B40" w:rsidP="00510E20">
                            <w:pPr>
                              <w:numPr>
                                <w:ilvl w:val="0"/>
                                <w:numId w:val="3"/>
                              </w:numPr>
                              <w:suppressAutoHyphens/>
                              <w:spacing w:after="120"/>
                              <w:rPr>
                                <w:sz w:val="24"/>
                              </w:rPr>
                            </w:pPr>
                            <w:r w:rsidRPr="007D7C2B">
                              <w:rPr>
                                <w:sz w:val="24"/>
                              </w:rPr>
                              <w:t>For an upfront cost of an additional $366, a family using an 8kg clothes dryer twice a week could save $1150 over 10 years by using a 7 star dryer (e.g. a heat pump dryer) over a 2 star dryer (e.g. a condenser dryer).</w:t>
                            </w:r>
                          </w:p>
                          <w:p w:rsidR="00E12B40" w:rsidRPr="007D7C2B" w:rsidRDefault="00E12B40" w:rsidP="00510E20">
                            <w:pPr>
                              <w:numPr>
                                <w:ilvl w:val="0"/>
                                <w:numId w:val="3"/>
                              </w:numPr>
                              <w:suppressAutoHyphens/>
                              <w:spacing w:after="120"/>
                              <w:rPr>
                                <w:sz w:val="24"/>
                              </w:rPr>
                            </w:pPr>
                            <w:r w:rsidRPr="007D7C2B">
                              <w:rPr>
                                <w:sz w:val="24"/>
                              </w:rPr>
                              <w:t xml:space="preserve">For an upfront cost of an additional $360, purchasing an 8 star swimming pool pump over a 2 star pump could save the household over $540 per year in electricity. </w:t>
                            </w:r>
                          </w:p>
                          <w:p w:rsidR="00E12B40" w:rsidRPr="007D7C2B" w:rsidRDefault="00E12B40" w:rsidP="00510E20">
                            <w:pPr>
                              <w:numPr>
                                <w:ilvl w:val="0"/>
                                <w:numId w:val="3"/>
                              </w:numPr>
                              <w:suppressAutoHyphens/>
                              <w:spacing w:after="120"/>
                              <w:ind w:left="357" w:hanging="357"/>
                              <w:rPr>
                                <w:sz w:val="24"/>
                              </w:rPr>
                            </w:pPr>
                            <w:r w:rsidRPr="007D7C2B">
                              <w:rPr>
                                <w:sz w:val="24"/>
                              </w:rPr>
                              <w:t xml:space="preserve">For no additional upfront cost, a 4 star 600L fridge, on average, could save families with two fridges $514 over their lifetime compared to s 3 star fridge. Energy efficiency does not greatly affect the cost of fridges.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DE424" id="_x0000_s1027" type="#_x0000_t202" style="position:absolute;margin-left:1pt;margin-top:.35pt;width:7in;height:19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OxJQIAAE0EAAAOAAAAZHJzL2Uyb0RvYy54bWysVNtu2zAMfR+wfxD0vtjJki414hRdugwD&#10;ugvQ7gNoWY6FSaInKbG7ry8lp2l2exnmB0EUqaPDQ9Krq8FodpDOK7Qln05yzqQVWCu7K/nX++2r&#10;JWc+gK1Bo5Ulf5CeX61fvlj1XSFn2KKupWMEYn3RdyVvQ+iKLPOilQb8BDtpydmgMxDIdLusdtAT&#10;utHZLM8vsh5d3TkU0ns6vRmdfJ3wm0aK8LlpvAxMl5y4hbS6tFZxzdYrKHYOulaJIw34BxYGlKVH&#10;T1A3EIDtnfoNyijh0GMTJgJNhk2jhEw5UDbT/Jds7lroZMqFxPHdSSb//2DFp8MXx1RNtVtwZsFQ&#10;je7lENhbHNgsytN3vqCou47iwkDHFJpS9d0tim+eWdy0YHfy2jnsWwk10ZvGm9nZ1RHHR5Cq/4g1&#10;PQP7gAloaJyJ2pEajNCpTA+n0kQqgg4v5nm+zMklyDebv16Snd6A4ul653x4L9GwuCm5o9oneDjc&#10;+hDpQPEUEl/zqFW9VVonw+2qjXbsANQn2/Qd0X8K05b1Jb9czBajAn+FyNP3JwijAjW8VqbklA99&#10;MQiKqNs7W6d9AKXHPVHW9ihk1G5UMQzVMJYs3o0iV1g/kLIOx/6meaRNi+4HZz31dsn99z04yZn+&#10;YKk6l9P5PA5DMuaLNzMy3LmnOveAFQRV8sDZuN2ENECRtsVrqmKjkr7PTI6UqWeT7Mf5ikNxbqeo&#10;57/A+hEAAP//AwBQSwMEFAAGAAgAAAAhAFOKPyjdAAAABwEAAA8AAABkcnMvZG93bnJldi54bWxM&#10;j81OwzAQhO9IvIO1SFwQdfqjJoRsKoQEghsUBFc33iYR9jrYbhreHvcEx9GMZr6pNpM1YiQfescI&#10;81kGgrhxuucW4f3t4boAEaJirYxjQvihAJv6/KxSpXZHfqVxG1uRSjiUCqGLcSilDE1HVoWZG4iT&#10;t3feqpikb6X26pjKrZGLLFtLq3pOC50a6L6j5mt7sAjF6mn8DM/Ll49mvTc38SofH7894uXFdHcL&#10;ItIU/8Jwwk/oUCemnTuwDsIgLNKTiJCDOJnZPEt6h7AsVjnIupL/+etfAAAA//8DAFBLAQItABQA&#10;BgAIAAAAIQC2gziS/gAAAOEBAAATAAAAAAAAAAAAAAAAAAAAAABbQ29udGVudF9UeXBlc10ueG1s&#10;UEsBAi0AFAAGAAgAAAAhADj9If/WAAAAlAEAAAsAAAAAAAAAAAAAAAAALwEAAF9yZWxzLy5yZWxz&#10;UEsBAi0AFAAGAAgAAAAhAASsI7ElAgAATQQAAA4AAAAAAAAAAAAAAAAALgIAAGRycy9lMm9Eb2Mu&#10;eG1sUEsBAi0AFAAGAAgAAAAhAFOKPyjdAAAABwEAAA8AAAAAAAAAAAAAAAAAfwQAAGRycy9kb3du&#10;cmV2LnhtbFBLBQYAAAAABAAEAPMAAACJBQAAAAA=&#10;">
                <v:textbox>
                  <w:txbxContent>
                    <w:p w:rsidR="00E12B40" w:rsidRPr="00FE149E" w:rsidRDefault="00E12B40" w:rsidP="00147A93">
                      <w:pPr>
                        <w:suppressAutoHyphens/>
                        <w:spacing w:after="120"/>
                        <w:rPr>
                          <w:b/>
                          <w:sz w:val="24"/>
                        </w:rPr>
                      </w:pPr>
                      <w:r w:rsidRPr="00FE149E">
                        <w:rPr>
                          <w:b/>
                          <w:sz w:val="24"/>
                        </w:rPr>
                        <w:t>Box 2:</w:t>
                      </w:r>
                      <w:r>
                        <w:rPr>
                          <w:b/>
                          <w:sz w:val="24"/>
                        </w:rPr>
                        <w:t xml:space="preserve"> Examples of</w:t>
                      </w:r>
                      <w:r w:rsidRPr="00FE149E">
                        <w:rPr>
                          <w:b/>
                          <w:sz w:val="24"/>
                        </w:rPr>
                        <w:t xml:space="preserve"> </w:t>
                      </w:r>
                      <w:r>
                        <w:rPr>
                          <w:b/>
                          <w:sz w:val="24"/>
                        </w:rPr>
                        <w:t>potential household savings using GEMS information</w:t>
                      </w:r>
                    </w:p>
                    <w:p w:rsidR="00E12B40" w:rsidRPr="007D7C2B" w:rsidRDefault="00E12B40" w:rsidP="0032529E">
                      <w:pPr>
                        <w:suppressAutoHyphens/>
                        <w:spacing w:after="120"/>
                        <w:rPr>
                          <w:sz w:val="24"/>
                        </w:rPr>
                      </w:pPr>
                      <w:r w:rsidRPr="007D7C2B">
                        <w:rPr>
                          <w:sz w:val="24"/>
                        </w:rPr>
                        <w:t xml:space="preserve">Purchasing appliances that are more energy efficient may cost more upfront but they can save consumers money in the long term. For example: </w:t>
                      </w:r>
                    </w:p>
                    <w:p w:rsidR="00E12B40" w:rsidRPr="007D7C2B" w:rsidRDefault="00E12B40" w:rsidP="00510E20">
                      <w:pPr>
                        <w:numPr>
                          <w:ilvl w:val="0"/>
                          <w:numId w:val="3"/>
                        </w:numPr>
                        <w:suppressAutoHyphens/>
                        <w:spacing w:after="120"/>
                        <w:rPr>
                          <w:sz w:val="24"/>
                        </w:rPr>
                      </w:pPr>
                      <w:r w:rsidRPr="007D7C2B">
                        <w:rPr>
                          <w:sz w:val="24"/>
                        </w:rPr>
                        <w:t>For an upfront cost of an additional $366, a family using an 8kg clothes dryer twice a week could save $1150 over 10 years by using a 7 star dryer (e.g. a heat pump dryer) over a 2 star dryer (e.g. a condenser dryer).</w:t>
                      </w:r>
                    </w:p>
                    <w:p w:rsidR="00E12B40" w:rsidRPr="007D7C2B" w:rsidRDefault="00E12B40" w:rsidP="00510E20">
                      <w:pPr>
                        <w:numPr>
                          <w:ilvl w:val="0"/>
                          <w:numId w:val="3"/>
                        </w:numPr>
                        <w:suppressAutoHyphens/>
                        <w:spacing w:after="120"/>
                        <w:rPr>
                          <w:sz w:val="24"/>
                        </w:rPr>
                      </w:pPr>
                      <w:r w:rsidRPr="007D7C2B">
                        <w:rPr>
                          <w:sz w:val="24"/>
                        </w:rPr>
                        <w:t xml:space="preserve">For an upfront cost of an additional $360, purchasing an 8 star swimming pool pump over a 2 star pump could save the household over $540 per year in electricity. </w:t>
                      </w:r>
                    </w:p>
                    <w:p w:rsidR="00E12B40" w:rsidRPr="007D7C2B" w:rsidRDefault="00E12B40" w:rsidP="00510E20">
                      <w:pPr>
                        <w:numPr>
                          <w:ilvl w:val="0"/>
                          <w:numId w:val="3"/>
                        </w:numPr>
                        <w:suppressAutoHyphens/>
                        <w:spacing w:after="120"/>
                        <w:ind w:left="357" w:hanging="357"/>
                        <w:rPr>
                          <w:sz w:val="24"/>
                        </w:rPr>
                      </w:pPr>
                      <w:r w:rsidRPr="007D7C2B">
                        <w:rPr>
                          <w:sz w:val="24"/>
                        </w:rPr>
                        <w:t xml:space="preserve">For no additional upfront cost, a 4 star 600L fridge, on average, could save families with two fridges $514 over their lifetime compared to s 3 star fridge. Energy efficiency does not greatly affect the cost of fridges. </w:t>
                      </w:r>
                    </w:p>
                  </w:txbxContent>
                </v:textbox>
                <w10:wrap type="square" anchorx="margin"/>
              </v:shape>
            </w:pict>
          </mc:Fallback>
        </mc:AlternateContent>
      </w:r>
      <w:r>
        <w:rPr>
          <w:sz w:val="18"/>
        </w:rPr>
        <w:br w:type="page"/>
      </w:r>
    </w:p>
    <w:p w:rsidR="00707A0D" w:rsidRDefault="00147A93" w:rsidP="00707A0D">
      <w:pPr>
        <w:pStyle w:val="Heading1"/>
      </w:pPr>
      <w:bookmarkStart w:id="29" w:name="_Toc507145445"/>
      <w:r>
        <w:t>3</w:t>
      </w:r>
      <w:r w:rsidR="00707A0D">
        <w:t>. Context</w:t>
      </w:r>
      <w:bookmarkEnd w:id="29"/>
    </w:p>
    <w:p w:rsidR="00707A0D" w:rsidRPr="00C5730F" w:rsidRDefault="00147A93" w:rsidP="00FE149E">
      <w:pPr>
        <w:pStyle w:val="Heading2"/>
        <w:spacing w:before="120"/>
      </w:pPr>
      <w:bookmarkStart w:id="30" w:name="_Toc507145446"/>
      <w:proofErr w:type="gramStart"/>
      <w:r>
        <w:t>3</w:t>
      </w:r>
      <w:r w:rsidR="00707A0D">
        <w:t>.</w:t>
      </w:r>
      <w:r w:rsidR="00707A0D" w:rsidRPr="00C5730F">
        <w:t>1  Key</w:t>
      </w:r>
      <w:proofErr w:type="gramEnd"/>
      <w:r w:rsidR="00707A0D" w:rsidRPr="00C5730F">
        <w:t xml:space="preserve"> prohibitions</w:t>
      </w:r>
      <w:bookmarkEnd w:id="30"/>
    </w:p>
    <w:p w:rsidR="00707A0D" w:rsidRPr="00C5730F" w:rsidRDefault="00707A0D" w:rsidP="00707A0D">
      <w:pPr>
        <w:suppressAutoHyphens/>
        <w:spacing w:after="120" w:line="288" w:lineRule="auto"/>
        <w:ind w:left="567"/>
        <w:rPr>
          <w:rFonts w:eastAsia="Calibri"/>
          <w:sz w:val="24"/>
          <w:szCs w:val="22"/>
        </w:rPr>
      </w:pPr>
      <w:r w:rsidRPr="00C5730F">
        <w:rPr>
          <w:rFonts w:eastAsia="Calibri"/>
          <w:sz w:val="24"/>
          <w:szCs w:val="22"/>
        </w:rPr>
        <w:t>The GEMS Act gives effect to the policy objectives outlined above by placing key, high-level obligations – the key prohibitions – on manufacturers, importers, and suppliers in terms of the supply and use for a commercial purpose</w:t>
      </w:r>
      <w:r w:rsidRPr="00C5730F">
        <w:rPr>
          <w:rFonts w:eastAsia="Calibri"/>
          <w:sz w:val="24"/>
          <w:szCs w:val="22"/>
          <w:vertAlign w:val="superscript"/>
        </w:rPr>
        <w:footnoteReference w:id="2"/>
      </w:r>
      <w:r w:rsidRPr="00C5730F">
        <w:rPr>
          <w:rFonts w:eastAsia="Calibri"/>
          <w:sz w:val="24"/>
          <w:szCs w:val="22"/>
        </w:rPr>
        <w:t xml:space="preserve"> of regulated products in Australia. The key prohibitions in the GEMS Act are set out in Division 2 and Division 3 of Part 3.</w:t>
      </w:r>
    </w:p>
    <w:p w:rsidR="00707A0D" w:rsidRPr="00C5730F" w:rsidRDefault="00707A0D" w:rsidP="00707A0D">
      <w:pPr>
        <w:suppressAutoHyphens/>
        <w:spacing w:after="120" w:line="288" w:lineRule="auto"/>
        <w:ind w:left="567"/>
        <w:rPr>
          <w:rFonts w:eastAsia="Calibri"/>
          <w:sz w:val="24"/>
          <w:szCs w:val="22"/>
        </w:rPr>
      </w:pPr>
      <w:r w:rsidRPr="00C5730F">
        <w:rPr>
          <w:rFonts w:eastAsia="Calibri"/>
          <w:sz w:val="24"/>
          <w:szCs w:val="22"/>
        </w:rPr>
        <w:t>Division 2 relates to the circumstances in which the supply, or offer to supply, of a GEMS product is not permitted. These are when:</w:t>
      </w:r>
    </w:p>
    <w:p w:rsidR="00707A0D" w:rsidRPr="00C5730F" w:rsidRDefault="00707A0D" w:rsidP="009A3738">
      <w:pPr>
        <w:numPr>
          <w:ilvl w:val="1"/>
          <w:numId w:val="12"/>
        </w:numPr>
        <w:suppressAutoHyphens/>
        <w:spacing w:after="120" w:line="288" w:lineRule="auto"/>
        <w:ind w:left="993" w:hanging="426"/>
        <w:rPr>
          <w:rFonts w:eastAsia="Calibri"/>
          <w:sz w:val="24"/>
          <w:szCs w:val="22"/>
        </w:rPr>
      </w:pPr>
      <w:proofErr w:type="gramStart"/>
      <w:r w:rsidRPr="00C5730F">
        <w:rPr>
          <w:rFonts w:eastAsia="Calibri"/>
          <w:sz w:val="24"/>
          <w:szCs w:val="22"/>
        </w:rPr>
        <w:t>the</w:t>
      </w:r>
      <w:proofErr w:type="gramEnd"/>
      <w:r w:rsidRPr="00C5730F">
        <w:rPr>
          <w:rFonts w:eastAsia="Calibri"/>
          <w:sz w:val="24"/>
          <w:szCs w:val="22"/>
        </w:rPr>
        <w:t xml:space="preserve"> product does not comply with the requirements of the relevant GEMS determination, or when a requirement of that determination is not complied with in supplying the product (section 16). </w:t>
      </w:r>
    </w:p>
    <w:p w:rsidR="00707A0D" w:rsidRPr="00C5730F" w:rsidRDefault="00707A0D" w:rsidP="009A3738">
      <w:pPr>
        <w:numPr>
          <w:ilvl w:val="1"/>
          <w:numId w:val="12"/>
        </w:numPr>
        <w:suppressAutoHyphens/>
        <w:spacing w:after="120" w:line="288" w:lineRule="auto"/>
        <w:ind w:left="993" w:hanging="426"/>
        <w:rPr>
          <w:rFonts w:eastAsia="Calibri"/>
          <w:sz w:val="24"/>
          <w:szCs w:val="22"/>
        </w:rPr>
      </w:pPr>
      <w:proofErr w:type="gramStart"/>
      <w:r w:rsidRPr="00C5730F">
        <w:rPr>
          <w:rFonts w:eastAsia="Calibri"/>
          <w:sz w:val="24"/>
          <w:szCs w:val="22"/>
        </w:rPr>
        <w:t>the</w:t>
      </w:r>
      <w:proofErr w:type="gramEnd"/>
      <w:r w:rsidRPr="00C5730F">
        <w:rPr>
          <w:rFonts w:eastAsia="Calibri"/>
          <w:sz w:val="24"/>
          <w:szCs w:val="22"/>
        </w:rPr>
        <w:t xml:space="preserve"> product is not registered against the relevant GEMS determination (section 17).</w:t>
      </w:r>
    </w:p>
    <w:p w:rsidR="00707A0D" w:rsidRPr="00C5730F" w:rsidRDefault="00707A0D" w:rsidP="008773B4">
      <w:pPr>
        <w:spacing w:after="120"/>
        <w:ind w:left="567"/>
        <w:rPr>
          <w:rFonts w:eastAsia="Calibri"/>
          <w:sz w:val="24"/>
          <w:szCs w:val="22"/>
        </w:rPr>
      </w:pPr>
      <w:r w:rsidRPr="00C5730F">
        <w:rPr>
          <w:rFonts w:eastAsia="Calibri"/>
          <w:sz w:val="24"/>
          <w:szCs w:val="22"/>
        </w:rPr>
        <w:t>Division 3 relates to the circumstances in which using GEMS products for commercial purposes is not permitted. Similar to Division 2, these are when:</w:t>
      </w:r>
    </w:p>
    <w:p w:rsidR="00707A0D" w:rsidRPr="00C5730F" w:rsidRDefault="00707A0D" w:rsidP="009A3738">
      <w:pPr>
        <w:numPr>
          <w:ilvl w:val="1"/>
          <w:numId w:val="12"/>
        </w:numPr>
        <w:suppressAutoHyphens/>
        <w:spacing w:after="120" w:line="288" w:lineRule="auto"/>
        <w:ind w:left="993" w:hanging="426"/>
        <w:rPr>
          <w:rFonts w:eastAsia="Calibri"/>
          <w:sz w:val="24"/>
          <w:szCs w:val="22"/>
        </w:rPr>
      </w:pPr>
      <w:proofErr w:type="gramStart"/>
      <w:r w:rsidRPr="00C5730F">
        <w:rPr>
          <w:rFonts w:eastAsia="Calibri"/>
          <w:sz w:val="24"/>
          <w:szCs w:val="22"/>
        </w:rPr>
        <w:t>the</w:t>
      </w:r>
      <w:proofErr w:type="gramEnd"/>
      <w:r w:rsidRPr="00C5730F">
        <w:rPr>
          <w:rFonts w:eastAsia="Calibri"/>
          <w:sz w:val="24"/>
          <w:szCs w:val="22"/>
        </w:rPr>
        <w:t xml:space="preserve"> product does not comply with the requirements of the relevant GEMS determination, and the use is the person’s first use of the GEMS product (section 18). </w:t>
      </w:r>
    </w:p>
    <w:p w:rsidR="00707A0D" w:rsidRPr="00C5730F" w:rsidRDefault="00707A0D" w:rsidP="009A3738">
      <w:pPr>
        <w:numPr>
          <w:ilvl w:val="1"/>
          <w:numId w:val="12"/>
        </w:numPr>
        <w:suppressAutoHyphens/>
        <w:spacing w:after="120" w:line="288" w:lineRule="auto"/>
        <w:ind w:left="993" w:hanging="426"/>
        <w:rPr>
          <w:rFonts w:eastAsia="Calibri"/>
          <w:sz w:val="24"/>
          <w:szCs w:val="22"/>
        </w:rPr>
      </w:pPr>
      <w:proofErr w:type="gramStart"/>
      <w:r w:rsidRPr="00C5730F">
        <w:rPr>
          <w:rFonts w:eastAsia="Calibri"/>
          <w:sz w:val="24"/>
          <w:szCs w:val="22"/>
        </w:rPr>
        <w:t>the</w:t>
      </w:r>
      <w:proofErr w:type="gramEnd"/>
      <w:r w:rsidRPr="00C5730F">
        <w:rPr>
          <w:rFonts w:eastAsia="Calibri"/>
          <w:sz w:val="24"/>
          <w:szCs w:val="22"/>
        </w:rPr>
        <w:t xml:space="preserve"> product is not registered against the relevant GEMS determination, and the use is the person’s first use of the GEMS product (section 19).</w:t>
      </w:r>
    </w:p>
    <w:p w:rsidR="00707A0D" w:rsidRDefault="00147A93" w:rsidP="00707A0D">
      <w:pPr>
        <w:pStyle w:val="Heading2"/>
      </w:pPr>
      <w:bookmarkStart w:id="31" w:name="_Toc507145447"/>
      <w:proofErr w:type="gramStart"/>
      <w:r>
        <w:t>3</w:t>
      </w:r>
      <w:r w:rsidR="00707A0D">
        <w:t xml:space="preserve">.2  </w:t>
      </w:r>
      <w:r w:rsidR="00707A0D" w:rsidRPr="004F3912">
        <w:t>Governance</w:t>
      </w:r>
      <w:proofErr w:type="gramEnd"/>
      <w:r w:rsidR="00707A0D">
        <w:t xml:space="preserve"> and administration</w:t>
      </w:r>
      <w:bookmarkEnd w:id="31"/>
    </w:p>
    <w:p w:rsidR="00707A0D" w:rsidRPr="004B2729" w:rsidRDefault="00707A0D" w:rsidP="00707A0D">
      <w:pPr>
        <w:suppressAutoHyphens/>
        <w:spacing w:after="200" w:line="288" w:lineRule="auto"/>
        <w:ind w:left="567"/>
        <w:rPr>
          <w:rFonts w:eastAsia="Calibri"/>
          <w:sz w:val="24"/>
          <w:szCs w:val="22"/>
        </w:rPr>
      </w:pPr>
      <w:r w:rsidRPr="004B2729">
        <w:rPr>
          <w:rFonts w:eastAsia="Calibri"/>
          <w:sz w:val="24"/>
          <w:szCs w:val="22"/>
        </w:rPr>
        <w:t xml:space="preserve">An </w:t>
      </w:r>
      <w:r>
        <w:rPr>
          <w:rFonts w:eastAsia="Calibri"/>
          <w:sz w:val="24"/>
          <w:szCs w:val="22"/>
        </w:rPr>
        <w:t>I</w:t>
      </w:r>
      <w:r w:rsidRPr="004B2729">
        <w:rPr>
          <w:rFonts w:eastAsia="Calibri"/>
          <w:sz w:val="24"/>
          <w:szCs w:val="22"/>
        </w:rPr>
        <w:t>nter-</w:t>
      </w:r>
      <w:r>
        <w:rPr>
          <w:rFonts w:eastAsia="Calibri"/>
          <w:sz w:val="24"/>
          <w:szCs w:val="22"/>
        </w:rPr>
        <w:t>G</w:t>
      </w:r>
      <w:r w:rsidRPr="004B2729">
        <w:rPr>
          <w:rFonts w:eastAsia="Calibri"/>
          <w:sz w:val="24"/>
          <w:szCs w:val="22"/>
        </w:rPr>
        <w:t xml:space="preserve">overnmental </w:t>
      </w:r>
      <w:r>
        <w:rPr>
          <w:rFonts w:eastAsia="Calibri"/>
          <w:sz w:val="24"/>
          <w:szCs w:val="22"/>
        </w:rPr>
        <w:t>A</w:t>
      </w:r>
      <w:r w:rsidRPr="004B2729">
        <w:rPr>
          <w:rFonts w:eastAsia="Calibri"/>
          <w:sz w:val="24"/>
          <w:szCs w:val="22"/>
        </w:rPr>
        <w:t>greement provides the framework for</w:t>
      </w:r>
      <w:r>
        <w:rPr>
          <w:rFonts w:eastAsia="Calibri"/>
          <w:sz w:val="24"/>
          <w:szCs w:val="22"/>
        </w:rPr>
        <w:t xml:space="preserve"> national cooperation on the E3 </w:t>
      </w:r>
      <w:r w:rsidRPr="004B2729">
        <w:rPr>
          <w:rFonts w:eastAsia="Calibri"/>
          <w:sz w:val="24"/>
          <w:szCs w:val="22"/>
        </w:rPr>
        <w:t>Program.</w:t>
      </w:r>
      <w:r>
        <w:rPr>
          <w:rStyle w:val="FootnoteReference"/>
          <w:rFonts w:eastAsia="Calibri"/>
          <w:sz w:val="24"/>
          <w:szCs w:val="22"/>
        </w:rPr>
        <w:footnoteReference w:id="3"/>
      </w:r>
      <w:r w:rsidRPr="004B2729">
        <w:rPr>
          <w:rFonts w:eastAsia="Calibri"/>
          <w:sz w:val="24"/>
          <w:szCs w:val="22"/>
        </w:rPr>
        <w:t xml:space="preserve"> A similar arrangement has also been develop</w:t>
      </w:r>
      <w:r>
        <w:rPr>
          <w:rFonts w:eastAsia="Calibri"/>
          <w:sz w:val="24"/>
          <w:szCs w:val="22"/>
        </w:rPr>
        <w:t>ed to ensure alignment with New </w:t>
      </w:r>
      <w:r w:rsidRPr="004B2729">
        <w:rPr>
          <w:rFonts w:eastAsia="Calibri"/>
          <w:sz w:val="24"/>
          <w:szCs w:val="22"/>
        </w:rPr>
        <w:t>Zealand.</w:t>
      </w:r>
    </w:p>
    <w:p w:rsidR="00707A0D" w:rsidRPr="009474B0" w:rsidRDefault="00707A0D" w:rsidP="00707A0D">
      <w:pPr>
        <w:spacing w:after="120"/>
        <w:ind w:left="567"/>
        <w:rPr>
          <w:b/>
          <w:sz w:val="24"/>
        </w:rPr>
      </w:pPr>
      <w:r w:rsidRPr="009474B0">
        <w:rPr>
          <w:b/>
          <w:sz w:val="24"/>
        </w:rPr>
        <w:t>The GEMS Regulator</w:t>
      </w:r>
    </w:p>
    <w:p w:rsidR="00707A0D" w:rsidRPr="004B2729" w:rsidRDefault="00707A0D" w:rsidP="00707A0D">
      <w:pPr>
        <w:suppressAutoHyphens/>
        <w:spacing w:after="200" w:line="288" w:lineRule="auto"/>
        <w:ind w:left="567"/>
        <w:rPr>
          <w:rFonts w:eastAsia="Calibri"/>
          <w:sz w:val="24"/>
          <w:szCs w:val="22"/>
        </w:rPr>
      </w:pPr>
      <w:r w:rsidRPr="004B2729">
        <w:rPr>
          <w:rFonts w:eastAsia="Calibri"/>
          <w:sz w:val="24"/>
          <w:szCs w:val="22"/>
        </w:rPr>
        <w:t>The GEMS Regulator is based in the Australian Government Department of the Environment and Energy and is responsible for administering the GEMS Act, maintaining the GEMS register, and monitoring and enforcing compliance with the Act.</w:t>
      </w:r>
    </w:p>
    <w:p w:rsidR="00707A0D" w:rsidRPr="004B2729" w:rsidRDefault="00707A0D" w:rsidP="00707A0D">
      <w:pPr>
        <w:suppressAutoHyphens/>
        <w:spacing w:after="120" w:line="288" w:lineRule="auto"/>
        <w:ind w:left="567"/>
        <w:rPr>
          <w:rFonts w:eastAsia="Calibri"/>
          <w:sz w:val="24"/>
          <w:szCs w:val="22"/>
        </w:rPr>
      </w:pPr>
      <w:r w:rsidRPr="004B2729">
        <w:rPr>
          <w:rFonts w:eastAsia="Calibri"/>
          <w:sz w:val="24"/>
          <w:szCs w:val="22"/>
        </w:rPr>
        <w:t xml:space="preserve">Performance of the GEMS Regulator is evaluated through </w:t>
      </w:r>
      <w:r>
        <w:rPr>
          <w:rFonts w:eastAsia="Calibri"/>
          <w:sz w:val="24"/>
          <w:szCs w:val="22"/>
        </w:rPr>
        <w:t>an</w:t>
      </w:r>
      <w:r w:rsidRPr="004B2729">
        <w:rPr>
          <w:rFonts w:eastAsia="Calibri"/>
          <w:sz w:val="24"/>
          <w:szCs w:val="22"/>
        </w:rPr>
        <w:t xml:space="preserve"> </w:t>
      </w:r>
      <w:r>
        <w:rPr>
          <w:rFonts w:eastAsia="Calibri"/>
          <w:sz w:val="24"/>
          <w:szCs w:val="22"/>
        </w:rPr>
        <w:t>annual stakeholder survey, the Regulator Performance Framework</w:t>
      </w:r>
      <w:r>
        <w:rPr>
          <w:rStyle w:val="FootnoteReference"/>
          <w:rFonts w:eastAsia="Calibri"/>
          <w:sz w:val="24"/>
          <w:szCs w:val="22"/>
        </w:rPr>
        <w:footnoteReference w:id="4"/>
      </w:r>
      <w:r>
        <w:rPr>
          <w:rFonts w:eastAsia="Calibri"/>
          <w:sz w:val="24"/>
          <w:szCs w:val="22"/>
        </w:rPr>
        <w:t xml:space="preserve"> and ongoing feedback from industry and consumer stakeholders</w:t>
      </w:r>
      <w:r w:rsidRPr="004B2729">
        <w:rPr>
          <w:rFonts w:eastAsia="Calibri"/>
          <w:sz w:val="24"/>
          <w:szCs w:val="22"/>
        </w:rPr>
        <w:t>.</w:t>
      </w:r>
    </w:p>
    <w:p w:rsidR="00354BA4" w:rsidRDefault="00354BA4">
      <w:pPr>
        <w:rPr>
          <w:b/>
          <w:sz w:val="24"/>
        </w:rPr>
      </w:pPr>
      <w:r>
        <w:rPr>
          <w:b/>
          <w:sz w:val="24"/>
        </w:rPr>
        <w:br w:type="page"/>
      </w:r>
    </w:p>
    <w:p w:rsidR="00707A0D" w:rsidRPr="009474B0" w:rsidRDefault="00707A0D" w:rsidP="00707A0D">
      <w:pPr>
        <w:spacing w:after="120"/>
        <w:ind w:left="567"/>
        <w:rPr>
          <w:b/>
          <w:sz w:val="24"/>
        </w:rPr>
      </w:pPr>
      <w:r w:rsidRPr="009474B0">
        <w:rPr>
          <w:b/>
          <w:sz w:val="24"/>
        </w:rPr>
        <w:t>Energy Efficiency Advisory Team</w:t>
      </w:r>
    </w:p>
    <w:p w:rsidR="00707A0D" w:rsidRPr="004B2729" w:rsidRDefault="00707A0D" w:rsidP="00707A0D">
      <w:pPr>
        <w:suppressAutoHyphens/>
        <w:spacing w:after="120" w:line="288" w:lineRule="auto"/>
        <w:ind w:left="567"/>
        <w:rPr>
          <w:rFonts w:eastAsia="Calibri"/>
          <w:sz w:val="24"/>
          <w:szCs w:val="22"/>
        </w:rPr>
      </w:pPr>
      <w:r w:rsidRPr="004B2729">
        <w:rPr>
          <w:rFonts w:eastAsia="Calibri"/>
          <w:sz w:val="24"/>
          <w:szCs w:val="22"/>
        </w:rPr>
        <w:t>The E3 Program</w:t>
      </w:r>
      <w:r w:rsidR="002945B1">
        <w:rPr>
          <w:rFonts w:eastAsia="Calibri"/>
          <w:sz w:val="24"/>
          <w:szCs w:val="22"/>
        </w:rPr>
        <w:t xml:space="preserve"> (see </w:t>
      </w:r>
      <w:r w:rsidR="002945B1" w:rsidRPr="00586F84">
        <w:rPr>
          <w:rFonts w:eastAsia="Calibri"/>
          <w:b/>
          <w:sz w:val="24"/>
          <w:szCs w:val="22"/>
        </w:rPr>
        <w:t>section 1.2</w:t>
      </w:r>
      <w:r w:rsidR="002945B1">
        <w:rPr>
          <w:rFonts w:eastAsia="Calibri"/>
          <w:sz w:val="24"/>
          <w:szCs w:val="22"/>
        </w:rPr>
        <w:t>)</w:t>
      </w:r>
      <w:r w:rsidRPr="004B2729">
        <w:rPr>
          <w:rFonts w:eastAsia="Calibri"/>
          <w:sz w:val="24"/>
          <w:szCs w:val="22"/>
        </w:rPr>
        <w:t xml:space="preserve"> is </w:t>
      </w:r>
      <w:r>
        <w:rPr>
          <w:rFonts w:eastAsia="Calibri"/>
          <w:sz w:val="24"/>
          <w:szCs w:val="22"/>
        </w:rPr>
        <w:t>managed</w:t>
      </w:r>
      <w:r w:rsidRPr="004B2729">
        <w:rPr>
          <w:rFonts w:eastAsia="Calibri"/>
          <w:sz w:val="24"/>
          <w:szCs w:val="22"/>
        </w:rPr>
        <w:t xml:space="preserve"> by the</w:t>
      </w:r>
      <w:r>
        <w:rPr>
          <w:rFonts w:eastAsia="Calibri"/>
          <w:sz w:val="24"/>
          <w:szCs w:val="22"/>
        </w:rPr>
        <w:t xml:space="preserve"> COAG Energy Council’s</w:t>
      </w:r>
      <w:r w:rsidR="009D4034">
        <w:rPr>
          <w:rFonts w:eastAsia="Calibri"/>
          <w:sz w:val="24"/>
          <w:szCs w:val="22"/>
        </w:rPr>
        <w:t xml:space="preserve"> </w:t>
      </w:r>
      <w:r w:rsidRPr="004B2729">
        <w:rPr>
          <w:rFonts w:eastAsia="Calibri"/>
          <w:sz w:val="24"/>
          <w:szCs w:val="22"/>
        </w:rPr>
        <w:t>Energy</w:t>
      </w:r>
      <w:r w:rsidR="009D4034">
        <w:rPr>
          <w:rFonts w:eastAsia="Calibri"/>
          <w:sz w:val="24"/>
          <w:szCs w:val="22"/>
        </w:rPr>
        <w:t> </w:t>
      </w:r>
      <w:r w:rsidRPr="004B2729">
        <w:rPr>
          <w:rFonts w:eastAsia="Calibri"/>
          <w:sz w:val="24"/>
          <w:szCs w:val="22"/>
        </w:rPr>
        <w:t>Efficiency Advisory Team</w:t>
      </w:r>
      <w:r w:rsidR="002945B1">
        <w:rPr>
          <w:rFonts w:eastAsia="Calibri"/>
          <w:sz w:val="24"/>
          <w:szCs w:val="22"/>
        </w:rPr>
        <w:t>. The EEAT is</w:t>
      </w:r>
      <w:r w:rsidRPr="004B2729">
        <w:rPr>
          <w:rFonts w:eastAsia="Calibri"/>
          <w:sz w:val="24"/>
          <w:szCs w:val="22"/>
        </w:rPr>
        <w:t xml:space="preserve"> made up of representatives of Australi</w:t>
      </w:r>
      <w:r w:rsidR="00841A06">
        <w:rPr>
          <w:rFonts w:eastAsia="Calibri"/>
          <w:sz w:val="24"/>
          <w:szCs w:val="22"/>
        </w:rPr>
        <w:t>an,</w:t>
      </w:r>
      <w:r w:rsidRPr="004B2729">
        <w:rPr>
          <w:rFonts w:eastAsia="Calibri"/>
          <w:sz w:val="24"/>
          <w:szCs w:val="22"/>
        </w:rPr>
        <w:t xml:space="preserve"> state and territory governments who are signatories to the </w:t>
      </w:r>
      <w:r w:rsidRPr="00CE0B3B">
        <w:rPr>
          <w:rFonts w:eastAsia="Calibri"/>
          <w:sz w:val="24"/>
          <w:szCs w:val="22"/>
        </w:rPr>
        <w:t>Inter-Governmental Agreement</w:t>
      </w:r>
      <w:r w:rsidR="00841A06">
        <w:rPr>
          <w:rFonts w:eastAsia="Calibri"/>
          <w:sz w:val="24"/>
          <w:szCs w:val="22"/>
        </w:rPr>
        <w:t xml:space="preserve"> and the New Zealand government</w:t>
      </w:r>
      <w:r w:rsidRPr="004B2729">
        <w:rPr>
          <w:rFonts w:eastAsia="Calibri"/>
          <w:sz w:val="24"/>
          <w:szCs w:val="22"/>
        </w:rPr>
        <w:t xml:space="preserve">. The </w:t>
      </w:r>
      <w:r w:rsidR="00841A06">
        <w:rPr>
          <w:rFonts w:eastAsia="Calibri"/>
          <w:sz w:val="24"/>
          <w:szCs w:val="22"/>
        </w:rPr>
        <w:t>EEAT</w:t>
      </w:r>
      <w:r w:rsidRPr="004B2729">
        <w:rPr>
          <w:rFonts w:eastAsia="Calibri"/>
          <w:sz w:val="24"/>
          <w:szCs w:val="22"/>
        </w:rPr>
        <w:t xml:space="preserve"> recommends actions through the Senior Committee of Officials to the </w:t>
      </w:r>
      <w:r>
        <w:rPr>
          <w:rFonts w:eastAsia="Calibri"/>
          <w:sz w:val="24"/>
          <w:szCs w:val="22"/>
        </w:rPr>
        <w:t xml:space="preserve">COAG </w:t>
      </w:r>
      <w:r w:rsidRPr="004B2729">
        <w:rPr>
          <w:rFonts w:eastAsia="Calibri"/>
          <w:sz w:val="24"/>
          <w:szCs w:val="22"/>
        </w:rPr>
        <w:t>Energy Council for decision.</w:t>
      </w:r>
    </w:p>
    <w:p w:rsidR="00707A0D" w:rsidRPr="009474B0" w:rsidRDefault="00707A0D" w:rsidP="00707A0D">
      <w:pPr>
        <w:spacing w:after="120"/>
        <w:ind w:left="567"/>
        <w:rPr>
          <w:b/>
          <w:sz w:val="24"/>
        </w:rPr>
      </w:pPr>
      <w:r w:rsidRPr="009474B0">
        <w:rPr>
          <w:b/>
          <w:sz w:val="24"/>
        </w:rPr>
        <w:t>E3 Review Committee</w:t>
      </w:r>
    </w:p>
    <w:p w:rsidR="0007134E" w:rsidRDefault="00707A0D" w:rsidP="00707A0D">
      <w:pPr>
        <w:suppressAutoHyphens/>
        <w:spacing w:after="200" w:line="288" w:lineRule="auto"/>
        <w:ind w:left="567"/>
        <w:rPr>
          <w:rFonts w:eastAsia="Calibri"/>
          <w:sz w:val="24"/>
          <w:szCs w:val="22"/>
        </w:rPr>
      </w:pPr>
      <w:r w:rsidRPr="004B2729">
        <w:rPr>
          <w:rFonts w:eastAsia="Calibri"/>
          <w:sz w:val="24"/>
          <w:szCs w:val="22"/>
        </w:rPr>
        <w:t xml:space="preserve">Industry and consumer groups participate through the E3 Review Committee </w:t>
      </w:r>
      <w:r w:rsidRPr="008A3815">
        <w:rPr>
          <w:rFonts w:eastAsia="Calibri"/>
          <w:sz w:val="24"/>
          <w:szCs w:val="22"/>
        </w:rPr>
        <w:t>and</w:t>
      </w:r>
      <w:r w:rsidRPr="00DD3AEB">
        <w:rPr>
          <w:rFonts w:eastAsia="Calibri"/>
          <w:sz w:val="24"/>
          <w:szCs w:val="22"/>
        </w:rPr>
        <w:t xml:space="preserve"> product specific working groups, such as</w:t>
      </w:r>
      <w:r w:rsidRPr="008A3815">
        <w:rPr>
          <w:rFonts w:eastAsia="Calibri"/>
          <w:sz w:val="24"/>
          <w:szCs w:val="22"/>
        </w:rPr>
        <w:t xml:space="preserve"> the Air-Conditioner and Commercial Refrigeration Advisory Committee.</w:t>
      </w:r>
      <w:r>
        <w:rPr>
          <w:rFonts w:eastAsia="Calibri"/>
          <w:sz w:val="24"/>
          <w:szCs w:val="22"/>
        </w:rPr>
        <w:t xml:space="preserve"> </w:t>
      </w:r>
      <w:r w:rsidRPr="004B2729">
        <w:rPr>
          <w:rFonts w:eastAsia="Calibri"/>
          <w:sz w:val="24"/>
          <w:szCs w:val="22"/>
        </w:rPr>
        <w:t xml:space="preserve">The E3 Review Committee is a formal advisory </w:t>
      </w:r>
      <w:r>
        <w:rPr>
          <w:rFonts w:eastAsia="Calibri"/>
          <w:sz w:val="24"/>
          <w:szCs w:val="22"/>
        </w:rPr>
        <w:t>group that consults with the E3 </w:t>
      </w:r>
      <w:r w:rsidRPr="004B2729">
        <w:rPr>
          <w:rFonts w:eastAsia="Calibri"/>
          <w:sz w:val="24"/>
          <w:szCs w:val="22"/>
        </w:rPr>
        <w:t>Program</w:t>
      </w:r>
      <w:r>
        <w:rPr>
          <w:rFonts w:eastAsia="Calibri"/>
          <w:sz w:val="24"/>
          <w:szCs w:val="22"/>
        </w:rPr>
        <w:t xml:space="preserve"> officials</w:t>
      </w:r>
      <w:r w:rsidRPr="004B2729">
        <w:rPr>
          <w:rFonts w:eastAsia="Calibri"/>
          <w:sz w:val="24"/>
          <w:szCs w:val="22"/>
        </w:rPr>
        <w:t xml:space="preserve"> on issues that affect industry and consumers.</w:t>
      </w:r>
    </w:p>
    <w:p w:rsidR="0007134E" w:rsidRPr="004F3912" w:rsidRDefault="0007134E" w:rsidP="0007134E">
      <w:pPr>
        <w:pStyle w:val="Heading2"/>
        <w:spacing w:after="120"/>
      </w:pPr>
      <w:bookmarkStart w:id="32" w:name="_Toc507145448"/>
      <w:proofErr w:type="gramStart"/>
      <w:r>
        <w:t>3.3</w:t>
      </w:r>
      <w:r w:rsidRPr="004F3912">
        <w:t xml:space="preserve"> </w:t>
      </w:r>
      <w:r>
        <w:t xml:space="preserve"> 2015</w:t>
      </w:r>
      <w:proofErr w:type="gramEnd"/>
      <w:r>
        <w:t xml:space="preserve"> GEMS Review</w:t>
      </w:r>
      <w:bookmarkEnd w:id="32"/>
      <w:r>
        <w:t xml:space="preserve"> </w:t>
      </w:r>
    </w:p>
    <w:p w:rsidR="0007134E" w:rsidRPr="005A6F45" w:rsidRDefault="0007134E" w:rsidP="0007134E">
      <w:pPr>
        <w:suppressAutoHyphens/>
        <w:spacing w:after="120" w:line="288" w:lineRule="auto"/>
        <w:ind w:left="567"/>
        <w:rPr>
          <w:rFonts w:eastAsia="Calibri"/>
          <w:sz w:val="24"/>
          <w:szCs w:val="22"/>
        </w:rPr>
      </w:pPr>
      <w:r>
        <w:rPr>
          <w:rFonts w:eastAsia="Calibri"/>
          <w:sz w:val="24"/>
          <w:szCs w:val="22"/>
        </w:rPr>
        <w:t>In 2014–</w:t>
      </w:r>
      <w:r w:rsidRPr="005A6F45">
        <w:rPr>
          <w:rFonts w:eastAsia="Calibri"/>
          <w:sz w:val="24"/>
          <w:szCs w:val="22"/>
        </w:rPr>
        <w:t xml:space="preserve">15 the COAG Energy Council commissioned an independent review of the </w:t>
      </w:r>
      <w:r w:rsidRPr="004B2729">
        <w:rPr>
          <w:rFonts w:eastAsia="Calibri"/>
          <w:sz w:val="24"/>
          <w:szCs w:val="22"/>
        </w:rPr>
        <w:t>Inter</w:t>
      </w:r>
      <w:r>
        <w:rPr>
          <w:rFonts w:eastAsia="Calibri"/>
          <w:sz w:val="24"/>
          <w:szCs w:val="22"/>
        </w:rPr>
        <w:noBreakHyphen/>
      </w:r>
      <w:r w:rsidRPr="004B2729">
        <w:rPr>
          <w:rFonts w:eastAsia="Calibri"/>
          <w:sz w:val="24"/>
          <w:szCs w:val="22"/>
        </w:rPr>
        <w:t>Governmental Agreement</w:t>
      </w:r>
      <w:r w:rsidRPr="005A6F45" w:rsidDel="0082257B">
        <w:rPr>
          <w:rFonts w:eastAsia="Calibri"/>
          <w:sz w:val="24"/>
          <w:szCs w:val="22"/>
        </w:rPr>
        <w:t xml:space="preserve"> </w:t>
      </w:r>
      <w:r w:rsidRPr="005A6F45">
        <w:rPr>
          <w:rFonts w:eastAsia="Calibri"/>
          <w:sz w:val="24"/>
          <w:szCs w:val="22"/>
        </w:rPr>
        <w:t>and GEMS legislative scheme and the GEMS Act (the 2015 GEMS Review)</w:t>
      </w:r>
      <w:r>
        <w:rPr>
          <w:rFonts w:eastAsia="Calibri"/>
          <w:sz w:val="24"/>
          <w:szCs w:val="22"/>
        </w:rPr>
        <w:t>.</w:t>
      </w:r>
      <w:r w:rsidRPr="00354426">
        <w:rPr>
          <w:rStyle w:val="FootnoteReference"/>
          <w:rFonts w:eastAsia="Calibri"/>
          <w:sz w:val="24"/>
          <w:szCs w:val="22"/>
        </w:rPr>
        <w:t xml:space="preserve"> </w:t>
      </w:r>
      <w:r>
        <w:rPr>
          <w:rStyle w:val="FootnoteReference"/>
          <w:rFonts w:eastAsia="Calibri"/>
          <w:sz w:val="24"/>
          <w:szCs w:val="22"/>
        </w:rPr>
        <w:footnoteReference w:id="5"/>
      </w:r>
      <w:r>
        <w:rPr>
          <w:rFonts w:eastAsia="Calibri"/>
          <w:sz w:val="24"/>
          <w:szCs w:val="22"/>
        </w:rPr>
        <w:t xml:space="preserve"> </w:t>
      </w:r>
      <w:r w:rsidRPr="005A6F45">
        <w:rPr>
          <w:rFonts w:eastAsia="Calibri"/>
          <w:sz w:val="24"/>
          <w:szCs w:val="22"/>
        </w:rPr>
        <w:t>Th</w:t>
      </w:r>
      <w:r>
        <w:rPr>
          <w:rFonts w:eastAsia="Calibri"/>
          <w:sz w:val="24"/>
          <w:szCs w:val="22"/>
        </w:rPr>
        <w:t>is</w:t>
      </w:r>
      <w:r w:rsidRPr="005A6F45">
        <w:rPr>
          <w:rFonts w:eastAsia="Calibri"/>
          <w:sz w:val="24"/>
          <w:szCs w:val="22"/>
        </w:rPr>
        <w:t xml:space="preserve"> review will consider and build on the findings of </w:t>
      </w:r>
      <w:r>
        <w:rPr>
          <w:rFonts w:eastAsia="Calibri"/>
          <w:sz w:val="24"/>
          <w:szCs w:val="22"/>
        </w:rPr>
        <w:t xml:space="preserve">the 2015 GEMS Review. </w:t>
      </w:r>
      <w:r w:rsidRPr="005A6F45">
        <w:rPr>
          <w:rFonts w:eastAsia="Calibri"/>
          <w:sz w:val="24"/>
          <w:szCs w:val="22"/>
        </w:rPr>
        <w:t>The 2015 GEMS Review concluded that:</w:t>
      </w:r>
    </w:p>
    <w:p w:rsidR="0007134E" w:rsidRPr="005A6F45" w:rsidRDefault="0007134E" w:rsidP="0007134E">
      <w:pPr>
        <w:numPr>
          <w:ilvl w:val="0"/>
          <w:numId w:val="3"/>
        </w:numPr>
        <w:suppressAutoHyphens/>
        <w:spacing w:after="120" w:line="288" w:lineRule="auto"/>
        <w:ind w:left="993" w:hanging="426"/>
        <w:rPr>
          <w:rFonts w:eastAsia="Calibri"/>
          <w:sz w:val="24"/>
          <w:szCs w:val="22"/>
        </w:rPr>
      </w:pPr>
      <w:r w:rsidRPr="005A6F45">
        <w:rPr>
          <w:rFonts w:eastAsia="Calibri"/>
          <w:sz w:val="24"/>
          <w:szCs w:val="22"/>
        </w:rPr>
        <w:t>The GEMS Act supports the delivery of significant economic and environmental benefits in a cost-effective manner by increasing the energy efficiency of a range of energy using equipment sold in Australia.</w:t>
      </w:r>
    </w:p>
    <w:p w:rsidR="0007134E" w:rsidRPr="005A6F45" w:rsidRDefault="0007134E" w:rsidP="0007134E">
      <w:pPr>
        <w:numPr>
          <w:ilvl w:val="0"/>
          <w:numId w:val="3"/>
        </w:numPr>
        <w:suppressAutoHyphens/>
        <w:spacing w:after="120" w:line="288" w:lineRule="auto"/>
        <w:ind w:left="993" w:hanging="426"/>
        <w:rPr>
          <w:rFonts w:eastAsia="Calibri"/>
          <w:sz w:val="24"/>
          <w:szCs w:val="22"/>
        </w:rPr>
      </w:pPr>
      <w:r w:rsidRPr="005A6F45">
        <w:rPr>
          <w:rFonts w:eastAsia="Calibri"/>
          <w:sz w:val="24"/>
          <w:szCs w:val="22"/>
        </w:rPr>
        <w:t xml:space="preserve">The </w:t>
      </w:r>
      <w:r w:rsidRPr="004B2729">
        <w:rPr>
          <w:rFonts w:eastAsia="Calibri"/>
          <w:sz w:val="24"/>
          <w:szCs w:val="22"/>
        </w:rPr>
        <w:t>Inter-Governmental Agreement</w:t>
      </w:r>
      <w:r w:rsidRPr="005A6F45" w:rsidDel="0082257B">
        <w:rPr>
          <w:rFonts w:eastAsia="Calibri"/>
          <w:sz w:val="24"/>
          <w:szCs w:val="22"/>
        </w:rPr>
        <w:t xml:space="preserve"> </w:t>
      </w:r>
      <w:r w:rsidRPr="005A6F45">
        <w:rPr>
          <w:rFonts w:eastAsia="Calibri"/>
          <w:sz w:val="24"/>
          <w:szCs w:val="22"/>
        </w:rPr>
        <w:t>provides a strong framework for national cooperation in implementing GEMS and the E3 Program.</w:t>
      </w:r>
    </w:p>
    <w:p w:rsidR="0007134E" w:rsidRPr="005A6F45" w:rsidRDefault="0007134E" w:rsidP="0007134E">
      <w:pPr>
        <w:numPr>
          <w:ilvl w:val="0"/>
          <w:numId w:val="3"/>
        </w:numPr>
        <w:suppressAutoHyphens/>
        <w:spacing w:after="120" w:line="288" w:lineRule="auto"/>
        <w:ind w:left="993" w:hanging="426"/>
        <w:rPr>
          <w:rFonts w:eastAsia="Calibri"/>
          <w:sz w:val="24"/>
          <w:szCs w:val="22"/>
        </w:rPr>
      </w:pPr>
      <w:r>
        <w:rPr>
          <w:rFonts w:eastAsia="Calibri"/>
          <w:sz w:val="24"/>
          <w:szCs w:val="22"/>
        </w:rPr>
        <w:t>The p</w:t>
      </w:r>
      <w:r w:rsidRPr="005A6F45">
        <w:rPr>
          <w:rFonts w:eastAsia="Calibri"/>
          <w:sz w:val="24"/>
          <w:szCs w:val="22"/>
        </w:rPr>
        <w:t>rogram is being delivered effectively.</w:t>
      </w:r>
    </w:p>
    <w:p w:rsidR="0007134E" w:rsidRDefault="0007134E" w:rsidP="0007134E">
      <w:pPr>
        <w:numPr>
          <w:ilvl w:val="0"/>
          <w:numId w:val="3"/>
        </w:numPr>
        <w:suppressAutoHyphens/>
        <w:spacing w:after="120" w:line="288" w:lineRule="auto"/>
        <w:ind w:left="993" w:hanging="426"/>
        <w:rPr>
          <w:rFonts w:eastAsia="Calibri"/>
          <w:sz w:val="24"/>
          <w:szCs w:val="22"/>
        </w:rPr>
      </w:pPr>
      <w:r w:rsidRPr="005A6F45">
        <w:rPr>
          <w:rFonts w:eastAsia="Calibri"/>
          <w:sz w:val="24"/>
          <w:szCs w:val="22"/>
        </w:rPr>
        <w:t>There was a strong case for continued mandatory appliance standards and labelling to address market failures which lead to consumers and businesses purchasing energy inefficient products.</w:t>
      </w:r>
    </w:p>
    <w:p w:rsidR="0007134E" w:rsidRDefault="0007134E" w:rsidP="0007134E">
      <w:pPr>
        <w:pStyle w:val="ListParagraph"/>
        <w:suppressAutoHyphens/>
        <w:spacing w:after="120" w:line="288" w:lineRule="auto"/>
        <w:ind w:left="567"/>
        <w:rPr>
          <w:rFonts w:eastAsia="Calibri"/>
          <w:sz w:val="24"/>
          <w:szCs w:val="22"/>
        </w:rPr>
      </w:pPr>
      <w:r w:rsidRPr="00502393">
        <w:rPr>
          <w:rFonts w:eastAsia="Calibri"/>
          <w:sz w:val="24"/>
          <w:szCs w:val="22"/>
        </w:rPr>
        <w:t xml:space="preserve">Following the 2015 </w:t>
      </w:r>
      <w:r>
        <w:rPr>
          <w:rFonts w:eastAsia="Calibri"/>
          <w:sz w:val="24"/>
          <w:szCs w:val="22"/>
        </w:rPr>
        <w:t>GEMS R</w:t>
      </w:r>
      <w:r w:rsidRPr="00502393">
        <w:rPr>
          <w:rFonts w:eastAsia="Calibri"/>
          <w:sz w:val="24"/>
          <w:szCs w:val="22"/>
        </w:rPr>
        <w:t>ev</w:t>
      </w:r>
      <w:r>
        <w:rPr>
          <w:rFonts w:eastAsia="Calibri"/>
          <w:sz w:val="24"/>
          <w:szCs w:val="22"/>
        </w:rPr>
        <w:t>iew</w:t>
      </w:r>
      <w:r w:rsidRPr="00502393">
        <w:rPr>
          <w:rFonts w:eastAsia="Calibri"/>
          <w:sz w:val="24"/>
          <w:szCs w:val="22"/>
        </w:rPr>
        <w:t xml:space="preserve"> the Commonwealth </w:t>
      </w:r>
      <w:r>
        <w:rPr>
          <w:rFonts w:eastAsia="Calibri"/>
          <w:sz w:val="24"/>
          <w:szCs w:val="22"/>
        </w:rPr>
        <w:t>worked with state, territory and</w:t>
      </w:r>
      <w:r w:rsidRPr="00502393">
        <w:rPr>
          <w:rFonts w:eastAsia="Calibri"/>
          <w:sz w:val="24"/>
          <w:szCs w:val="22"/>
        </w:rPr>
        <w:t xml:space="preserve"> New</w:t>
      </w:r>
      <w:r>
        <w:rPr>
          <w:rFonts w:eastAsia="Calibri"/>
          <w:sz w:val="24"/>
          <w:szCs w:val="22"/>
        </w:rPr>
        <w:t> </w:t>
      </w:r>
      <w:r w:rsidRPr="00502393">
        <w:rPr>
          <w:rFonts w:eastAsia="Calibri"/>
          <w:sz w:val="24"/>
          <w:szCs w:val="22"/>
        </w:rPr>
        <w:t>Zealand</w:t>
      </w:r>
      <w:r>
        <w:rPr>
          <w:rFonts w:eastAsia="Calibri"/>
          <w:sz w:val="24"/>
          <w:szCs w:val="22"/>
        </w:rPr>
        <w:t xml:space="preserve"> governments</w:t>
      </w:r>
      <w:r w:rsidRPr="00502393">
        <w:rPr>
          <w:rFonts w:eastAsia="Calibri"/>
          <w:sz w:val="24"/>
          <w:szCs w:val="22"/>
        </w:rPr>
        <w:t xml:space="preserve"> and the E3 Review Committee to implement the report recommendations agreed by the </w:t>
      </w:r>
      <w:r>
        <w:rPr>
          <w:rFonts w:eastAsia="Calibri"/>
          <w:sz w:val="24"/>
          <w:szCs w:val="22"/>
        </w:rPr>
        <w:t xml:space="preserve">COAG </w:t>
      </w:r>
      <w:r w:rsidRPr="00502393">
        <w:rPr>
          <w:rFonts w:eastAsia="Calibri"/>
          <w:sz w:val="24"/>
          <w:szCs w:val="22"/>
        </w:rPr>
        <w:t xml:space="preserve">Energy Council. This has included </w:t>
      </w:r>
      <w:r>
        <w:rPr>
          <w:rFonts w:eastAsia="Calibri"/>
          <w:sz w:val="24"/>
          <w:szCs w:val="22"/>
        </w:rPr>
        <w:t>the following actions:</w:t>
      </w:r>
    </w:p>
    <w:p w:rsidR="0007134E" w:rsidRDefault="0007134E" w:rsidP="0007134E">
      <w:pPr>
        <w:numPr>
          <w:ilvl w:val="0"/>
          <w:numId w:val="3"/>
        </w:numPr>
        <w:suppressAutoHyphens/>
        <w:spacing w:after="120" w:line="288" w:lineRule="auto"/>
        <w:ind w:left="993" w:hanging="426"/>
        <w:rPr>
          <w:rFonts w:eastAsia="Calibri"/>
          <w:sz w:val="24"/>
          <w:szCs w:val="22"/>
        </w:rPr>
      </w:pPr>
      <w:r w:rsidRPr="00C5730F">
        <w:rPr>
          <w:rFonts w:eastAsia="Calibri"/>
          <w:sz w:val="24"/>
          <w:szCs w:val="22"/>
        </w:rPr>
        <w:t>The development of an E3</w:t>
      </w:r>
      <w:r>
        <w:rPr>
          <w:rFonts w:eastAsia="Calibri"/>
          <w:sz w:val="24"/>
          <w:szCs w:val="22"/>
        </w:rPr>
        <w:t xml:space="preserve"> Prioritisation Plan to achieve greater cost, energy and emissions savings under GEMS (see 2.5 below). </w:t>
      </w:r>
    </w:p>
    <w:p w:rsidR="0007134E" w:rsidRDefault="0007134E" w:rsidP="0007134E">
      <w:pPr>
        <w:numPr>
          <w:ilvl w:val="0"/>
          <w:numId w:val="3"/>
        </w:numPr>
        <w:suppressAutoHyphens/>
        <w:spacing w:after="120" w:line="288" w:lineRule="auto"/>
        <w:ind w:left="993" w:hanging="426"/>
        <w:rPr>
          <w:rFonts w:eastAsia="Calibri"/>
          <w:sz w:val="24"/>
          <w:szCs w:val="22"/>
        </w:rPr>
      </w:pPr>
      <w:r>
        <w:rPr>
          <w:rFonts w:eastAsia="Calibri"/>
          <w:sz w:val="24"/>
          <w:szCs w:val="22"/>
        </w:rPr>
        <w:t xml:space="preserve">Undertaking a review of fees associated with the delivery of registration and compliance services under the GEMS Act. The fees review is currently being finalised and will not be part of this 2018 review. More information regarding the fee review can be found at </w:t>
      </w:r>
      <w:hyperlink r:id="rId22" w:history="1">
        <w:r w:rsidRPr="00DC08FC">
          <w:rPr>
            <w:rStyle w:val="Hyperlink"/>
            <w:rFonts w:eastAsia="Calibri"/>
            <w:sz w:val="24"/>
            <w:szCs w:val="22"/>
          </w:rPr>
          <w:t>http://www.energyrating.gov.au/consultation/gems-fee-review-supplementary-paper</w:t>
        </w:r>
      </w:hyperlink>
      <w:r>
        <w:rPr>
          <w:rFonts w:eastAsia="Calibri"/>
          <w:sz w:val="24"/>
          <w:szCs w:val="22"/>
        </w:rPr>
        <w:t>.</w:t>
      </w:r>
    </w:p>
    <w:p w:rsidR="0007134E" w:rsidRDefault="0007134E" w:rsidP="0007134E">
      <w:pPr>
        <w:numPr>
          <w:ilvl w:val="0"/>
          <w:numId w:val="3"/>
        </w:numPr>
        <w:suppressAutoHyphens/>
        <w:spacing w:after="120" w:line="288" w:lineRule="auto"/>
        <w:ind w:left="993" w:hanging="426"/>
        <w:rPr>
          <w:rFonts w:eastAsia="Calibri"/>
          <w:sz w:val="24"/>
          <w:szCs w:val="22"/>
        </w:rPr>
      </w:pPr>
      <w:r>
        <w:rPr>
          <w:rFonts w:eastAsia="Calibri"/>
          <w:sz w:val="24"/>
          <w:szCs w:val="22"/>
        </w:rPr>
        <w:t>Prioritising and increasing the visibility of compliance and enforcement activities.</w:t>
      </w:r>
    </w:p>
    <w:p w:rsidR="0007134E" w:rsidRDefault="0007134E" w:rsidP="0007134E">
      <w:pPr>
        <w:numPr>
          <w:ilvl w:val="0"/>
          <w:numId w:val="3"/>
        </w:numPr>
        <w:suppressAutoHyphens/>
        <w:spacing w:after="120" w:line="288" w:lineRule="auto"/>
        <w:ind w:left="993" w:hanging="426"/>
        <w:rPr>
          <w:rFonts w:eastAsia="Calibri"/>
          <w:sz w:val="24"/>
          <w:szCs w:val="22"/>
        </w:rPr>
      </w:pPr>
      <w:r>
        <w:rPr>
          <w:rFonts w:eastAsia="Calibri"/>
          <w:sz w:val="24"/>
          <w:szCs w:val="22"/>
        </w:rPr>
        <w:t xml:space="preserve">Streamlining processes. This has included trialling a new approach to developing GEMS determinations, working actively with the Office of Best Practice Regulation and leveraging Department of the Environment and Energy resources to develop an E3 Regulation Impact Statement (RIS). </w:t>
      </w:r>
    </w:p>
    <w:p w:rsidR="0007134E" w:rsidRDefault="0007134E" w:rsidP="0007134E">
      <w:pPr>
        <w:numPr>
          <w:ilvl w:val="0"/>
          <w:numId w:val="3"/>
        </w:numPr>
        <w:suppressAutoHyphens/>
        <w:spacing w:after="120" w:line="288" w:lineRule="auto"/>
        <w:ind w:left="993" w:hanging="426"/>
        <w:rPr>
          <w:rFonts w:eastAsia="Calibri"/>
          <w:sz w:val="24"/>
          <w:szCs w:val="22"/>
        </w:rPr>
      </w:pPr>
      <w:r>
        <w:rPr>
          <w:rFonts w:eastAsia="Calibri"/>
          <w:sz w:val="24"/>
          <w:szCs w:val="22"/>
        </w:rPr>
        <w:t xml:space="preserve">Continuing to examine options through the E3 work program to harmonise with international test methods and international efficiency standards. </w:t>
      </w:r>
      <w:r w:rsidRPr="007D7C2B">
        <w:rPr>
          <w:rFonts w:eastAsia="Calibri"/>
          <w:sz w:val="24"/>
          <w:szCs w:val="22"/>
        </w:rPr>
        <w:t xml:space="preserve">International harmonisation options have been considered in recent E3 regulatory proposals. For example, on 24 November 2017 COAG Energy Ministers approved an E3 Decision RIS for household refrigerators and freezers that recommended: (a) Australian MEPS levels be tightened and aligned to those adopted in the United States, and (b) an Australian/New Zealand test standard be replaced with an International </w:t>
      </w:r>
      <w:proofErr w:type="spellStart"/>
      <w:r w:rsidRPr="007D7C2B">
        <w:rPr>
          <w:rFonts w:eastAsia="Calibri"/>
          <w:sz w:val="24"/>
          <w:szCs w:val="22"/>
        </w:rPr>
        <w:t>Electrotechnical</w:t>
      </w:r>
      <w:proofErr w:type="spellEnd"/>
      <w:r w:rsidRPr="007D7C2B">
        <w:rPr>
          <w:rFonts w:eastAsia="Calibri"/>
          <w:sz w:val="24"/>
          <w:szCs w:val="22"/>
        </w:rPr>
        <w:t xml:space="preserve"> Committee test standard.</w:t>
      </w:r>
      <w:r>
        <w:rPr>
          <w:rFonts w:eastAsia="Calibri"/>
          <w:sz w:val="24"/>
          <w:szCs w:val="22"/>
        </w:rPr>
        <w:t xml:space="preserve"> </w:t>
      </w:r>
    </w:p>
    <w:p w:rsidR="0007134E" w:rsidRDefault="0007134E" w:rsidP="0007134E">
      <w:pPr>
        <w:numPr>
          <w:ilvl w:val="0"/>
          <w:numId w:val="3"/>
        </w:numPr>
        <w:suppressAutoHyphens/>
        <w:spacing w:after="120" w:line="288" w:lineRule="auto"/>
        <w:ind w:left="993" w:hanging="426"/>
        <w:rPr>
          <w:rFonts w:eastAsia="Calibri"/>
          <w:sz w:val="24"/>
          <w:szCs w:val="22"/>
        </w:rPr>
      </w:pPr>
      <w:r>
        <w:rPr>
          <w:rFonts w:eastAsia="Calibri"/>
          <w:sz w:val="24"/>
          <w:szCs w:val="22"/>
        </w:rPr>
        <w:t xml:space="preserve">Amending the Inter-Governmental Agreement to clarify funding arrangements between the Commonwealth and the states and territories for Regulator and policy activities. </w:t>
      </w:r>
    </w:p>
    <w:p w:rsidR="0007134E" w:rsidRPr="0007134E" w:rsidRDefault="0007134E" w:rsidP="0093210C">
      <w:pPr>
        <w:numPr>
          <w:ilvl w:val="0"/>
          <w:numId w:val="3"/>
        </w:numPr>
        <w:suppressAutoHyphens/>
        <w:spacing w:after="120" w:line="288" w:lineRule="auto"/>
        <w:ind w:left="993" w:hanging="426"/>
        <w:rPr>
          <w:rFonts w:eastAsia="Calibri"/>
          <w:sz w:val="24"/>
          <w:szCs w:val="22"/>
        </w:rPr>
      </w:pPr>
      <w:r>
        <w:rPr>
          <w:rFonts w:eastAsia="Calibri"/>
          <w:sz w:val="24"/>
          <w:szCs w:val="22"/>
        </w:rPr>
        <w:t xml:space="preserve">A program of registration system enhancements to address useability issues identified by industry stakeholders (see </w:t>
      </w:r>
      <w:r w:rsidRPr="00586F84">
        <w:rPr>
          <w:rFonts w:eastAsia="Calibri"/>
          <w:b/>
          <w:sz w:val="24"/>
          <w:szCs w:val="22"/>
        </w:rPr>
        <w:t xml:space="preserve">Box </w:t>
      </w:r>
      <w:r w:rsidRPr="00065C2F">
        <w:rPr>
          <w:rFonts w:eastAsia="Calibri"/>
          <w:b/>
          <w:sz w:val="24"/>
          <w:szCs w:val="22"/>
        </w:rPr>
        <w:t>4</w:t>
      </w:r>
      <w:r>
        <w:rPr>
          <w:rFonts w:eastAsia="Calibri"/>
          <w:sz w:val="24"/>
          <w:szCs w:val="22"/>
        </w:rPr>
        <w:t xml:space="preserve"> in Section 5 below for more detail).</w:t>
      </w:r>
    </w:p>
    <w:p w:rsidR="00707A0D" w:rsidRDefault="00707A0D" w:rsidP="00707A0D">
      <w:pPr>
        <w:suppressAutoHyphens/>
        <w:spacing w:after="200" w:line="288" w:lineRule="auto"/>
        <w:ind w:left="567"/>
        <w:rPr>
          <w:rFonts w:cs="MyriadPro-Regular"/>
          <w:color w:val="000000"/>
          <w:sz w:val="32"/>
          <w:szCs w:val="28"/>
          <w:lang w:val="en-GB"/>
        </w:rPr>
      </w:pPr>
      <w:r>
        <w:br w:type="page"/>
      </w:r>
    </w:p>
    <w:p w:rsidR="00841A06" w:rsidRDefault="00147A93" w:rsidP="00FE149E">
      <w:pPr>
        <w:pStyle w:val="Heading2"/>
        <w:spacing w:after="120"/>
      </w:pPr>
      <w:bookmarkStart w:id="33" w:name="_Toc507145449"/>
      <w:proofErr w:type="gramStart"/>
      <w:r>
        <w:t>3</w:t>
      </w:r>
      <w:r w:rsidR="00707A0D">
        <w:t>.</w:t>
      </w:r>
      <w:r w:rsidR="0007134E">
        <w:t>4</w:t>
      </w:r>
      <w:r w:rsidR="00707A0D">
        <w:t xml:space="preserve">  Products</w:t>
      </w:r>
      <w:proofErr w:type="gramEnd"/>
      <w:r w:rsidR="00707A0D">
        <w:t xml:space="preserve"> currently regulated under the GEMS Act</w:t>
      </w:r>
      <w:bookmarkEnd w:id="33"/>
    </w:p>
    <w:p w:rsidR="00841A06" w:rsidRPr="00FE149E" w:rsidRDefault="00FE149E" w:rsidP="00FE149E">
      <w:pPr>
        <w:spacing w:after="120"/>
        <w:ind w:left="426"/>
        <w:rPr>
          <w:b/>
          <w:i/>
          <w:lang w:val="en-GB"/>
        </w:rPr>
      </w:pPr>
      <w:r w:rsidRPr="00FE149E">
        <w:rPr>
          <w:b/>
          <w:lang w:val="en-GB"/>
        </w:rPr>
        <w:t>Table 1: GEMS regulated products</w:t>
      </w:r>
      <w:r>
        <w:rPr>
          <w:b/>
          <w:lang w:val="en-GB"/>
        </w:rPr>
        <w:t xml:space="preserve"> (as at </w:t>
      </w:r>
      <w:r w:rsidR="00594E1F" w:rsidRPr="007D7C2B">
        <w:rPr>
          <w:b/>
          <w:lang w:val="en-GB"/>
        </w:rPr>
        <w:t>19 February 2018</w:t>
      </w:r>
      <w:r>
        <w:rPr>
          <w:b/>
          <w:lang w:val="en-GB"/>
        </w:rPr>
        <w:t>)</w:t>
      </w:r>
    </w:p>
    <w:tbl>
      <w:tblPr>
        <w:tblW w:w="4476" w:type="pct"/>
        <w:tblCellSpacing w:w="7" w:type="dxa"/>
        <w:tblInd w:w="421"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5102"/>
        <w:gridCol w:w="2127"/>
        <w:gridCol w:w="2126"/>
      </w:tblGrid>
      <w:tr w:rsidR="00707A0D" w:rsidRPr="00680912" w:rsidTr="00841A06">
        <w:trPr>
          <w:tblHeader/>
          <w:tblCellSpacing w:w="7" w:type="dxa"/>
        </w:trPr>
        <w:tc>
          <w:tcPr>
            <w:tcW w:w="2716" w:type="pct"/>
            <w:tcBorders>
              <w:top w:val="single" w:sz="4" w:space="0" w:color="auto"/>
              <w:left w:val="single" w:sz="4" w:space="0" w:color="auto"/>
              <w:bottom w:val="single" w:sz="4" w:space="0" w:color="auto"/>
              <w:right w:val="nil"/>
            </w:tcBorders>
            <w:shd w:val="clear" w:color="auto" w:fill="538135" w:themeFill="accent6" w:themeFillShade="BF"/>
            <w:tcMar>
              <w:top w:w="60" w:type="dxa"/>
              <w:left w:w="120" w:type="dxa"/>
              <w:bottom w:w="60" w:type="dxa"/>
              <w:right w:w="120" w:type="dxa"/>
            </w:tcMar>
            <w:vAlign w:val="center"/>
            <w:hideMark/>
          </w:tcPr>
          <w:p w:rsidR="00707A0D" w:rsidRPr="00A24BA1" w:rsidRDefault="00707A0D" w:rsidP="00841A06">
            <w:pPr>
              <w:spacing w:before="20" w:after="20"/>
              <w:rPr>
                <w:rFonts w:cs="Arial"/>
                <w:b/>
                <w:bCs/>
                <w:color w:val="FFF2CC" w:themeColor="accent4" w:themeTint="33"/>
                <w:sz w:val="24"/>
                <w:szCs w:val="24"/>
              </w:rPr>
            </w:pPr>
            <w:r w:rsidRPr="00A24BA1">
              <w:rPr>
                <w:rFonts w:cs="Arial"/>
                <w:b/>
                <w:bCs/>
                <w:color w:val="FFF2CC" w:themeColor="accent4" w:themeTint="33"/>
                <w:sz w:val="24"/>
                <w:szCs w:val="24"/>
              </w:rPr>
              <w:t>Regulated Product</w:t>
            </w:r>
          </w:p>
        </w:tc>
        <w:tc>
          <w:tcPr>
            <w:tcW w:w="1129" w:type="pct"/>
            <w:tcBorders>
              <w:top w:val="single" w:sz="4" w:space="0" w:color="auto"/>
              <w:left w:val="nil"/>
              <w:bottom w:val="single" w:sz="4" w:space="0" w:color="auto"/>
              <w:right w:val="nil"/>
            </w:tcBorders>
            <w:shd w:val="clear" w:color="auto" w:fill="538135" w:themeFill="accent6" w:themeFillShade="BF"/>
            <w:tcMar>
              <w:top w:w="60" w:type="dxa"/>
              <w:left w:w="120" w:type="dxa"/>
              <w:bottom w:w="60" w:type="dxa"/>
              <w:right w:w="120" w:type="dxa"/>
            </w:tcMar>
            <w:vAlign w:val="center"/>
            <w:hideMark/>
          </w:tcPr>
          <w:p w:rsidR="00707A0D" w:rsidRPr="00A24BA1" w:rsidRDefault="00707A0D" w:rsidP="00841A06">
            <w:pPr>
              <w:spacing w:before="20" w:after="20"/>
              <w:rPr>
                <w:rFonts w:cs="Arial"/>
                <w:b/>
                <w:bCs/>
                <w:color w:val="FFF2CC" w:themeColor="accent4" w:themeTint="33"/>
                <w:sz w:val="24"/>
                <w:szCs w:val="24"/>
              </w:rPr>
            </w:pPr>
            <w:r w:rsidRPr="00A24BA1">
              <w:rPr>
                <w:rFonts w:cs="Arial"/>
                <w:b/>
                <w:bCs/>
                <w:color w:val="FFF2CC" w:themeColor="accent4" w:themeTint="33"/>
                <w:sz w:val="24"/>
                <w:szCs w:val="24"/>
              </w:rPr>
              <w:t>MEPS</w:t>
            </w:r>
          </w:p>
        </w:tc>
        <w:tc>
          <w:tcPr>
            <w:tcW w:w="1125" w:type="pct"/>
            <w:tcBorders>
              <w:top w:val="single" w:sz="4" w:space="0" w:color="auto"/>
              <w:left w:val="nil"/>
              <w:bottom w:val="single" w:sz="4" w:space="0" w:color="auto"/>
              <w:right w:val="single" w:sz="4" w:space="0" w:color="auto"/>
            </w:tcBorders>
            <w:shd w:val="clear" w:color="auto" w:fill="538135" w:themeFill="accent6" w:themeFillShade="BF"/>
            <w:tcMar>
              <w:top w:w="60" w:type="dxa"/>
              <w:left w:w="120" w:type="dxa"/>
              <w:bottom w:w="60" w:type="dxa"/>
              <w:right w:w="120" w:type="dxa"/>
            </w:tcMar>
            <w:vAlign w:val="center"/>
            <w:hideMark/>
          </w:tcPr>
          <w:p w:rsidR="00707A0D" w:rsidRPr="00A24BA1" w:rsidRDefault="00707A0D" w:rsidP="00841A06">
            <w:pPr>
              <w:spacing w:before="20" w:after="20"/>
              <w:rPr>
                <w:rFonts w:cs="Arial"/>
                <w:b/>
                <w:bCs/>
                <w:color w:val="FFF2CC" w:themeColor="accent4" w:themeTint="33"/>
                <w:sz w:val="24"/>
                <w:szCs w:val="24"/>
              </w:rPr>
            </w:pPr>
            <w:r w:rsidRPr="00A24BA1">
              <w:rPr>
                <w:rFonts w:cs="Arial"/>
                <w:b/>
                <w:bCs/>
                <w:color w:val="FFF2CC" w:themeColor="accent4" w:themeTint="33"/>
                <w:sz w:val="24"/>
                <w:szCs w:val="24"/>
              </w:rPr>
              <w:t>ERL</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Air conditioners </w:t>
            </w:r>
            <w:r w:rsidRPr="00A24BA1">
              <w:rPr>
                <w:rFonts w:cs="Arial" w:hint="eastAsia"/>
                <w:color w:val="333333"/>
                <w:sz w:val="24"/>
                <w:szCs w:val="24"/>
              </w:rPr>
              <w:t>–</w:t>
            </w:r>
            <w:r w:rsidRPr="00A24BA1">
              <w:rPr>
                <w:rFonts w:cs="Arial"/>
                <w:color w:val="333333"/>
                <w:sz w:val="24"/>
                <w:szCs w:val="24"/>
              </w:rPr>
              <w:t xml:space="preserve"> single phase</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Air conditioners </w:t>
            </w:r>
            <w:r w:rsidRPr="00A24BA1">
              <w:rPr>
                <w:rFonts w:cs="Arial" w:hint="eastAsia"/>
                <w:color w:val="333333"/>
                <w:sz w:val="24"/>
                <w:szCs w:val="24"/>
              </w:rPr>
              <w:t>–</w:t>
            </w:r>
            <w:r w:rsidRPr="00A24BA1">
              <w:rPr>
                <w:rFonts w:cs="Arial"/>
                <w:color w:val="333333"/>
                <w:sz w:val="24"/>
                <w:szCs w:val="24"/>
              </w:rPr>
              <w:t xml:space="preserve"> three phase</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 xml:space="preserve">Yes </w:t>
            </w:r>
            <w:r w:rsidRPr="00A24BA1">
              <w:rPr>
                <w:rFonts w:cs="Arial"/>
                <w:color w:val="333333"/>
                <w:sz w:val="24"/>
                <w:szCs w:val="24"/>
              </w:rPr>
              <w:t>(Voluntary)</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Ballasts for </w:t>
            </w:r>
            <w:r>
              <w:rPr>
                <w:rFonts w:cs="Arial"/>
                <w:color w:val="333333"/>
                <w:sz w:val="24"/>
                <w:szCs w:val="24"/>
              </w:rPr>
              <w:t>f</w:t>
            </w:r>
            <w:r w:rsidRPr="00A24BA1">
              <w:rPr>
                <w:rFonts w:cs="Arial"/>
                <w:color w:val="333333"/>
                <w:sz w:val="24"/>
                <w:szCs w:val="24"/>
              </w:rPr>
              <w:t xml:space="preserve">luorescent </w:t>
            </w:r>
            <w:r>
              <w:rPr>
                <w:rFonts w:cs="Arial"/>
                <w:color w:val="333333"/>
                <w:sz w:val="24"/>
                <w:szCs w:val="24"/>
              </w:rPr>
              <w:t>l</w:t>
            </w:r>
            <w:r w:rsidRPr="00A24BA1">
              <w:rPr>
                <w:rFonts w:cs="Arial"/>
                <w:color w:val="333333"/>
                <w:sz w:val="24"/>
                <w:szCs w:val="24"/>
              </w:rPr>
              <w:t>amps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Other*</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AB261A">
            <w:pPr>
              <w:spacing w:before="20" w:after="20"/>
              <w:rPr>
                <w:rFonts w:cs="Arial"/>
                <w:color w:val="333333"/>
                <w:sz w:val="24"/>
                <w:szCs w:val="24"/>
              </w:rPr>
            </w:pPr>
            <w:r>
              <w:rPr>
                <w:rFonts w:cs="Arial"/>
                <w:color w:val="333333"/>
                <w:sz w:val="24"/>
                <w:szCs w:val="24"/>
              </w:rPr>
              <w:t>Close control air conditioners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Clothes </w:t>
            </w:r>
            <w:r>
              <w:rPr>
                <w:rFonts w:cs="Arial"/>
                <w:color w:val="333333"/>
                <w:sz w:val="24"/>
                <w:szCs w:val="24"/>
              </w:rPr>
              <w:t>d</w:t>
            </w:r>
            <w:r w:rsidRPr="00A24BA1">
              <w:rPr>
                <w:rFonts w:cs="Arial"/>
                <w:color w:val="333333"/>
                <w:sz w:val="24"/>
                <w:szCs w:val="24"/>
              </w:rPr>
              <w:t>ryers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Clothes </w:t>
            </w:r>
            <w:r>
              <w:rPr>
                <w:rFonts w:cs="Arial"/>
                <w:color w:val="333333"/>
                <w:sz w:val="24"/>
                <w:szCs w:val="24"/>
              </w:rPr>
              <w:t>w</w:t>
            </w:r>
            <w:r w:rsidRPr="00A24BA1">
              <w:rPr>
                <w:rFonts w:cs="Arial"/>
                <w:color w:val="333333"/>
                <w:sz w:val="24"/>
                <w:szCs w:val="24"/>
              </w:rPr>
              <w:t xml:space="preserve">ashing </w:t>
            </w:r>
            <w:r>
              <w:rPr>
                <w:rFonts w:cs="Arial"/>
                <w:color w:val="333333"/>
                <w:sz w:val="24"/>
                <w:szCs w:val="24"/>
              </w:rPr>
              <w:t>m</w:t>
            </w:r>
            <w:r w:rsidRPr="00A24BA1">
              <w:rPr>
                <w:rFonts w:cs="Arial"/>
                <w:color w:val="333333"/>
                <w:sz w:val="24"/>
                <w:szCs w:val="24"/>
              </w:rPr>
              <w:t>achines</w:t>
            </w:r>
            <w:r w:rsidR="00594E1F">
              <w:rPr>
                <w:rFonts w:cs="Arial"/>
                <w:color w:val="333333"/>
                <w:sz w:val="24"/>
                <w:szCs w:val="24"/>
              </w:rPr>
              <w:t>^</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594E1F">
            <w:pPr>
              <w:spacing w:before="20" w:after="20"/>
              <w:rPr>
                <w:rFonts w:cs="Arial"/>
                <w:color w:val="333333"/>
                <w:sz w:val="24"/>
                <w:szCs w:val="24"/>
              </w:rPr>
            </w:pPr>
            <w:r w:rsidRPr="00A24BA1">
              <w:rPr>
                <w:rFonts w:cs="Arial"/>
                <w:bCs/>
                <w:color w:val="333333"/>
                <w:sz w:val="24"/>
                <w:szCs w:val="24"/>
              </w:rPr>
              <w:t>No</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r w:rsidR="00594E1F">
              <w:rPr>
                <w:rFonts w:cs="Arial"/>
                <w:bCs/>
                <w:color w:val="333333"/>
                <w:sz w:val="24"/>
                <w:szCs w:val="24"/>
              </w:rPr>
              <w:t>^</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Commercial chillers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Compact </w:t>
            </w:r>
            <w:r>
              <w:rPr>
                <w:rFonts w:cs="Arial"/>
                <w:color w:val="333333"/>
                <w:sz w:val="24"/>
                <w:szCs w:val="24"/>
              </w:rPr>
              <w:t>f</w:t>
            </w:r>
            <w:r w:rsidRPr="00A24BA1">
              <w:rPr>
                <w:rFonts w:cs="Arial"/>
                <w:color w:val="333333"/>
                <w:sz w:val="24"/>
                <w:szCs w:val="24"/>
              </w:rPr>
              <w:t xml:space="preserve">luorescent </w:t>
            </w:r>
            <w:r>
              <w:rPr>
                <w:rFonts w:cs="Arial"/>
                <w:color w:val="333333"/>
                <w:sz w:val="24"/>
                <w:szCs w:val="24"/>
              </w:rPr>
              <w:t>l</w:t>
            </w:r>
            <w:r w:rsidRPr="00A24BA1">
              <w:rPr>
                <w:rFonts w:cs="Arial"/>
                <w:color w:val="333333"/>
                <w:sz w:val="24"/>
                <w:szCs w:val="24"/>
              </w:rPr>
              <w:t>amps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Other*</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Computers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Computer </w:t>
            </w:r>
            <w:r>
              <w:rPr>
                <w:rFonts w:cs="Arial"/>
                <w:color w:val="333333"/>
                <w:sz w:val="24"/>
                <w:szCs w:val="24"/>
              </w:rPr>
              <w:t>m</w:t>
            </w:r>
            <w:r w:rsidRPr="00A24BA1">
              <w:rPr>
                <w:rFonts w:cs="Arial"/>
                <w:color w:val="333333"/>
                <w:sz w:val="24"/>
                <w:szCs w:val="24"/>
              </w:rPr>
              <w:t>onitors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Dishwashers</w:t>
            </w:r>
            <w:r w:rsidR="00594E1F">
              <w:rPr>
                <w:rFonts w:cs="Arial"/>
                <w:color w:val="333333"/>
                <w:sz w:val="24"/>
                <w:szCs w:val="24"/>
              </w:rPr>
              <w:t>^</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594E1F">
            <w:pPr>
              <w:spacing w:before="20" w:after="20"/>
              <w:rPr>
                <w:rFonts w:cs="Arial"/>
                <w:color w:val="333333"/>
                <w:sz w:val="24"/>
                <w:szCs w:val="24"/>
              </w:rPr>
            </w:pPr>
            <w:r w:rsidRPr="00A24BA1">
              <w:rPr>
                <w:rFonts w:cs="Arial"/>
                <w:bCs/>
                <w:color w:val="333333"/>
                <w:sz w:val="24"/>
                <w:szCs w:val="24"/>
              </w:rPr>
              <w:t>No</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r w:rsidR="00594E1F">
              <w:rPr>
                <w:rFonts w:cs="Arial"/>
                <w:bCs/>
                <w:color w:val="333333"/>
                <w:sz w:val="24"/>
                <w:szCs w:val="24"/>
              </w:rPr>
              <w:t>^</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Distribution </w:t>
            </w:r>
            <w:r>
              <w:rPr>
                <w:rFonts w:cs="Arial"/>
                <w:color w:val="333333"/>
                <w:sz w:val="24"/>
                <w:szCs w:val="24"/>
              </w:rPr>
              <w:t>t</w:t>
            </w:r>
            <w:r w:rsidRPr="00A24BA1">
              <w:rPr>
                <w:rFonts w:cs="Arial"/>
                <w:color w:val="333333"/>
                <w:sz w:val="24"/>
                <w:szCs w:val="24"/>
              </w:rPr>
              <w:t>ransformers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Electric motors (three phase)</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Other*</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Electric </w:t>
            </w:r>
            <w:r>
              <w:rPr>
                <w:rFonts w:cs="Arial"/>
                <w:color w:val="333333"/>
                <w:sz w:val="24"/>
                <w:szCs w:val="24"/>
              </w:rPr>
              <w:t>s</w:t>
            </w:r>
            <w:r w:rsidRPr="00A24BA1">
              <w:rPr>
                <w:rFonts w:cs="Arial"/>
                <w:color w:val="333333"/>
                <w:sz w:val="24"/>
                <w:szCs w:val="24"/>
              </w:rPr>
              <w:t xml:space="preserve">torage </w:t>
            </w:r>
            <w:r>
              <w:rPr>
                <w:rFonts w:cs="Arial"/>
                <w:color w:val="333333"/>
                <w:sz w:val="24"/>
                <w:szCs w:val="24"/>
              </w:rPr>
              <w:t>w</w:t>
            </w:r>
            <w:r w:rsidRPr="00A24BA1">
              <w:rPr>
                <w:rFonts w:cs="Arial"/>
                <w:color w:val="333333"/>
                <w:sz w:val="24"/>
                <w:szCs w:val="24"/>
              </w:rPr>
              <w:t xml:space="preserve">ater </w:t>
            </w:r>
            <w:r>
              <w:rPr>
                <w:rFonts w:cs="Arial"/>
                <w:color w:val="333333"/>
                <w:sz w:val="24"/>
                <w:szCs w:val="24"/>
              </w:rPr>
              <w:t>h</w:t>
            </w:r>
            <w:r w:rsidRPr="00A24BA1">
              <w:rPr>
                <w:rFonts w:cs="Arial"/>
                <w:color w:val="333333"/>
                <w:sz w:val="24"/>
                <w:szCs w:val="24"/>
              </w:rPr>
              <w:t>eaters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External </w:t>
            </w:r>
            <w:r>
              <w:rPr>
                <w:rFonts w:cs="Arial"/>
                <w:color w:val="333333"/>
                <w:sz w:val="24"/>
                <w:szCs w:val="24"/>
              </w:rPr>
              <w:t>p</w:t>
            </w:r>
            <w:r w:rsidRPr="00A24BA1">
              <w:rPr>
                <w:rFonts w:cs="Arial"/>
                <w:color w:val="333333"/>
                <w:sz w:val="24"/>
                <w:szCs w:val="24"/>
              </w:rPr>
              <w:t xml:space="preserve">ower </w:t>
            </w:r>
            <w:r>
              <w:rPr>
                <w:rFonts w:cs="Arial"/>
                <w:color w:val="333333"/>
                <w:sz w:val="24"/>
                <w:szCs w:val="24"/>
              </w:rPr>
              <w:t>s</w:t>
            </w:r>
            <w:r w:rsidRPr="00A24BA1">
              <w:rPr>
                <w:rFonts w:cs="Arial"/>
                <w:color w:val="333333"/>
                <w:sz w:val="24"/>
                <w:szCs w:val="24"/>
              </w:rPr>
              <w:t>upplies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Gas </w:t>
            </w:r>
            <w:r>
              <w:rPr>
                <w:rFonts w:cs="Arial"/>
                <w:color w:val="333333"/>
                <w:sz w:val="24"/>
                <w:szCs w:val="24"/>
              </w:rPr>
              <w:t>s</w:t>
            </w:r>
            <w:r w:rsidRPr="00A24BA1">
              <w:rPr>
                <w:rFonts w:cs="Arial"/>
                <w:color w:val="333333"/>
                <w:sz w:val="24"/>
                <w:szCs w:val="24"/>
              </w:rPr>
              <w:t xml:space="preserve">torage </w:t>
            </w:r>
            <w:r>
              <w:rPr>
                <w:rFonts w:cs="Arial"/>
                <w:color w:val="333333"/>
                <w:sz w:val="24"/>
                <w:szCs w:val="24"/>
              </w:rPr>
              <w:t>w</w:t>
            </w:r>
            <w:r w:rsidRPr="00A24BA1">
              <w:rPr>
                <w:rFonts w:cs="Arial"/>
                <w:color w:val="333333"/>
                <w:sz w:val="24"/>
                <w:szCs w:val="24"/>
              </w:rPr>
              <w:t xml:space="preserve">ater </w:t>
            </w:r>
            <w:r>
              <w:rPr>
                <w:rFonts w:cs="Arial"/>
                <w:color w:val="333333"/>
                <w:sz w:val="24"/>
                <w:szCs w:val="24"/>
              </w:rPr>
              <w:t>h</w:t>
            </w:r>
            <w:r w:rsidRPr="00A24BA1">
              <w:rPr>
                <w:rFonts w:cs="Arial"/>
                <w:color w:val="333333"/>
                <w:sz w:val="24"/>
                <w:szCs w:val="24"/>
              </w:rPr>
              <w:t>eaters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680912">
              <w:rPr>
                <w:rFonts w:cs="Arial"/>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Incandescent </w:t>
            </w:r>
            <w:r>
              <w:rPr>
                <w:rFonts w:cs="Arial"/>
                <w:color w:val="333333"/>
                <w:sz w:val="24"/>
                <w:szCs w:val="24"/>
              </w:rPr>
              <w:t>l</w:t>
            </w:r>
            <w:r w:rsidRPr="00A24BA1">
              <w:rPr>
                <w:rFonts w:cs="Arial"/>
                <w:color w:val="333333"/>
                <w:sz w:val="24"/>
                <w:szCs w:val="24"/>
              </w:rPr>
              <w:t>amps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Other*</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Instantaneous </w:t>
            </w:r>
            <w:r>
              <w:rPr>
                <w:rFonts w:cs="Arial"/>
                <w:color w:val="333333"/>
                <w:sz w:val="24"/>
                <w:szCs w:val="24"/>
              </w:rPr>
              <w:t>g</w:t>
            </w:r>
            <w:r w:rsidRPr="00A24BA1">
              <w:rPr>
                <w:rFonts w:cs="Arial"/>
                <w:color w:val="333333"/>
                <w:sz w:val="24"/>
                <w:szCs w:val="24"/>
              </w:rPr>
              <w:t xml:space="preserve">as </w:t>
            </w:r>
            <w:r>
              <w:rPr>
                <w:rFonts w:cs="Arial"/>
                <w:color w:val="333333"/>
                <w:sz w:val="24"/>
                <w:szCs w:val="24"/>
              </w:rPr>
              <w:t>w</w:t>
            </w:r>
            <w:r w:rsidRPr="00A24BA1">
              <w:rPr>
                <w:rFonts w:cs="Arial"/>
                <w:color w:val="333333"/>
                <w:sz w:val="24"/>
                <w:szCs w:val="24"/>
              </w:rPr>
              <w:t xml:space="preserve">ater </w:t>
            </w:r>
            <w:r>
              <w:rPr>
                <w:rFonts w:cs="Arial"/>
                <w:color w:val="333333"/>
                <w:sz w:val="24"/>
                <w:szCs w:val="24"/>
              </w:rPr>
              <w:t>h</w:t>
            </w:r>
            <w:r w:rsidRPr="00A24BA1">
              <w:rPr>
                <w:rFonts w:cs="Arial"/>
                <w:color w:val="333333"/>
                <w:sz w:val="24"/>
                <w:szCs w:val="24"/>
              </w:rPr>
              <w:t>eaters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680912">
              <w:rPr>
                <w:rFonts w:cs="Arial"/>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Linear </w:t>
            </w:r>
            <w:r>
              <w:rPr>
                <w:rFonts w:cs="Arial"/>
                <w:color w:val="333333"/>
                <w:sz w:val="24"/>
                <w:szCs w:val="24"/>
              </w:rPr>
              <w:t>f</w:t>
            </w:r>
            <w:r w:rsidRPr="00A24BA1">
              <w:rPr>
                <w:rFonts w:cs="Arial"/>
                <w:color w:val="333333"/>
                <w:sz w:val="24"/>
                <w:szCs w:val="24"/>
              </w:rPr>
              <w:t xml:space="preserve">luorescent </w:t>
            </w:r>
            <w:r>
              <w:rPr>
                <w:rFonts w:cs="Arial"/>
                <w:color w:val="333333"/>
                <w:sz w:val="24"/>
                <w:szCs w:val="24"/>
              </w:rPr>
              <w:t>l</w:t>
            </w:r>
            <w:r w:rsidRPr="00A24BA1">
              <w:rPr>
                <w:rFonts w:cs="Arial"/>
                <w:color w:val="333333"/>
                <w:sz w:val="24"/>
                <w:szCs w:val="24"/>
              </w:rPr>
              <w:t>amps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Refrigerated </w:t>
            </w:r>
            <w:r>
              <w:rPr>
                <w:rFonts w:cs="Arial"/>
                <w:color w:val="333333"/>
                <w:sz w:val="24"/>
                <w:szCs w:val="24"/>
              </w:rPr>
              <w:t>d</w:t>
            </w:r>
            <w:r w:rsidRPr="00A24BA1">
              <w:rPr>
                <w:rFonts w:cs="Arial"/>
                <w:color w:val="333333"/>
                <w:sz w:val="24"/>
                <w:szCs w:val="24"/>
              </w:rPr>
              <w:t xml:space="preserve">isplay </w:t>
            </w:r>
            <w:r>
              <w:rPr>
                <w:rFonts w:cs="Arial"/>
                <w:color w:val="333333"/>
                <w:sz w:val="24"/>
                <w:szCs w:val="24"/>
              </w:rPr>
              <w:t>c</w:t>
            </w:r>
            <w:r w:rsidRPr="00A24BA1">
              <w:rPr>
                <w:rFonts w:cs="Arial"/>
                <w:color w:val="333333"/>
                <w:sz w:val="24"/>
                <w:szCs w:val="24"/>
              </w:rPr>
              <w:t>abinets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AB261A">
            <w:pPr>
              <w:spacing w:before="20" w:after="20"/>
              <w:rPr>
                <w:rFonts w:cs="Arial"/>
                <w:color w:val="333333"/>
                <w:sz w:val="24"/>
                <w:szCs w:val="24"/>
              </w:rPr>
            </w:pPr>
            <w:r>
              <w:rPr>
                <w:rFonts w:cs="Arial"/>
                <w:color w:val="333333"/>
                <w:sz w:val="24"/>
                <w:szCs w:val="24"/>
              </w:rPr>
              <w:t>Refrigerators and freezers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Set </w:t>
            </w:r>
            <w:r>
              <w:rPr>
                <w:rFonts w:cs="Arial"/>
                <w:color w:val="333333"/>
                <w:sz w:val="24"/>
                <w:szCs w:val="24"/>
              </w:rPr>
              <w:t>t</w:t>
            </w:r>
            <w:r w:rsidRPr="00A24BA1">
              <w:rPr>
                <w:rFonts w:cs="Arial"/>
                <w:color w:val="333333"/>
                <w:sz w:val="24"/>
                <w:szCs w:val="24"/>
              </w:rPr>
              <w:t xml:space="preserve">op </w:t>
            </w:r>
            <w:r>
              <w:rPr>
                <w:rFonts w:cs="Arial"/>
                <w:color w:val="333333"/>
                <w:sz w:val="24"/>
                <w:szCs w:val="24"/>
              </w:rPr>
              <w:t>b</w:t>
            </w:r>
            <w:r w:rsidRPr="00A24BA1">
              <w:rPr>
                <w:rFonts w:cs="Arial"/>
                <w:color w:val="333333"/>
                <w:sz w:val="24"/>
                <w:szCs w:val="24"/>
              </w:rPr>
              <w:t>oxes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Street and </w:t>
            </w:r>
            <w:r>
              <w:rPr>
                <w:rFonts w:cs="Arial"/>
                <w:color w:val="333333"/>
                <w:sz w:val="24"/>
                <w:szCs w:val="24"/>
              </w:rPr>
              <w:t>p</w:t>
            </w:r>
            <w:r w:rsidRPr="00A24BA1">
              <w:rPr>
                <w:rFonts w:cs="Arial"/>
                <w:color w:val="333333"/>
                <w:sz w:val="24"/>
                <w:szCs w:val="24"/>
              </w:rPr>
              <w:t xml:space="preserve">ublic </w:t>
            </w:r>
            <w:r>
              <w:rPr>
                <w:rFonts w:cs="Arial"/>
                <w:color w:val="333333"/>
                <w:sz w:val="24"/>
                <w:szCs w:val="24"/>
              </w:rPr>
              <w:t>l</w:t>
            </w:r>
            <w:r w:rsidRPr="00A24BA1">
              <w:rPr>
                <w:rFonts w:cs="Arial"/>
                <w:color w:val="333333"/>
                <w:sz w:val="24"/>
                <w:szCs w:val="24"/>
              </w:rPr>
              <w:t>ighting</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 xml:space="preserve">Yes </w:t>
            </w:r>
            <w:r w:rsidRPr="00A24BA1">
              <w:rPr>
                <w:rFonts w:cs="Arial"/>
                <w:color w:val="333333"/>
                <w:sz w:val="24"/>
                <w:szCs w:val="24"/>
              </w:rPr>
              <w:t>(Voluntary)</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CE4C3A">
            <w:pPr>
              <w:spacing w:before="20" w:after="20"/>
              <w:rPr>
                <w:rFonts w:cs="Arial"/>
                <w:color w:val="333333"/>
                <w:sz w:val="24"/>
                <w:szCs w:val="24"/>
              </w:rPr>
            </w:pPr>
            <w:r w:rsidRPr="00A24BA1">
              <w:rPr>
                <w:rFonts w:cs="Arial"/>
                <w:color w:val="333333"/>
                <w:sz w:val="24"/>
                <w:szCs w:val="24"/>
              </w:rPr>
              <w:t xml:space="preserve">Swimming </w:t>
            </w:r>
            <w:r>
              <w:rPr>
                <w:rFonts w:cs="Arial"/>
                <w:color w:val="333333"/>
                <w:sz w:val="24"/>
                <w:szCs w:val="24"/>
              </w:rPr>
              <w:t>p</w:t>
            </w:r>
            <w:r w:rsidRPr="00A24BA1">
              <w:rPr>
                <w:rFonts w:cs="Arial"/>
                <w:color w:val="333333"/>
                <w:sz w:val="24"/>
                <w:szCs w:val="24"/>
              </w:rPr>
              <w:t xml:space="preserve">ool </w:t>
            </w:r>
            <w:r>
              <w:rPr>
                <w:rFonts w:cs="Arial"/>
                <w:color w:val="333333"/>
                <w:sz w:val="24"/>
                <w:szCs w:val="24"/>
              </w:rPr>
              <w:t>p</w:t>
            </w:r>
            <w:r w:rsidRPr="00A24BA1">
              <w:rPr>
                <w:rFonts w:cs="Arial"/>
                <w:color w:val="333333"/>
                <w:sz w:val="24"/>
                <w:szCs w:val="24"/>
              </w:rPr>
              <w:t>umps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No</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 xml:space="preserve">Yes </w:t>
            </w:r>
            <w:r w:rsidRPr="00A24BA1">
              <w:rPr>
                <w:rFonts w:cs="Arial"/>
                <w:color w:val="333333"/>
                <w:sz w:val="24"/>
                <w:szCs w:val="24"/>
              </w:rPr>
              <w:t>(Voluntary)</w:t>
            </w:r>
          </w:p>
        </w:tc>
      </w:tr>
      <w:tr w:rsidR="00707A0D" w:rsidRPr="00680912" w:rsidTr="00841A06">
        <w:trPr>
          <w:tblCellSpacing w:w="7" w:type="dxa"/>
        </w:trPr>
        <w:tc>
          <w:tcPr>
            <w:tcW w:w="2716" w:type="pct"/>
            <w:tcBorders>
              <w:top w:val="nil"/>
              <w:left w:val="single" w:sz="4" w:space="0" w:color="auto"/>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Televisions</w:t>
            </w:r>
          </w:p>
        </w:tc>
        <w:tc>
          <w:tcPr>
            <w:tcW w:w="1129" w:type="pct"/>
            <w:tcBorders>
              <w:top w:val="nil"/>
              <w:left w:val="nil"/>
              <w:bottom w:val="nil"/>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nil"/>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r>
      <w:tr w:rsidR="00707A0D" w:rsidRPr="00680912" w:rsidTr="00841A06">
        <w:trPr>
          <w:tblCellSpacing w:w="7" w:type="dxa"/>
        </w:trPr>
        <w:tc>
          <w:tcPr>
            <w:tcW w:w="2716" w:type="pct"/>
            <w:tcBorders>
              <w:top w:val="nil"/>
              <w:left w:val="single" w:sz="4" w:space="0" w:color="auto"/>
              <w:bottom w:val="single" w:sz="4" w:space="0" w:color="auto"/>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color w:val="333333"/>
                <w:sz w:val="24"/>
                <w:szCs w:val="24"/>
              </w:rPr>
              <w:t xml:space="preserve">Transformers </w:t>
            </w:r>
            <w:r>
              <w:rPr>
                <w:rFonts w:cs="Arial"/>
                <w:color w:val="333333"/>
                <w:sz w:val="24"/>
                <w:szCs w:val="24"/>
              </w:rPr>
              <w:t>and</w:t>
            </w:r>
            <w:r w:rsidRPr="00A24BA1">
              <w:rPr>
                <w:rFonts w:cs="Arial"/>
                <w:color w:val="333333"/>
                <w:sz w:val="24"/>
                <w:szCs w:val="24"/>
              </w:rPr>
              <w:t xml:space="preserve"> </w:t>
            </w:r>
            <w:r>
              <w:rPr>
                <w:rFonts w:cs="Arial"/>
                <w:color w:val="333333"/>
                <w:sz w:val="24"/>
                <w:szCs w:val="24"/>
              </w:rPr>
              <w:t>c</w:t>
            </w:r>
            <w:r w:rsidRPr="00A24BA1">
              <w:rPr>
                <w:rFonts w:cs="Arial"/>
                <w:color w:val="333333"/>
                <w:sz w:val="24"/>
                <w:szCs w:val="24"/>
              </w:rPr>
              <w:t xml:space="preserve">onverters for </w:t>
            </w:r>
            <w:r>
              <w:rPr>
                <w:rFonts w:cs="Arial"/>
                <w:color w:val="333333"/>
                <w:sz w:val="24"/>
                <w:szCs w:val="24"/>
              </w:rPr>
              <w:t>h</w:t>
            </w:r>
            <w:r w:rsidRPr="00A24BA1">
              <w:rPr>
                <w:rFonts w:cs="Arial"/>
                <w:color w:val="333333"/>
                <w:sz w:val="24"/>
                <w:szCs w:val="24"/>
              </w:rPr>
              <w:t>alogens</w:t>
            </w:r>
          </w:p>
        </w:tc>
        <w:tc>
          <w:tcPr>
            <w:tcW w:w="1129" w:type="pct"/>
            <w:tcBorders>
              <w:top w:val="nil"/>
              <w:left w:val="nil"/>
              <w:bottom w:val="single" w:sz="4" w:space="0" w:color="auto"/>
              <w:right w:val="nil"/>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Yes</w:t>
            </w:r>
          </w:p>
        </w:tc>
        <w:tc>
          <w:tcPr>
            <w:tcW w:w="1125" w:type="pct"/>
            <w:tcBorders>
              <w:top w:val="nil"/>
              <w:left w:val="nil"/>
              <w:bottom w:val="single" w:sz="4" w:space="0" w:color="auto"/>
              <w:right w:val="single" w:sz="4" w:space="0" w:color="auto"/>
            </w:tcBorders>
            <w:tcMar>
              <w:top w:w="60" w:type="dxa"/>
              <w:left w:w="120" w:type="dxa"/>
              <w:bottom w:w="60" w:type="dxa"/>
              <w:right w:w="120" w:type="dxa"/>
            </w:tcMar>
            <w:vAlign w:val="center"/>
            <w:hideMark/>
          </w:tcPr>
          <w:p w:rsidR="00707A0D" w:rsidRPr="00A24BA1" w:rsidRDefault="00707A0D" w:rsidP="00841A06">
            <w:pPr>
              <w:spacing w:before="20" w:after="20"/>
              <w:rPr>
                <w:rFonts w:cs="Arial"/>
                <w:color w:val="333333"/>
                <w:sz w:val="24"/>
                <w:szCs w:val="24"/>
              </w:rPr>
            </w:pPr>
            <w:r w:rsidRPr="00A24BA1">
              <w:rPr>
                <w:rFonts w:cs="Arial"/>
                <w:bCs/>
                <w:color w:val="333333"/>
                <w:sz w:val="24"/>
                <w:szCs w:val="24"/>
              </w:rPr>
              <w:t>Other*</w:t>
            </w:r>
          </w:p>
        </w:tc>
      </w:tr>
    </w:tbl>
    <w:p w:rsidR="00CE4C3A" w:rsidRDefault="00707A0D" w:rsidP="00707A0D">
      <w:pPr>
        <w:suppressAutoHyphens/>
        <w:spacing w:before="120"/>
        <w:ind w:left="754" w:right="539" w:hanging="187"/>
        <w:rPr>
          <w:rFonts w:cs="Arial"/>
          <w:color w:val="333333"/>
        </w:rPr>
      </w:pPr>
      <w:proofErr w:type="gramStart"/>
      <w:r>
        <w:rPr>
          <w:rFonts w:cs="Arial"/>
          <w:color w:val="333333"/>
        </w:rPr>
        <w:t>*  While</w:t>
      </w:r>
      <w:proofErr w:type="gramEnd"/>
      <w:r w:rsidRPr="00A24BA1">
        <w:rPr>
          <w:rFonts w:cs="Arial"/>
          <w:color w:val="333333"/>
        </w:rPr>
        <w:t xml:space="preserve"> no </w:t>
      </w:r>
      <w:r>
        <w:rPr>
          <w:rFonts w:cs="Arial"/>
          <w:color w:val="333333"/>
        </w:rPr>
        <w:t>ERL</w:t>
      </w:r>
      <w:r w:rsidRPr="00A24BA1">
        <w:rPr>
          <w:rFonts w:cs="Arial"/>
          <w:color w:val="333333"/>
        </w:rPr>
        <w:t xml:space="preserve"> is required, GEMS labelling requirements do apply </w:t>
      </w:r>
      <w:r w:rsidR="00CE4C3A">
        <w:rPr>
          <w:rFonts w:cs="Arial"/>
          <w:color w:val="333333"/>
        </w:rPr>
        <w:t>- see</w:t>
      </w:r>
      <w:r w:rsidRPr="00A24BA1">
        <w:rPr>
          <w:rFonts w:cs="Arial"/>
          <w:color w:val="333333"/>
        </w:rPr>
        <w:t xml:space="preserve"> relevant GEMS determination</w:t>
      </w:r>
    </w:p>
    <w:p w:rsidR="00707A0D" w:rsidRPr="007D094C" w:rsidRDefault="00CE4C3A" w:rsidP="007D094C">
      <w:pPr>
        <w:suppressAutoHyphens/>
        <w:spacing w:before="120"/>
        <w:ind w:left="754" w:right="539" w:hanging="187"/>
        <w:rPr>
          <w:rFonts w:cs="Arial"/>
          <w:color w:val="333333"/>
        </w:rPr>
      </w:pPr>
      <w:proofErr w:type="gramStart"/>
      <w:r w:rsidRPr="007D7C2B">
        <w:rPr>
          <w:rFonts w:cs="Arial"/>
          <w:color w:val="333333"/>
        </w:rPr>
        <w:t xml:space="preserve">^  </w:t>
      </w:r>
      <w:r w:rsidR="007D094C" w:rsidRPr="007D7C2B">
        <w:rPr>
          <w:rFonts w:cs="Arial"/>
          <w:color w:val="333333"/>
        </w:rPr>
        <w:t>The</w:t>
      </w:r>
      <w:proofErr w:type="gramEnd"/>
      <w:r w:rsidR="007D094C" w:rsidRPr="007D7C2B">
        <w:rPr>
          <w:rFonts w:cs="Arial"/>
          <w:color w:val="333333"/>
        </w:rPr>
        <w:t xml:space="preserve"> ERL has proven to be an effective and appropriate mechanism to ensure increased efficiency. E3 has undertaken several reviews and the application of MEPS would not be cost effective at this time. </w:t>
      </w:r>
      <w:r w:rsidR="00B513B3" w:rsidRPr="007D094C">
        <w:rPr>
          <w:rFonts w:cs="Arial"/>
          <w:i/>
          <w:color w:val="333333"/>
        </w:rPr>
        <w:t xml:space="preserve"> </w:t>
      </w:r>
    </w:p>
    <w:p w:rsidR="00707A0D" w:rsidRPr="001222E8" w:rsidRDefault="00147A93" w:rsidP="00707A0D">
      <w:pPr>
        <w:pStyle w:val="Heading2"/>
        <w:spacing w:before="120"/>
      </w:pPr>
      <w:bookmarkStart w:id="34" w:name="_Toc507145450"/>
      <w:proofErr w:type="gramStart"/>
      <w:r>
        <w:t>3</w:t>
      </w:r>
      <w:r w:rsidR="00707A0D">
        <w:t xml:space="preserve">.5  </w:t>
      </w:r>
      <w:r w:rsidR="00707A0D" w:rsidRPr="001222E8">
        <w:t>E3</w:t>
      </w:r>
      <w:proofErr w:type="gramEnd"/>
      <w:r w:rsidR="00707A0D" w:rsidRPr="001222E8">
        <w:t xml:space="preserve"> Prioritisation Plan</w:t>
      </w:r>
      <w:bookmarkEnd w:id="34"/>
    </w:p>
    <w:p w:rsidR="00707A0D" w:rsidRPr="001222E8" w:rsidRDefault="00707A0D" w:rsidP="00707A0D">
      <w:pPr>
        <w:suppressAutoHyphens/>
        <w:spacing w:after="120" w:line="288" w:lineRule="auto"/>
        <w:ind w:left="567"/>
        <w:rPr>
          <w:rFonts w:eastAsia="Calibri"/>
          <w:sz w:val="24"/>
          <w:szCs w:val="22"/>
        </w:rPr>
      </w:pPr>
      <w:r w:rsidRPr="001222E8">
        <w:rPr>
          <w:rFonts w:eastAsia="Calibri"/>
          <w:sz w:val="24"/>
          <w:szCs w:val="22"/>
        </w:rPr>
        <w:t>Setting priorities for the E3 Program is critical to ensuring that opportunities to save energy, lower energy costs for households and business</w:t>
      </w:r>
      <w:r w:rsidR="0026765C">
        <w:rPr>
          <w:rFonts w:eastAsia="Calibri"/>
          <w:sz w:val="24"/>
          <w:szCs w:val="22"/>
        </w:rPr>
        <w:t xml:space="preserve"> and </w:t>
      </w:r>
      <w:r w:rsidR="0026765C" w:rsidRPr="001222E8">
        <w:rPr>
          <w:rFonts w:eastAsia="Calibri"/>
          <w:sz w:val="24"/>
          <w:szCs w:val="22"/>
        </w:rPr>
        <w:t>red</w:t>
      </w:r>
      <w:r w:rsidR="0026765C">
        <w:rPr>
          <w:rFonts w:eastAsia="Calibri"/>
          <w:sz w:val="24"/>
          <w:szCs w:val="22"/>
        </w:rPr>
        <w:t>uce greenhouse gas emissions</w:t>
      </w:r>
      <w:r w:rsidRPr="001222E8">
        <w:rPr>
          <w:rFonts w:eastAsia="Calibri"/>
          <w:sz w:val="24"/>
          <w:szCs w:val="22"/>
        </w:rPr>
        <w:t>, are realised as soon as possible. Evidence-based prioritisation of opportunities provides a basis for planning for future regulatory work and allocation of resources.</w:t>
      </w:r>
    </w:p>
    <w:p w:rsidR="00707A0D" w:rsidRDefault="00707A0D" w:rsidP="00707A0D">
      <w:pPr>
        <w:suppressAutoHyphens/>
        <w:spacing w:after="120" w:line="288" w:lineRule="auto"/>
        <w:ind w:left="567"/>
        <w:rPr>
          <w:rFonts w:eastAsia="Calibri"/>
          <w:sz w:val="24"/>
          <w:szCs w:val="22"/>
        </w:rPr>
      </w:pPr>
      <w:r w:rsidRPr="001222E8">
        <w:rPr>
          <w:rFonts w:eastAsia="Calibri"/>
          <w:sz w:val="24"/>
          <w:szCs w:val="22"/>
        </w:rPr>
        <w:t>In the short- to medium-term, prioritising means focussing resources on a smaller number of higher-value policies so they can be delivered earlier than they would be otherwise.</w:t>
      </w:r>
      <w:r>
        <w:rPr>
          <w:rFonts w:eastAsia="Calibri"/>
          <w:sz w:val="24"/>
          <w:szCs w:val="22"/>
        </w:rPr>
        <w:t xml:space="preserve"> </w:t>
      </w:r>
      <w:r w:rsidRPr="001222E8">
        <w:rPr>
          <w:rFonts w:eastAsia="Calibri"/>
          <w:sz w:val="24"/>
          <w:szCs w:val="22"/>
        </w:rPr>
        <w:t>The plan identified six priority areas in 2016</w:t>
      </w:r>
      <w:r>
        <w:rPr>
          <w:rFonts w:eastAsia="Calibri"/>
          <w:sz w:val="24"/>
          <w:szCs w:val="22"/>
        </w:rPr>
        <w:t xml:space="preserve"> with a further three added in 2017.</w:t>
      </w:r>
    </w:p>
    <w:p w:rsidR="0026765C" w:rsidRPr="00FE149E" w:rsidRDefault="00FE149E" w:rsidP="00707A0D">
      <w:pPr>
        <w:suppressAutoHyphens/>
        <w:spacing w:after="120" w:line="288" w:lineRule="auto"/>
        <w:ind w:left="567"/>
        <w:rPr>
          <w:rFonts w:eastAsia="Calibri"/>
          <w:b/>
          <w:szCs w:val="22"/>
        </w:rPr>
      </w:pPr>
      <w:r w:rsidRPr="00FE149E">
        <w:rPr>
          <w:rFonts w:eastAsia="Calibri"/>
          <w:b/>
          <w:szCs w:val="22"/>
        </w:rPr>
        <w:t>Table</w:t>
      </w:r>
      <w:r>
        <w:rPr>
          <w:rFonts w:eastAsia="Calibri"/>
          <w:b/>
          <w:szCs w:val="22"/>
        </w:rPr>
        <w:t xml:space="preserve"> 2: E3 Prioritisation Plan priority products</w:t>
      </w:r>
    </w:p>
    <w:tbl>
      <w:tblPr>
        <w:tblStyle w:val="TableGrid"/>
        <w:tblW w:w="0" w:type="auto"/>
        <w:tblInd w:w="534" w:type="dxa"/>
        <w:tblLook w:val="04A0" w:firstRow="1" w:lastRow="0" w:firstColumn="1" w:lastColumn="0" w:noHBand="0" w:noVBand="1"/>
        <w:tblDescription w:val="Table comparing Priority Product Category vs Proposed actions. The first column separates these categories into priotity areas identified in 2016 vs added in 2017"/>
      </w:tblPr>
      <w:tblGrid>
        <w:gridCol w:w="534"/>
        <w:gridCol w:w="4035"/>
        <w:gridCol w:w="4962"/>
      </w:tblGrid>
      <w:tr w:rsidR="00707A0D" w:rsidTr="00E12B40">
        <w:trPr>
          <w:cnfStyle w:val="100000000000" w:firstRow="1" w:lastRow="0" w:firstColumn="0" w:lastColumn="0" w:oddVBand="0" w:evenVBand="0" w:oddHBand="0" w:evenHBand="0" w:firstRowFirstColumn="0" w:firstRowLastColumn="0" w:lastRowFirstColumn="0" w:lastRowLastColumn="0"/>
          <w:tblHeader/>
        </w:trPr>
        <w:tc>
          <w:tcPr>
            <w:tcW w:w="534" w:type="dxa"/>
            <w:tcBorders>
              <w:top w:val="nil"/>
              <w:left w:val="nil"/>
            </w:tcBorders>
          </w:tcPr>
          <w:p w:rsidR="00707A0D" w:rsidRPr="000A23C1" w:rsidRDefault="00707A0D" w:rsidP="00841A06">
            <w:pPr>
              <w:spacing w:before="120"/>
              <w:rPr>
                <w:b/>
                <w:sz w:val="24"/>
              </w:rPr>
            </w:pPr>
          </w:p>
        </w:tc>
        <w:tc>
          <w:tcPr>
            <w:tcW w:w="4035" w:type="dxa"/>
            <w:shd w:val="clear" w:color="auto" w:fill="538135" w:themeFill="accent6" w:themeFillShade="BF"/>
          </w:tcPr>
          <w:p w:rsidR="00707A0D" w:rsidRPr="00830ECF" w:rsidRDefault="00707A0D" w:rsidP="00841A06">
            <w:pPr>
              <w:spacing w:before="120" w:after="120"/>
              <w:rPr>
                <w:b/>
                <w:color w:val="FFF2CC" w:themeColor="accent4" w:themeTint="33"/>
                <w:sz w:val="24"/>
              </w:rPr>
            </w:pPr>
            <w:r w:rsidRPr="00830ECF">
              <w:rPr>
                <w:b/>
                <w:color w:val="FFF2CC" w:themeColor="accent4" w:themeTint="33"/>
                <w:sz w:val="24"/>
              </w:rPr>
              <w:t>Priority product category</w:t>
            </w:r>
          </w:p>
        </w:tc>
        <w:tc>
          <w:tcPr>
            <w:tcW w:w="4962" w:type="dxa"/>
            <w:shd w:val="clear" w:color="auto" w:fill="538135" w:themeFill="accent6" w:themeFillShade="BF"/>
          </w:tcPr>
          <w:p w:rsidR="00707A0D" w:rsidRPr="00830ECF" w:rsidRDefault="00707A0D" w:rsidP="00841A06">
            <w:pPr>
              <w:spacing w:before="120" w:after="120"/>
              <w:rPr>
                <w:b/>
                <w:color w:val="FFF2CC" w:themeColor="accent4" w:themeTint="33"/>
                <w:sz w:val="24"/>
              </w:rPr>
            </w:pPr>
            <w:r w:rsidRPr="00830ECF">
              <w:rPr>
                <w:b/>
                <w:color w:val="FFF2CC" w:themeColor="accent4" w:themeTint="33"/>
                <w:sz w:val="24"/>
              </w:rPr>
              <w:t xml:space="preserve">Proposed actions </w:t>
            </w:r>
          </w:p>
        </w:tc>
      </w:tr>
      <w:tr w:rsidR="00707A0D" w:rsidTr="00E12B40">
        <w:trPr>
          <w:cnfStyle w:val="000000100000" w:firstRow="0" w:lastRow="0" w:firstColumn="0" w:lastColumn="0" w:oddVBand="0" w:evenVBand="0" w:oddHBand="1" w:evenHBand="0" w:firstRowFirstColumn="0" w:firstRowLastColumn="0" w:lastRowFirstColumn="0" w:lastRowLastColumn="0"/>
        </w:trPr>
        <w:tc>
          <w:tcPr>
            <w:tcW w:w="534" w:type="dxa"/>
            <w:vMerge w:val="restart"/>
            <w:textDirection w:val="btLr"/>
          </w:tcPr>
          <w:p w:rsidR="00707A0D" w:rsidRPr="00C5730F" w:rsidRDefault="00707A0D" w:rsidP="00841A06">
            <w:pPr>
              <w:ind w:left="113" w:right="113"/>
              <w:jc w:val="center"/>
              <w:rPr>
                <w:sz w:val="24"/>
                <w:szCs w:val="24"/>
              </w:rPr>
            </w:pPr>
            <w:r w:rsidRPr="00C5730F">
              <w:rPr>
                <w:sz w:val="24"/>
                <w:szCs w:val="24"/>
              </w:rPr>
              <w:t>Priority areas identified in 2016</w:t>
            </w:r>
          </w:p>
        </w:tc>
        <w:tc>
          <w:tcPr>
            <w:tcW w:w="4035" w:type="dxa"/>
          </w:tcPr>
          <w:p w:rsidR="00707A0D" w:rsidRPr="00C5730F" w:rsidRDefault="00707A0D" w:rsidP="00841A06">
            <w:pPr>
              <w:spacing w:before="120" w:after="120"/>
              <w:rPr>
                <w:sz w:val="24"/>
                <w:szCs w:val="24"/>
              </w:rPr>
            </w:pPr>
            <w:r w:rsidRPr="00C5730F">
              <w:rPr>
                <w:sz w:val="24"/>
                <w:szCs w:val="24"/>
              </w:rPr>
              <w:t>Air conditioners</w:t>
            </w:r>
          </w:p>
        </w:tc>
        <w:tc>
          <w:tcPr>
            <w:tcW w:w="4962" w:type="dxa"/>
          </w:tcPr>
          <w:p w:rsidR="00707A0D" w:rsidRPr="00C5730F" w:rsidRDefault="00707A0D" w:rsidP="00841A06">
            <w:pPr>
              <w:spacing w:before="120" w:after="120"/>
              <w:rPr>
                <w:sz w:val="24"/>
                <w:szCs w:val="24"/>
              </w:rPr>
            </w:pPr>
            <w:r w:rsidRPr="00C5730F">
              <w:rPr>
                <w:sz w:val="24"/>
                <w:szCs w:val="24"/>
              </w:rPr>
              <w:t>New climate zoned labelling and enhanced MEPS</w:t>
            </w:r>
          </w:p>
        </w:tc>
      </w:tr>
      <w:tr w:rsidR="00707A0D" w:rsidTr="00E12B40">
        <w:trPr>
          <w:cnfStyle w:val="000000010000" w:firstRow="0" w:lastRow="0" w:firstColumn="0" w:lastColumn="0" w:oddVBand="0" w:evenVBand="0" w:oddHBand="0" w:evenHBand="1" w:firstRowFirstColumn="0" w:firstRowLastColumn="0" w:lastRowFirstColumn="0" w:lastRowLastColumn="0"/>
        </w:trPr>
        <w:tc>
          <w:tcPr>
            <w:tcW w:w="534" w:type="dxa"/>
            <w:vMerge/>
          </w:tcPr>
          <w:p w:rsidR="00707A0D" w:rsidRPr="00C5730F" w:rsidRDefault="00707A0D" w:rsidP="00841A06">
            <w:pPr>
              <w:spacing w:after="120"/>
              <w:jc w:val="center"/>
              <w:rPr>
                <w:sz w:val="24"/>
                <w:szCs w:val="24"/>
              </w:rPr>
            </w:pPr>
          </w:p>
        </w:tc>
        <w:tc>
          <w:tcPr>
            <w:tcW w:w="4035" w:type="dxa"/>
          </w:tcPr>
          <w:p w:rsidR="00707A0D" w:rsidRPr="00C5730F" w:rsidRDefault="00707A0D" w:rsidP="00841A06">
            <w:pPr>
              <w:spacing w:before="120" w:after="120" w:line="276" w:lineRule="auto"/>
              <w:rPr>
                <w:sz w:val="24"/>
                <w:szCs w:val="24"/>
              </w:rPr>
            </w:pPr>
            <w:r w:rsidRPr="00C5730F">
              <w:rPr>
                <w:sz w:val="24"/>
                <w:szCs w:val="24"/>
              </w:rPr>
              <w:t xml:space="preserve">Domestic refrigerators and freezers </w:t>
            </w:r>
          </w:p>
        </w:tc>
        <w:tc>
          <w:tcPr>
            <w:tcW w:w="4962" w:type="dxa"/>
          </w:tcPr>
          <w:p w:rsidR="00707A0D" w:rsidRPr="00C5730F" w:rsidRDefault="00707A0D" w:rsidP="00841A06">
            <w:pPr>
              <w:spacing w:before="120" w:after="120"/>
              <w:rPr>
                <w:sz w:val="24"/>
                <w:szCs w:val="24"/>
              </w:rPr>
            </w:pPr>
            <w:r w:rsidRPr="00C5730F">
              <w:rPr>
                <w:sz w:val="24"/>
                <w:szCs w:val="24"/>
              </w:rPr>
              <w:t>Enhanced MEPS</w:t>
            </w:r>
          </w:p>
        </w:tc>
      </w:tr>
      <w:tr w:rsidR="00707A0D" w:rsidTr="00E12B40">
        <w:trPr>
          <w:cnfStyle w:val="000000100000" w:firstRow="0" w:lastRow="0" w:firstColumn="0" w:lastColumn="0" w:oddVBand="0" w:evenVBand="0" w:oddHBand="1" w:evenHBand="0" w:firstRowFirstColumn="0" w:firstRowLastColumn="0" w:lastRowFirstColumn="0" w:lastRowLastColumn="0"/>
        </w:trPr>
        <w:tc>
          <w:tcPr>
            <w:tcW w:w="534" w:type="dxa"/>
            <w:vMerge/>
          </w:tcPr>
          <w:p w:rsidR="00707A0D" w:rsidRPr="00C5730F" w:rsidRDefault="00707A0D" w:rsidP="00841A06">
            <w:pPr>
              <w:spacing w:after="120"/>
              <w:jc w:val="center"/>
              <w:rPr>
                <w:sz w:val="24"/>
                <w:szCs w:val="24"/>
              </w:rPr>
            </w:pPr>
          </w:p>
        </w:tc>
        <w:tc>
          <w:tcPr>
            <w:tcW w:w="4035" w:type="dxa"/>
          </w:tcPr>
          <w:p w:rsidR="00707A0D" w:rsidRPr="00C5730F" w:rsidRDefault="00707A0D" w:rsidP="00841A06">
            <w:pPr>
              <w:spacing w:before="120" w:after="120" w:line="276" w:lineRule="auto"/>
              <w:rPr>
                <w:sz w:val="24"/>
                <w:szCs w:val="24"/>
              </w:rPr>
            </w:pPr>
            <w:r w:rsidRPr="00C5730F">
              <w:rPr>
                <w:sz w:val="24"/>
                <w:szCs w:val="24"/>
              </w:rPr>
              <w:t>Lighting</w:t>
            </w:r>
          </w:p>
        </w:tc>
        <w:tc>
          <w:tcPr>
            <w:tcW w:w="4962" w:type="dxa"/>
          </w:tcPr>
          <w:p w:rsidR="00707A0D" w:rsidRPr="00C5730F" w:rsidRDefault="00707A0D" w:rsidP="00841A06">
            <w:pPr>
              <w:spacing w:before="120" w:after="120"/>
              <w:rPr>
                <w:sz w:val="24"/>
                <w:szCs w:val="24"/>
              </w:rPr>
            </w:pPr>
            <w:r w:rsidRPr="00C5730F">
              <w:rPr>
                <w:sz w:val="24"/>
                <w:szCs w:val="24"/>
              </w:rPr>
              <w:t>Enhanced MEPS and new regulations</w:t>
            </w:r>
          </w:p>
        </w:tc>
      </w:tr>
      <w:tr w:rsidR="00707A0D" w:rsidTr="00E12B40">
        <w:trPr>
          <w:cnfStyle w:val="000000010000" w:firstRow="0" w:lastRow="0" w:firstColumn="0" w:lastColumn="0" w:oddVBand="0" w:evenVBand="0" w:oddHBand="0" w:evenHBand="1" w:firstRowFirstColumn="0" w:firstRowLastColumn="0" w:lastRowFirstColumn="0" w:lastRowLastColumn="0"/>
        </w:trPr>
        <w:tc>
          <w:tcPr>
            <w:tcW w:w="534" w:type="dxa"/>
            <w:vMerge/>
          </w:tcPr>
          <w:p w:rsidR="00707A0D" w:rsidRPr="00C5730F" w:rsidRDefault="00707A0D" w:rsidP="00841A06">
            <w:pPr>
              <w:spacing w:after="120"/>
              <w:jc w:val="center"/>
              <w:rPr>
                <w:sz w:val="24"/>
                <w:szCs w:val="24"/>
              </w:rPr>
            </w:pPr>
          </w:p>
        </w:tc>
        <w:tc>
          <w:tcPr>
            <w:tcW w:w="4035" w:type="dxa"/>
          </w:tcPr>
          <w:p w:rsidR="00707A0D" w:rsidRPr="00C5730F" w:rsidRDefault="00707A0D" w:rsidP="00841A06">
            <w:pPr>
              <w:spacing w:before="120" w:after="120" w:line="276" w:lineRule="auto"/>
              <w:rPr>
                <w:sz w:val="24"/>
                <w:szCs w:val="24"/>
              </w:rPr>
            </w:pPr>
            <w:r w:rsidRPr="00C5730F">
              <w:rPr>
                <w:sz w:val="24"/>
                <w:szCs w:val="24"/>
              </w:rPr>
              <w:t xml:space="preserve">Non-domestic fans </w:t>
            </w:r>
          </w:p>
        </w:tc>
        <w:tc>
          <w:tcPr>
            <w:tcW w:w="4962" w:type="dxa"/>
          </w:tcPr>
          <w:p w:rsidR="00707A0D" w:rsidRPr="00C5730F" w:rsidRDefault="00707A0D" w:rsidP="00841A06">
            <w:pPr>
              <w:spacing w:before="120" w:after="120"/>
              <w:rPr>
                <w:sz w:val="24"/>
                <w:szCs w:val="24"/>
              </w:rPr>
            </w:pPr>
            <w:r w:rsidRPr="00C5730F">
              <w:rPr>
                <w:sz w:val="24"/>
                <w:szCs w:val="24"/>
              </w:rPr>
              <w:t>New regulations</w:t>
            </w:r>
          </w:p>
        </w:tc>
      </w:tr>
      <w:tr w:rsidR="00707A0D" w:rsidTr="00E12B40">
        <w:trPr>
          <w:cnfStyle w:val="000000100000" w:firstRow="0" w:lastRow="0" w:firstColumn="0" w:lastColumn="0" w:oddVBand="0" w:evenVBand="0" w:oddHBand="1" w:evenHBand="0" w:firstRowFirstColumn="0" w:firstRowLastColumn="0" w:lastRowFirstColumn="0" w:lastRowLastColumn="0"/>
        </w:trPr>
        <w:tc>
          <w:tcPr>
            <w:tcW w:w="534" w:type="dxa"/>
            <w:vMerge/>
          </w:tcPr>
          <w:p w:rsidR="00707A0D" w:rsidRPr="00C5730F" w:rsidRDefault="00707A0D" w:rsidP="00841A06">
            <w:pPr>
              <w:spacing w:after="120"/>
              <w:jc w:val="center"/>
              <w:rPr>
                <w:sz w:val="24"/>
                <w:szCs w:val="24"/>
              </w:rPr>
            </w:pPr>
          </w:p>
        </w:tc>
        <w:tc>
          <w:tcPr>
            <w:tcW w:w="4035" w:type="dxa"/>
          </w:tcPr>
          <w:p w:rsidR="00707A0D" w:rsidRPr="00C5730F" w:rsidRDefault="00707A0D" w:rsidP="00841A06">
            <w:pPr>
              <w:spacing w:before="120" w:after="120" w:line="276" w:lineRule="auto"/>
              <w:rPr>
                <w:sz w:val="24"/>
                <w:szCs w:val="24"/>
              </w:rPr>
            </w:pPr>
            <w:r w:rsidRPr="00C5730F">
              <w:rPr>
                <w:sz w:val="24"/>
                <w:szCs w:val="24"/>
              </w:rPr>
              <w:t>Refrigerated storage and display cabinets</w:t>
            </w:r>
          </w:p>
        </w:tc>
        <w:tc>
          <w:tcPr>
            <w:tcW w:w="4962" w:type="dxa"/>
          </w:tcPr>
          <w:p w:rsidR="00707A0D" w:rsidRPr="00C5730F" w:rsidRDefault="00707A0D" w:rsidP="00841A06">
            <w:pPr>
              <w:spacing w:before="120" w:after="120"/>
              <w:rPr>
                <w:sz w:val="24"/>
                <w:szCs w:val="24"/>
              </w:rPr>
            </w:pPr>
            <w:r w:rsidRPr="00C5730F">
              <w:rPr>
                <w:sz w:val="24"/>
                <w:szCs w:val="24"/>
              </w:rPr>
              <w:t>Enhanced MEPS and new regulations</w:t>
            </w:r>
          </w:p>
        </w:tc>
      </w:tr>
      <w:tr w:rsidR="00707A0D" w:rsidTr="00E12B40">
        <w:trPr>
          <w:cnfStyle w:val="000000010000" w:firstRow="0" w:lastRow="0" w:firstColumn="0" w:lastColumn="0" w:oddVBand="0" w:evenVBand="0" w:oddHBand="0" w:evenHBand="1" w:firstRowFirstColumn="0" w:firstRowLastColumn="0" w:lastRowFirstColumn="0" w:lastRowLastColumn="0"/>
        </w:trPr>
        <w:tc>
          <w:tcPr>
            <w:tcW w:w="534" w:type="dxa"/>
            <w:vMerge/>
          </w:tcPr>
          <w:p w:rsidR="00707A0D" w:rsidRPr="00C5730F" w:rsidRDefault="00707A0D" w:rsidP="00841A06">
            <w:pPr>
              <w:spacing w:after="120"/>
              <w:jc w:val="center"/>
              <w:rPr>
                <w:sz w:val="24"/>
                <w:szCs w:val="24"/>
              </w:rPr>
            </w:pPr>
          </w:p>
        </w:tc>
        <w:tc>
          <w:tcPr>
            <w:tcW w:w="4035" w:type="dxa"/>
          </w:tcPr>
          <w:p w:rsidR="00707A0D" w:rsidRPr="00C5730F" w:rsidRDefault="00707A0D" w:rsidP="00841A06">
            <w:pPr>
              <w:spacing w:before="120" w:after="120" w:line="276" w:lineRule="auto"/>
              <w:rPr>
                <w:sz w:val="24"/>
                <w:szCs w:val="24"/>
              </w:rPr>
            </w:pPr>
            <w:r w:rsidRPr="00C5730F">
              <w:rPr>
                <w:sz w:val="24"/>
                <w:szCs w:val="24"/>
              </w:rPr>
              <w:t xml:space="preserve">Swimming pool pumps. </w:t>
            </w:r>
          </w:p>
        </w:tc>
        <w:tc>
          <w:tcPr>
            <w:tcW w:w="4962" w:type="dxa"/>
          </w:tcPr>
          <w:p w:rsidR="00707A0D" w:rsidRPr="00C5730F" w:rsidRDefault="00707A0D" w:rsidP="00841A06">
            <w:pPr>
              <w:spacing w:before="120" w:after="120"/>
              <w:rPr>
                <w:sz w:val="24"/>
                <w:szCs w:val="24"/>
              </w:rPr>
            </w:pPr>
            <w:r w:rsidRPr="00C5730F">
              <w:rPr>
                <w:sz w:val="24"/>
                <w:szCs w:val="24"/>
              </w:rPr>
              <w:t>New regulations</w:t>
            </w:r>
          </w:p>
        </w:tc>
      </w:tr>
      <w:tr w:rsidR="00707A0D" w:rsidTr="00E12B40">
        <w:trPr>
          <w:cnfStyle w:val="000000100000" w:firstRow="0" w:lastRow="0" w:firstColumn="0" w:lastColumn="0" w:oddVBand="0" w:evenVBand="0" w:oddHBand="1" w:evenHBand="0" w:firstRowFirstColumn="0" w:firstRowLastColumn="0" w:lastRowFirstColumn="0" w:lastRowLastColumn="0"/>
        </w:trPr>
        <w:tc>
          <w:tcPr>
            <w:tcW w:w="534" w:type="dxa"/>
            <w:vMerge w:val="restart"/>
            <w:textDirection w:val="btLr"/>
          </w:tcPr>
          <w:p w:rsidR="00707A0D" w:rsidRPr="00C5730F" w:rsidRDefault="00707A0D" w:rsidP="00841A06">
            <w:pPr>
              <w:ind w:left="113" w:right="113"/>
              <w:jc w:val="center"/>
              <w:rPr>
                <w:sz w:val="24"/>
                <w:szCs w:val="24"/>
              </w:rPr>
            </w:pPr>
            <w:r w:rsidRPr="00C5730F">
              <w:rPr>
                <w:sz w:val="24"/>
                <w:szCs w:val="24"/>
              </w:rPr>
              <w:t>Added 2017</w:t>
            </w:r>
          </w:p>
        </w:tc>
        <w:tc>
          <w:tcPr>
            <w:tcW w:w="4035" w:type="dxa"/>
          </w:tcPr>
          <w:p w:rsidR="00707A0D" w:rsidRPr="00C5730F" w:rsidRDefault="00707A0D" w:rsidP="00841A06">
            <w:pPr>
              <w:spacing w:before="120" w:after="120"/>
              <w:rPr>
                <w:sz w:val="24"/>
                <w:szCs w:val="24"/>
              </w:rPr>
            </w:pPr>
            <w:r w:rsidRPr="00C5730F">
              <w:rPr>
                <w:sz w:val="24"/>
                <w:szCs w:val="24"/>
              </w:rPr>
              <w:t>Hot water systems</w:t>
            </w:r>
          </w:p>
        </w:tc>
        <w:tc>
          <w:tcPr>
            <w:tcW w:w="4962" w:type="dxa"/>
          </w:tcPr>
          <w:p w:rsidR="00707A0D" w:rsidRPr="00C5730F" w:rsidRDefault="00707A0D" w:rsidP="00841A06">
            <w:pPr>
              <w:spacing w:before="120" w:after="120"/>
              <w:rPr>
                <w:sz w:val="24"/>
                <w:szCs w:val="24"/>
              </w:rPr>
            </w:pPr>
            <w:r w:rsidRPr="00C5730F">
              <w:rPr>
                <w:sz w:val="24"/>
                <w:szCs w:val="24"/>
              </w:rPr>
              <w:t>Under investigation for future opportunities</w:t>
            </w:r>
          </w:p>
        </w:tc>
      </w:tr>
      <w:tr w:rsidR="00707A0D" w:rsidTr="00E12B40">
        <w:trPr>
          <w:cnfStyle w:val="000000010000" w:firstRow="0" w:lastRow="0" w:firstColumn="0" w:lastColumn="0" w:oddVBand="0" w:evenVBand="0" w:oddHBand="0" w:evenHBand="1" w:firstRowFirstColumn="0" w:firstRowLastColumn="0" w:lastRowFirstColumn="0" w:lastRowLastColumn="0"/>
          <w:trHeight w:val="53"/>
        </w:trPr>
        <w:tc>
          <w:tcPr>
            <w:tcW w:w="534" w:type="dxa"/>
            <w:vMerge/>
          </w:tcPr>
          <w:p w:rsidR="00707A0D" w:rsidRPr="00C5730F" w:rsidRDefault="00707A0D" w:rsidP="00841A06">
            <w:pPr>
              <w:spacing w:before="120"/>
              <w:rPr>
                <w:sz w:val="24"/>
                <w:szCs w:val="24"/>
              </w:rPr>
            </w:pPr>
          </w:p>
        </w:tc>
        <w:tc>
          <w:tcPr>
            <w:tcW w:w="4035" w:type="dxa"/>
          </w:tcPr>
          <w:p w:rsidR="00707A0D" w:rsidRPr="00C5730F" w:rsidRDefault="00707A0D" w:rsidP="00841A06">
            <w:pPr>
              <w:spacing w:before="120" w:after="120"/>
              <w:rPr>
                <w:sz w:val="24"/>
                <w:szCs w:val="24"/>
              </w:rPr>
            </w:pPr>
            <w:r w:rsidRPr="00C5730F">
              <w:rPr>
                <w:sz w:val="24"/>
                <w:szCs w:val="24"/>
              </w:rPr>
              <w:t>Industrial products</w:t>
            </w:r>
          </w:p>
        </w:tc>
        <w:tc>
          <w:tcPr>
            <w:tcW w:w="4962" w:type="dxa"/>
          </w:tcPr>
          <w:p w:rsidR="00707A0D" w:rsidRPr="00C5730F" w:rsidRDefault="00707A0D" w:rsidP="00841A06">
            <w:pPr>
              <w:spacing w:before="120" w:after="120"/>
              <w:rPr>
                <w:sz w:val="24"/>
                <w:szCs w:val="24"/>
              </w:rPr>
            </w:pPr>
            <w:r w:rsidRPr="00C5730F">
              <w:rPr>
                <w:sz w:val="24"/>
                <w:szCs w:val="24"/>
              </w:rPr>
              <w:t>Under investigation for future opportunities</w:t>
            </w:r>
          </w:p>
        </w:tc>
      </w:tr>
      <w:tr w:rsidR="00707A0D" w:rsidTr="00E12B40">
        <w:trPr>
          <w:cnfStyle w:val="000000100000" w:firstRow="0" w:lastRow="0" w:firstColumn="0" w:lastColumn="0" w:oddVBand="0" w:evenVBand="0" w:oddHBand="1" w:evenHBand="0" w:firstRowFirstColumn="0" w:firstRowLastColumn="0" w:lastRowFirstColumn="0" w:lastRowLastColumn="0"/>
        </w:trPr>
        <w:tc>
          <w:tcPr>
            <w:tcW w:w="534" w:type="dxa"/>
            <w:vMerge/>
          </w:tcPr>
          <w:p w:rsidR="00707A0D" w:rsidRPr="00C5730F" w:rsidRDefault="00707A0D" w:rsidP="00841A06">
            <w:pPr>
              <w:spacing w:before="120"/>
              <w:rPr>
                <w:sz w:val="24"/>
                <w:szCs w:val="24"/>
              </w:rPr>
            </w:pPr>
          </w:p>
        </w:tc>
        <w:tc>
          <w:tcPr>
            <w:tcW w:w="4035" w:type="dxa"/>
          </w:tcPr>
          <w:p w:rsidR="00707A0D" w:rsidRPr="00C5730F" w:rsidRDefault="00707A0D" w:rsidP="00841A06">
            <w:pPr>
              <w:spacing w:before="120" w:after="120"/>
              <w:rPr>
                <w:sz w:val="24"/>
                <w:szCs w:val="24"/>
              </w:rPr>
            </w:pPr>
            <w:r w:rsidRPr="00C5730F">
              <w:rPr>
                <w:sz w:val="24"/>
                <w:szCs w:val="24"/>
              </w:rPr>
              <w:t>Televisions</w:t>
            </w:r>
          </w:p>
        </w:tc>
        <w:tc>
          <w:tcPr>
            <w:tcW w:w="4962" w:type="dxa"/>
          </w:tcPr>
          <w:p w:rsidR="00707A0D" w:rsidRPr="00C5730F" w:rsidRDefault="00707A0D" w:rsidP="00841A06">
            <w:pPr>
              <w:spacing w:before="120" w:after="120"/>
              <w:rPr>
                <w:sz w:val="24"/>
                <w:szCs w:val="24"/>
              </w:rPr>
            </w:pPr>
            <w:r w:rsidRPr="00C5730F">
              <w:rPr>
                <w:sz w:val="24"/>
                <w:szCs w:val="24"/>
              </w:rPr>
              <w:t>Under investigation for future opportunities</w:t>
            </w:r>
          </w:p>
        </w:tc>
      </w:tr>
    </w:tbl>
    <w:p w:rsidR="0057203E" w:rsidRPr="007D7C2B" w:rsidRDefault="0057203E" w:rsidP="0032529E">
      <w:pPr>
        <w:pStyle w:val="Heading2"/>
        <w:spacing w:before="120"/>
      </w:pPr>
      <w:bookmarkStart w:id="35" w:name="_Toc507145451"/>
      <w:proofErr w:type="gramStart"/>
      <w:r w:rsidRPr="007D7C2B">
        <w:t>3.6  Consultation</w:t>
      </w:r>
      <w:proofErr w:type="gramEnd"/>
      <w:r w:rsidRPr="007D7C2B">
        <w:t xml:space="preserve"> questions specific to this section</w:t>
      </w:r>
      <w:bookmarkEnd w:id="35"/>
    </w:p>
    <w:p w:rsidR="0057203E" w:rsidRPr="007D7C2B" w:rsidRDefault="0057203E" w:rsidP="0032529E">
      <w:pPr>
        <w:numPr>
          <w:ilvl w:val="0"/>
          <w:numId w:val="3"/>
        </w:numPr>
        <w:suppressAutoHyphens/>
        <w:spacing w:after="120" w:line="288" w:lineRule="auto"/>
        <w:ind w:left="993" w:hanging="426"/>
        <w:rPr>
          <w:rFonts w:eastAsia="Calibri"/>
          <w:sz w:val="24"/>
          <w:szCs w:val="22"/>
        </w:rPr>
      </w:pPr>
      <w:r w:rsidRPr="007D7C2B">
        <w:rPr>
          <w:rFonts w:eastAsia="Calibri"/>
          <w:sz w:val="24"/>
          <w:szCs w:val="22"/>
        </w:rPr>
        <w:t>Are the actions taken following the 2015 GEMS Review leading to better outcomes?</w:t>
      </w:r>
    </w:p>
    <w:p w:rsidR="0007134E" w:rsidRPr="007D7C2B" w:rsidRDefault="0007134E">
      <w:pPr>
        <w:numPr>
          <w:ilvl w:val="0"/>
          <w:numId w:val="3"/>
        </w:numPr>
        <w:suppressAutoHyphens/>
        <w:spacing w:after="120" w:line="288" w:lineRule="auto"/>
        <w:ind w:left="993" w:hanging="426"/>
        <w:rPr>
          <w:rFonts w:eastAsia="Calibri"/>
          <w:sz w:val="24"/>
          <w:szCs w:val="22"/>
        </w:rPr>
      </w:pPr>
      <w:r w:rsidRPr="007D7C2B">
        <w:rPr>
          <w:rFonts w:eastAsia="Calibri"/>
          <w:sz w:val="24"/>
          <w:szCs w:val="22"/>
        </w:rPr>
        <w:t>Are the appropriate products covered by the current GEMS regulations?</w:t>
      </w:r>
    </w:p>
    <w:p w:rsidR="0007134E" w:rsidRPr="007D7C2B" w:rsidRDefault="0057203E" w:rsidP="00E12B40">
      <w:pPr>
        <w:numPr>
          <w:ilvl w:val="0"/>
          <w:numId w:val="3"/>
        </w:numPr>
        <w:suppressAutoHyphens/>
        <w:spacing w:after="120" w:line="288" w:lineRule="auto"/>
        <w:ind w:left="993" w:hanging="426"/>
        <w:rPr>
          <w:rFonts w:eastAsia="Calibri"/>
          <w:sz w:val="24"/>
          <w:szCs w:val="22"/>
        </w:rPr>
      </w:pPr>
      <w:r w:rsidRPr="007D7C2B">
        <w:rPr>
          <w:rFonts w:eastAsia="Calibri"/>
          <w:sz w:val="24"/>
          <w:szCs w:val="22"/>
        </w:rPr>
        <w:t>Are the priority product categories the correct areas to be targeting?</w:t>
      </w:r>
    </w:p>
    <w:p w:rsidR="007D7C2B" w:rsidRDefault="007D7C2B">
      <w:pPr>
        <w:rPr>
          <w:rFonts w:cs="MyriadPro-Regular"/>
          <w:color w:val="000000"/>
          <w:sz w:val="52"/>
          <w:szCs w:val="52"/>
          <w:lang w:val="en-US"/>
        </w:rPr>
      </w:pPr>
      <w:bookmarkStart w:id="36" w:name="_Toc501610436"/>
      <w:bookmarkEnd w:id="28"/>
      <w:r>
        <w:br w:type="page"/>
      </w:r>
    </w:p>
    <w:p w:rsidR="00ED2CF5" w:rsidRPr="000F032B" w:rsidRDefault="00707A0D" w:rsidP="00DD3AEB">
      <w:pPr>
        <w:pStyle w:val="Heading1"/>
      </w:pPr>
      <w:bookmarkStart w:id="37" w:name="_Toc507145452"/>
      <w:r>
        <w:t>4</w:t>
      </w:r>
      <w:r w:rsidR="00FC17F9" w:rsidRPr="00E604BD">
        <w:t>.</w:t>
      </w:r>
      <w:r w:rsidR="00FC17F9" w:rsidRPr="00E604BD">
        <w:tab/>
      </w:r>
      <w:r w:rsidR="000663CD" w:rsidRPr="00E604BD">
        <w:t xml:space="preserve">GEMS </w:t>
      </w:r>
      <w:r w:rsidR="00EC10D4">
        <w:t>d</w:t>
      </w:r>
      <w:r w:rsidR="00FC17F9" w:rsidRPr="00E604BD">
        <w:t>etermination</w:t>
      </w:r>
      <w:r w:rsidR="000663CD" w:rsidRPr="00E604BD">
        <w:t>s</w:t>
      </w:r>
      <w:bookmarkEnd w:id="36"/>
      <w:bookmarkEnd w:id="37"/>
      <w:r w:rsidR="00FC17F9" w:rsidRPr="00E604BD">
        <w:t xml:space="preserve"> </w:t>
      </w:r>
    </w:p>
    <w:p w:rsidR="001222E8" w:rsidRPr="001222E8" w:rsidRDefault="001222E8" w:rsidP="00C5730F">
      <w:pPr>
        <w:suppressAutoHyphens/>
        <w:spacing w:after="120" w:line="288" w:lineRule="auto"/>
        <w:rPr>
          <w:rFonts w:eastAsia="Calibri"/>
          <w:sz w:val="24"/>
          <w:szCs w:val="22"/>
        </w:rPr>
      </w:pPr>
      <w:r w:rsidRPr="001222E8">
        <w:rPr>
          <w:rFonts w:eastAsia="Calibri"/>
          <w:sz w:val="24"/>
          <w:szCs w:val="22"/>
        </w:rPr>
        <w:t>The specific requirements for each product regulated under the GEMS Act — including MEPS and ERL requirements</w:t>
      </w:r>
      <w:r w:rsidR="00820FBD">
        <w:rPr>
          <w:rFonts w:eastAsia="Calibri"/>
          <w:sz w:val="24"/>
          <w:szCs w:val="22"/>
        </w:rPr>
        <w:t xml:space="preserve"> </w:t>
      </w:r>
      <w:r w:rsidRPr="001222E8">
        <w:rPr>
          <w:rFonts w:eastAsia="Calibri"/>
          <w:sz w:val="24"/>
          <w:szCs w:val="22"/>
        </w:rPr>
        <w:t>—</w:t>
      </w:r>
      <w:r w:rsidR="00820FBD">
        <w:rPr>
          <w:rFonts w:eastAsia="Calibri"/>
          <w:sz w:val="24"/>
          <w:szCs w:val="22"/>
        </w:rPr>
        <w:t xml:space="preserve"> </w:t>
      </w:r>
      <w:r w:rsidRPr="001222E8">
        <w:rPr>
          <w:rFonts w:eastAsia="Calibri"/>
          <w:sz w:val="24"/>
          <w:szCs w:val="22"/>
        </w:rPr>
        <w:t>are set out in a legislative instrument specific to that product type called a GEMS</w:t>
      </w:r>
      <w:r w:rsidR="00820FBD">
        <w:rPr>
          <w:rFonts w:eastAsia="Calibri"/>
          <w:sz w:val="24"/>
          <w:szCs w:val="22"/>
        </w:rPr>
        <w:t> </w:t>
      </w:r>
      <w:r w:rsidR="00EC10D4">
        <w:rPr>
          <w:rFonts w:eastAsia="Calibri"/>
          <w:sz w:val="24"/>
          <w:szCs w:val="22"/>
        </w:rPr>
        <w:t>d</w:t>
      </w:r>
      <w:r w:rsidRPr="001222E8">
        <w:rPr>
          <w:rFonts w:eastAsia="Calibri"/>
          <w:sz w:val="24"/>
          <w:szCs w:val="22"/>
        </w:rPr>
        <w:t>etermination</w:t>
      </w:r>
      <w:r w:rsidR="008773B4">
        <w:rPr>
          <w:rFonts w:eastAsia="Calibri"/>
          <w:sz w:val="24"/>
          <w:szCs w:val="22"/>
        </w:rPr>
        <w:t>.</w:t>
      </w:r>
      <w:r w:rsidR="00354426">
        <w:rPr>
          <w:rStyle w:val="FootnoteReference"/>
          <w:rFonts w:eastAsia="Calibri"/>
          <w:sz w:val="24"/>
          <w:szCs w:val="22"/>
        </w:rPr>
        <w:footnoteReference w:id="6"/>
      </w:r>
    </w:p>
    <w:p w:rsidR="001222E8" w:rsidRPr="001222E8" w:rsidRDefault="001222E8" w:rsidP="00C5730F">
      <w:pPr>
        <w:suppressAutoHyphens/>
        <w:spacing w:after="120" w:line="288" w:lineRule="auto"/>
        <w:textAlignment w:val="baseline"/>
        <w:rPr>
          <w:rFonts w:cs="Arial"/>
          <w:color w:val="333333"/>
          <w:sz w:val="24"/>
          <w:szCs w:val="21"/>
          <w:lang w:eastAsia="en-AU"/>
        </w:rPr>
      </w:pPr>
      <w:r w:rsidRPr="001222E8">
        <w:rPr>
          <w:rFonts w:cs="Arial"/>
          <w:color w:val="333333"/>
          <w:sz w:val="24"/>
          <w:szCs w:val="21"/>
          <w:lang w:eastAsia="en-AU"/>
        </w:rPr>
        <w:t xml:space="preserve">A GEMS </w:t>
      </w:r>
      <w:r w:rsidR="00EC10D4">
        <w:rPr>
          <w:rFonts w:cs="Arial"/>
          <w:color w:val="333333"/>
          <w:sz w:val="24"/>
          <w:szCs w:val="21"/>
          <w:lang w:eastAsia="en-AU"/>
        </w:rPr>
        <w:t>d</w:t>
      </w:r>
      <w:r w:rsidRPr="001222E8">
        <w:rPr>
          <w:rFonts w:cs="Arial"/>
          <w:color w:val="333333"/>
          <w:sz w:val="24"/>
          <w:szCs w:val="21"/>
          <w:lang w:eastAsia="en-AU"/>
        </w:rPr>
        <w:t xml:space="preserve">etermination sets out the requirements to be met by products (in each product class covered by the determination) in order to be legally registered, supplied, or offered for supply in Australia. These can include relevant clauses from Australian </w:t>
      </w:r>
      <w:r w:rsidR="000663CD">
        <w:rPr>
          <w:rFonts w:cs="Arial"/>
          <w:color w:val="333333"/>
          <w:sz w:val="24"/>
          <w:szCs w:val="21"/>
          <w:lang w:eastAsia="en-AU"/>
        </w:rPr>
        <w:t xml:space="preserve">and/or International </w:t>
      </w:r>
      <w:r w:rsidRPr="001222E8">
        <w:rPr>
          <w:rFonts w:cs="Arial"/>
          <w:color w:val="333333"/>
          <w:sz w:val="24"/>
          <w:szCs w:val="21"/>
          <w:lang w:eastAsia="en-AU"/>
        </w:rPr>
        <w:t>Standards.</w:t>
      </w:r>
    </w:p>
    <w:p w:rsidR="001222E8" w:rsidRDefault="001222E8" w:rsidP="00C5730F">
      <w:pPr>
        <w:suppressAutoHyphens/>
        <w:spacing w:after="120" w:line="288" w:lineRule="auto"/>
        <w:textAlignment w:val="baseline"/>
        <w:rPr>
          <w:rFonts w:cs="Arial"/>
          <w:color w:val="333333"/>
          <w:sz w:val="24"/>
          <w:szCs w:val="21"/>
          <w:lang w:eastAsia="en-AU"/>
        </w:rPr>
      </w:pPr>
      <w:r w:rsidRPr="001222E8">
        <w:rPr>
          <w:rFonts w:cs="Arial"/>
          <w:color w:val="333333"/>
          <w:sz w:val="24"/>
          <w:szCs w:val="21"/>
          <w:lang w:eastAsia="en-AU"/>
        </w:rPr>
        <w:t>Standards are separately published documents that set out specifications and testing procedures to ensure that products are safe, reliable, and consistently perform the way they are described. Standards can also set out specifications to ensure products meet certain energy performance levels and other energy efficiency requirements.</w:t>
      </w:r>
      <w:r w:rsidR="00594462">
        <w:rPr>
          <w:rFonts w:cs="Arial"/>
          <w:color w:val="333333"/>
          <w:sz w:val="24"/>
          <w:szCs w:val="21"/>
          <w:lang w:eastAsia="en-AU"/>
        </w:rPr>
        <w:t xml:space="preserve">  </w:t>
      </w:r>
    </w:p>
    <w:p w:rsidR="00594462" w:rsidRPr="001222E8" w:rsidRDefault="007D16FA" w:rsidP="00C5730F">
      <w:pPr>
        <w:suppressAutoHyphens/>
        <w:spacing w:after="120" w:line="288" w:lineRule="auto"/>
        <w:textAlignment w:val="baseline"/>
        <w:rPr>
          <w:rFonts w:cs="Arial"/>
          <w:color w:val="333333"/>
          <w:sz w:val="24"/>
          <w:szCs w:val="21"/>
          <w:lang w:eastAsia="en-AU"/>
        </w:rPr>
      </w:pPr>
      <w:r>
        <w:rPr>
          <w:rFonts w:cs="Arial"/>
          <w:color w:val="333333"/>
          <w:sz w:val="24"/>
          <w:szCs w:val="21"/>
          <w:lang w:eastAsia="en-AU"/>
        </w:rPr>
        <w:t xml:space="preserve">A </w:t>
      </w:r>
      <w:r w:rsidR="00DB7566">
        <w:rPr>
          <w:rFonts w:cs="Arial"/>
          <w:color w:val="333333"/>
          <w:sz w:val="24"/>
          <w:szCs w:val="21"/>
          <w:lang w:eastAsia="en-AU"/>
        </w:rPr>
        <w:t>GEMS d</w:t>
      </w:r>
      <w:r w:rsidR="00594462">
        <w:rPr>
          <w:rFonts w:cs="Arial"/>
          <w:color w:val="333333"/>
          <w:sz w:val="24"/>
          <w:szCs w:val="21"/>
          <w:lang w:eastAsia="en-AU"/>
        </w:rPr>
        <w:t xml:space="preserve">etermination </w:t>
      </w:r>
      <w:r>
        <w:rPr>
          <w:rFonts w:cs="Arial"/>
          <w:color w:val="333333"/>
          <w:sz w:val="24"/>
          <w:szCs w:val="21"/>
          <w:lang w:eastAsia="en-AU"/>
        </w:rPr>
        <w:t>implements the outcomes of a GEMS policy development process</w:t>
      </w:r>
      <w:r w:rsidR="00594462">
        <w:rPr>
          <w:rFonts w:cs="Arial"/>
          <w:color w:val="333333"/>
          <w:sz w:val="24"/>
          <w:szCs w:val="21"/>
          <w:lang w:eastAsia="en-AU"/>
        </w:rPr>
        <w:t xml:space="preserve">. The steps </w:t>
      </w:r>
      <w:r>
        <w:rPr>
          <w:rFonts w:cs="Arial"/>
          <w:color w:val="333333"/>
          <w:sz w:val="24"/>
          <w:szCs w:val="21"/>
          <w:lang w:eastAsia="en-AU"/>
        </w:rPr>
        <w:t>involved in GEMS policy development</w:t>
      </w:r>
      <w:r w:rsidR="00594462">
        <w:rPr>
          <w:rFonts w:cs="Arial"/>
          <w:color w:val="333333"/>
          <w:sz w:val="24"/>
          <w:szCs w:val="21"/>
          <w:lang w:eastAsia="en-AU"/>
        </w:rPr>
        <w:t xml:space="preserve"> include product analysis work, formulating a proposal, and multiple rounds of consultation and approval</w:t>
      </w:r>
      <w:r w:rsidR="00DB7566">
        <w:rPr>
          <w:rFonts w:cs="Arial"/>
          <w:color w:val="333333"/>
          <w:sz w:val="24"/>
          <w:szCs w:val="21"/>
          <w:lang w:eastAsia="en-AU"/>
        </w:rPr>
        <w:t xml:space="preserve"> (see </w:t>
      </w:r>
      <w:r w:rsidR="00DB7566" w:rsidRPr="00A74619">
        <w:rPr>
          <w:rFonts w:cs="Arial"/>
          <w:b/>
          <w:color w:val="333333"/>
          <w:sz w:val="24"/>
          <w:szCs w:val="21"/>
          <w:lang w:eastAsia="en-AU"/>
        </w:rPr>
        <w:t xml:space="preserve">Box </w:t>
      </w:r>
      <w:r w:rsidR="009B20C8" w:rsidRPr="00065C2F">
        <w:rPr>
          <w:rFonts w:cs="Arial"/>
          <w:b/>
          <w:color w:val="333333"/>
          <w:sz w:val="24"/>
          <w:szCs w:val="21"/>
          <w:lang w:eastAsia="en-AU"/>
        </w:rPr>
        <w:t>3</w:t>
      </w:r>
      <w:r w:rsidR="00DB7566">
        <w:rPr>
          <w:rFonts w:cs="Arial"/>
          <w:color w:val="333333"/>
          <w:sz w:val="24"/>
          <w:szCs w:val="21"/>
          <w:lang w:eastAsia="en-AU"/>
        </w:rPr>
        <w:t xml:space="preserve">). </w:t>
      </w:r>
    </w:p>
    <w:p w:rsidR="001222E8" w:rsidRPr="000F032B" w:rsidRDefault="001232A3" w:rsidP="00C5730F">
      <w:pPr>
        <w:pStyle w:val="Heading2"/>
        <w:spacing w:before="120" w:after="120"/>
      </w:pPr>
      <w:bookmarkStart w:id="38" w:name="_Toc507145453"/>
      <w:proofErr w:type="gramStart"/>
      <w:r>
        <w:t>4</w:t>
      </w:r>
      <w:r w:rsidR="00961E5D" w:rsidRPr="00E604BD">
        <w:t>.1</w:t>
      </w:r>
      <w:r w:rsidR="000F032B">
        <w:t xml:space="preserve">  </w:t>
      </w:r>
      <w:r w:rsidR="001222E8" w:rsidRPr="00E604BD">
        <w:t>Summary</w:t>
      </w:r>
      <w:proofErr w:type="gramEnd"/>
      <w:r w:rsidR="001222E8" w:rsidRPr="00E604BD">
        <w:t xml:space="preserve"> of key parts of the GEMS Act relating to GEMS </w:t>
      </w:r>
      <w:r w:rsidR="00975A7B">
        <w:t>d</w:t>
      </w:r>
      <w:r w:rsidR="001222E8" w:rsidRPr="00E604BD">
        <w:t>eterminations</w:t>
      </w:r>
      <w:bookmarkEnd w:id="38"/>
    </w:p>
    <w:p w:rsidR="001222E8" w:rsidRPr="001222E8" w:rsidRDefault="000F032B" w:rsidP="009A3738">
      <w:pPr>
        <w:numPr>
          <w:ilvl w:val="0"/>
          <w:numId w:val="6"/>
        </w:numPr>
        <w:suppressAutoHyphens/>
        <w:spacing w:after="120" w:line="288" w:lineRule="auto"/>
        <w:ind w:left="993" w:hanging="426"/>
        <w:rPr>
          <w:rFonts w:eastAsia="Calibri"/>
          <w:i/>
          <w:sz w:val="24"/>
          <w:szCs w:val="22"/>
        </w:rPr>
      </w:pPr>
      <w:r>
        <w:rPr>
          <w:rFonts w:eastAsia="Calibri"/>
          <w:i/>
          <w:sz w:val="24"/>
          <w:szCs w:val="22"/>
        </w:rPr>
        <w:t xml:space="preserve">Section </w:t>
      </w:r>
      <w:r w:rsidR="001222E8" w:rsidRPr="001222E8">
        <w:rPr>
          <w:rFonts w:eastAsia="Calibri"/>
          <w:i/>
          <w:sz w:val="24"/>
          <w:szCs w:val="22"/>
        </w:rPr>
        <w:t>22 – Part 4 of the GEMS Act is about how GEMS determinations are made, and the requirements (GEMS requirements) which are imposed by the determinations.</w:t>
      </w:r>
    </w:p>
    <w:p w:rsidR="001222E8" w:rsidRPr="001222E8" w:rsidRDefault="001222E8" w:rsidP="009A3738">
      <w:pPr>
        <w:numPr>
          <w:ilvl w:val="0"/>
          <w:numId w:val="6"/>
        </w:numPr>
        <w:suppressAutoHyphens/>
        <w:spacing w:after="120" w:line="288" w:lineRule="auto"/>
        <w:ind w:left="993" w:hanging="426"/>
        <w:rPr>
          <w:rFonts w:eastAsia="Calibri"/>
          <w:i/>
          <w:sz w:val="24"/>
          <w:szCs w:val="22"/>
        </w:rPr>
      </w:pPr>
      <w:r w:rsidRPr="001222E8">
        <w:rPr>
          <w:rFonts w:eastAsia="Calibri"/>
          <w:i/>
          <w:sz w:val="24"/>
          <w:szCs w:val="22"/>
        </w:rPr>
        <w:t>Division 2 provides for GEM</w:t>
      </w:r>
      <w:r w:rsidR="008773B4">
        <w:rPr>
          <w:rFonts w:eastAsia="Calibri"/>
          <w:i/>
          <w:sz w:val="24"/>
          <w:szCs w:val="22"/>
        </w:rPr>
        <w:t>S determinations to be made by m</w:t>
      </w:r>
      <w:r w:rsidRPr="001222E8">
        <w:rPr>
          <w:rFonts w:eastAsia="Calibri"/>
          <w:i/>
          <w:sz w:val="24"/>
          <w:szCs w:val="22"/>
        </w:rPr>
        <w:t xml:space="preserve">inisterial determination, subject to the </w:t>
      </w:r>
      <w:r w:rsidR="008773B4">
        <w:rPr>
          <w:rFonts w:eastAsia="Calibri"/>
          <w:i/>
          <w:sz w:val="24"/>
          <w:szCs w:val="22"/>
        </w:rPr>
        <w:t>consent of a certain number of states and t</w:t>
      </w:r>
      <w:r w:rsidRPr="001222E8">
        <w:rPr>
          <w:rFonts w:eastAsia="Calibri"/>
          <w:i/>
          <w:sz w:val="24"/>
          <w:szCs w:val="22"/>
        </w:rPr>
        <w:t>erritories to the making and replacement of GEMS determinations.</w:t>
      </w:r>
    </w:p>
    <w:p w:rsidR="001222E8" w:rsidRPr="00DD3AEB" w:rsidRDefault="001222E8" w:rsidP="009A3738">
      <w:pPr>
        <w:pStyle w:val="ListParagraph"/>
        <w:numPr>
          <w:ilvl w:val="0"/>
          <w:numId w:val="9"/>
        </w:numPr>
        <w:suppressAutoHyphens/>
        <w:spacing w:after="120" w:line="288" w:lineRule="auto"/>
        <w:ind w:left="1418" w:hanging="425"/>
        <w:rPr>
          <w:rFonts w:eastAsia="Calibri"/>
          <w:i/>
          <w:sz w:val="24"/>
          <w:szCs w:val="22"/>
        </w:rPr>
      </w:pPr>
      <w:r w:rsidRPr="00DD3AEB">
        <w:rPr>
          <w:rFonts w:eastAsia="Calibri"/>
          <w:i/>
          <w:sz w:val="24"/>
          <w:szCs w:val="22"/>
        </w:rPr>
        <w:t xml:space="preserve">GEMS determinations must contain requirements relating to energy use or greenhouse gas production (GEMS level requirements) or requirements about labelling (GEMS labelling requirements). They may also contain other requirements </w:t>
      </w:r>
      <w:r w:rsidR="0009796B">
        <w:rPr>
          <w:rFonts w:eastAsia="Calibri"/>
          <w:i/>
          <w:sz w:val="24"/>
          <w:szCs w:val="22"/>
        </w:rPr>
        <w:t xml:space="preserve">including in </w:t>
      </w:r>
      <w:r w:rsidRPr="00DD3AEB">
        <w:rPr>
          <w:rFonts w:eastAsia="Calibri"/>
          <w:i/>
          <w:sz w:val="24"/>
          <w:szCs w:val="22"/>
        </w:rPr>
        <w:t>relati</w:t>
      </w:r>
      <w:r w:rsidR="0009796B">
        <w:rPr>
          <w:rFonts w:eastAsia="Calibri"/>
          <w:i/>
          <w:sz w:val="24"/>
          <w:szCs w:val="22"/>
        </w:rPr>
        <w:t>o</w:t>
      </w:r>
      <w:r w:rsidRPr="00DD3AEB">
        <w:rPr>
          <w:rFonts w:eastAsia="Calibri"/>
          <w:i/>
          <w:sz w:val="24"/>
          <w:szCs w:val="22"/>
        </w:rPr>
        <w:t>n to efficiency levels, performance, the environment and human health.</w:t>
      </w:r>
    </w:p>
    <w:p w:rsidR="001222E8" w:rsidRPr="001222E8" w:rsidRDefault="001222E8" w:rsidP="009A3738">
      <w:pPr>
        <w:numPr>
          <w:ilvl w:val="0"/>
          <w:numId w:val="6"/>
        </w:numPr>
        <w:suppressAutoHyphens/>
        <w:spacing w:after="120" w:line="288" w:lineRule="auto"/>
        <w:ind w:left="993" w:hanging="426"/>
        <w:rPr>
          <w:rFonts w:eastAsia="Calibri"/>
          <w:i/>
          <w:sz w:val="24"/>
          <w:szCs w:val="22"/>
        </w:rPr>
      </w:pPr>
      <w:r w:rsidRPr="001222E8">
        <w:rPr>
          <w:rFonts w:eastAsia="Calibri"/>
          <w:i/>
          <w:sz w:val="24"/>
          <w:szCs w:val="22"/>
        </w:rPr>
        <w:t>Division 3 provides for GEMS determinations to be updated by replacement determinations. Replacement determinations must specify whether they affect the registration of models of GEMS products.</w:t>
      </w:r>
    </w:p>
    <w:p w:rsidR="001222E8" w:rsidRDefault="001222E8" w:rsidP="009A3738">
      <w:pPr>
        <w:pStyle w:val="ListParagraph"/>
        <w:numPr>
          <w:ilvl w:val="0"/>
          <w:numId w:val="9"/>
        </w:numPr>
        <w:suppressAutoHyphens/>
        <w:spacing w:after="120" w:line="288" w:lineRule="auto"/>
        <w:ind w:left="1417" w:hanging="425"/>
        <w:contextualSpacing w:val="0"/>
        <w:rPr>
          <w:rFonts w:eastAsia="Calibri"/>
          <w:i/>
          <w:sz w:val="24"/>
          <w:szCs w:val="22"/>
        </w:rPr>
      </w:pPr>
      <w:r w:rsidRPr="001222E8">
        <w:rPr>
          <w:rFonts w:eastAsia="Calibri"/>
          <w:i/>
          <w:sz w:val="24"/>
          <w:szCs w:val="22"/>
        </w:rPr>
        <w:t xml:space="preserve">If a replacement determination affects a model’s registration, the registration ceases to be in force from the time the replacement determination comes into force. This </w:t>
      </w:r>
      <w:r w:rsidR="004B112A">
        <w:rPr>
          <w:rFonts w:eastAsia="Calibri"/>
          <w:i/>
          <w:sz w:val="24"/>
          <w:szCs w:val="22"/>
        </w:rPr>
        <w:t xml:space="preserve">occurs when a model is not able to comply with the requirements set in the replacement determination, and </w:t>
      </w:r>
      <w:r w:rsidRPr="001222E8">
        <w:rPr>
          <w:rFonts w:eastAsia="Calibri"/>
          <w:i/>
          <w:sz w:val="24"/>
          <w:szCs w:val="22"/>
        </w:rPr>
        <w:t>might affect a person’s ability to supply or use for a commercial purpose products of the model imported into, or manufactured in, Australia after that time.</w:t>
      </w:r>
    </w:p>
    <w:p w:rsidR="004B112A" w:rsidRPr="001222E8" w:rsidRDefault="004B112A" w:rsidP="009A3738">
      <w:pPr>
        <w:pStyle w:val="ListParagraph"/>
        <w:numPr>
          <w:ilvl w:val="1"/>
          <w:numId w:val="9"/>
        </w:numPr>
        <w:suppressAutoHyphens/>
        <w:spacing w:after="120" w:line="288" w:lineRule="auto"/>
        <w:contextualSpacing w:val="0"/>
        <w:rPr>
          <w:rFonts w:eastAsia="Calibri"/>
          <w:i/>
          <w:sz w:val="24"/>
          <w:szCs w:val="22"/>
        </w:rPr>
      </w:pPr>
      <w:r>
        <w:rPr>
          <w:rFonts w:eastAsia="Calibri"/>
          <w:i/>
          <w:sz w:val="24"/>
          <w:szCs w:val="22"/>
        </w:rPr>
        <w:t>Stock of a model whose registration is affected that was in Australia prior to the commencement of the replacement determination is covered by the ‘grandfathering’ provisions of section 16(2)(c)</w:t>
      </w:r>
      <w:r w:rsidR="00774395">
        <w:rPr>
          <w:rFonts w:eastAsia="Calibri"/>
          <w:i/>
          <w:sz w:val="24"/>
          <w:szCs w:val="22"/>
        </w:rPr>
        <w:t xml:space="preserve"> of the GEMS Act, and may continue to be supplied until the stock is exhausted, even though the registration has ceased to be in force. No new stock of such models may be manufactured in Australia or imported however.</w:t>
      </w:r>
    </w:p>
    <w:p w:rsidR="001222E8" w:rsidRDefault="001222E8" w:rsidP="009A3738">
      <w:pPr>
        <w:pStyle w:val="ListParagraph"/>
        <w:numPr>
          <w:ilvl w:val="0"/>
          <w:numId w:val="9"/>
        </w:numPr>
        <w:suppressAutoHyphens/>
        <w:spacing w:after="120" w:line="288" w:lineRule="auto"/>
        <w:ind w:left="1417" w:hanging="425"/>
        <w:contextualSpacing w:val="0"/>
        <w:rPr>
          <w:rFonts w:eastAsia="Calibri"/>
          <w:i/>
          <w:sz w:val="24"/>
          <w:szCs w:val="22"/>
        </w:rPr>
      </w:pPr>
      <w:r w:rsidRPr="001222E8">
        <w:rPr>
          <w:rFonts w:eastAsia="Calibri"/>
          <w:i/>
          <w:sz w:val="24"/>
          <w:szCs w:val="22"/>
        </w:rPr>
        <w:t>If a replacement determination does not affect a model’s registration, the model is taken to continue to be registered against the replacement determination, and may continue to be supplied (or offered for supply) and used for commercial purposes relying on that registration.</w:t>
      </w:r>
    </w:p>
    <w:p w:rsidR="001222E8" w:rsidRPr="001222E8" w:rsidRDefault="001222E8" w:rsidP="009A3738">
      <w:pPr>
        <w:numPr>
          <w:ilvl w:val="0"/>
          <w:numId w:val="6"/>
        </w:numPr>
        <w:suppressAutoHyphens/>
        <w:spacing w:after="120" w:line="288" w:lineRule="auto"/>
        <w:ind w:left="993" w:hanging="426"/>
        <w:rPr>
          <w:rFonts w:eastAsia="Calibri"/>
          <w:i/>
          <w:sz w:val="24"/>
          <w:szCs w:val="22"/>
        </w:rPr>
      </w:pPr>
      <w:r w:rsidRPr="001222E8">
        <w:rPr>
          <w:rFonts w:eastAsia="Calibri"/>
          <w:i/>
          <w:sz w:val="24"/>
          <w:szCs w:val="22"/>
        </w:rPr>
        <w:t>Division 4 allows product models to be exempted from requirements of GEMS determinations.</w:t>
      </w:r>
    </w:p>
    <w:p w:rsidR="001222E8" w:rsidRPr="001222E8" w:rsidRDefault="001232A3" w:rsidP="00DD3AEB">
      <w:pPr>
        <w:pStyle w:val="Heading2"/>
      </w:pPr>
      <w:bookmarkStart w:id="39" w:name="_Toc507145454"/>
      <w:proofErr w:type="gramStart"/>
      <w:r>
        <w:t>4</w:t>
      </w:r>
      <w:r w:rsidR="00961E5D">
        <w:t xml:space="preserve">.2 </w:t>
      </w:r>
      <w:r w:rsidR="000F032B">
        <w:t xml:space="preserve"> </w:t>
      </w:r>
      <w:r w:rsidR="001222E8" w:rsidRPr="001222E8">
        <w:t>Issues</w:t>
      </w:r>
      <w:proofErr w:type="gramEnd"/>
      <w:r w:rsidR="001222E8" w:rsidRPr="001222E8">
        <w:t xml:space="preserve"> for discussion</w:t>
      </w:r>
      <w:bookmarkEnd w:id="39"/>
    </w:p>
    <w:p w:rsidR="001222E8" w:rsidRPr="00830ECF" w:rsidRDefault="001222E8" w:rsidP="00FC65A6">
      <w:pPr>
        <w:pStyle w:val="Heading3"/>
      </w:pPr>
      <w:bookmarkStart w:id="40" w:name="_Toc503791293"/>
      <w:bookmarkStart w:id="41" w:name="_Toc505072867"/>
      <w:bookmarkStart w:id="42" w:name="_Toc505599599"/>
      <w:bookmarkStart w:id="43" w:name="_Toc505934408"/>
      <w:bookmarkStart w:id="44" w:name="_Toc507142200"/>
      <w:bookmarkStart w:id="45" w:name="_Toc507145455"/>
      <w:r w:rsidRPr="00830ECF">
        <w:t>Regulatory framework and innovation</w:t>
      </w:r>
      <w:bookmarkEnd w:id="40"/>
      <w:bookmarkEnd w:id="41"/>
      <w:bookmarkEnd w:id="42"/>
      <w:bookmarkEnd w:id="43"/>
      <w:bookmarkEnd w:id="44"/>
      <w:bookmarkEnd w:id="45"/>
    </w:p>
    <w:p w:rsidR="00A502F8" w:rsidRPr="00A502F8" w:rsidRDefault="00A502F8" w:rsidP="00A502F8">
      <w:pPr>
        <w:suppressAutoHyphens/>
        <w:spacing w:after="200" w:line="288" w:lineRule="auto"/>
        <w:ind w:left="567"/>
        <w:rPr>
          <w:rFonts w:eastAsia="Calibri" w:cs="Arial"/>
          <w:color w:val="333333"/>
          <w:sz w:val="24"/>
          <w:szCs w:val="22"/>
        </w:rPr>
      </w:pPr>
      <w:r w:rsidRPr="00A502F8">
        <w:rPr>
          <w:rFonts w:eastAsia="Calibri" w:cs="Arial"/>
          <w:color w:val="333333"/>
          <w:sz w:val="24"/>
          <w:szCs w:val="22"/>
        </w:rPr>
        <w:t>A common challenge for regulation is that it takes time to develop standards and determinations while product innovation may progress rapidly. This means that, by the time regulations are established, there may be innovations that have not been considered in the drafting process. This is a potential problem under any framework.</w:t>
      </w:r>
    </w:p>
    <w:p w:rsidR="00E9457C" w:rsidRDefault="00111ADF" w:rsidP="00A502F8">
      <w:pPr>
        <w:suppressAutoHyphens/>
        <w:spacing w:after="200" w:line="288" w:lineRule="auto"/>
        <w:ind w:left="567"/>
        <w:rPr>
          <w:rFonts w:eastAsia="Calibri" w:cs="Arial"/>
          <w:color w:val="333333"/>
          <w:sz w:val="24"/>
          <w:szCs w:val="22"/>
        </w:rPr>
      </w:pPr>
      <w:r>
        <w:rPr>
          <w:rFonts w:eastAsia="Calibri" w:cs="Arial"/>
          <w:color w:val="333333"/>
          <w:sz w:val="24"/>
          <w:szCs w:val="22"/>
        </w:rPr>
        <w:t>GEMS determinations can potentially be replaced more quickly than standards can be revised (due to the nature of the standards development process)</w:t>
      </w:r>
      <w:r w:rsidR="00214109">
        <w:rPr>
          <w:rFonts w:eastAsia="Calibri" w:cs="Arial"/>
          <w:color w:val="333333"/>
          <w:sz w:val="24"/>
          <w:szCs w:val="22"/>
        </w:rPr>
        <w:t>. While</w:t>
      </w:r>
      <w:r>
        <w:rPr>
          <w:rFonts w:eastAsia="Calibri" w:cs="Arial"/>
          <w:color w:val="333333"/>
          <w:sz w:val="24"/>
          <w:szCs w:val="22"/>
        </w:rPr>
        <w:t xml:space="preserve"> the GEMS framework </w:t>
      </w:r>
      <w:r w:rsidR="00214109">
        <w:rPr>
          <w:rFonts w:eastAsia="Calibri" w:cs="Arial"/>
          <w:color w:val="333333"/>
          <w:sz w:val="24"/>
          <w:szCs w:val="22"/>
        </w:rPr>
        <w:t>is intended to have</w:t>
      </w:r>
      <w:r>
        <w:rPr>
          <w:rFonts w:eastAsia="Calibri" w:cs="Arial"/>
          <w:color w:val="333333"/>
          <w:sz w:val="24"/>
          <w:szCs w:val="22"/>
        </w:rPr>
        <w:t xml:space="preserve"> more flexibility to deal with innovation tha</w:t>
      </w:r>
      <w:r w:rsidR="005E5788">
        <w:rPr>
          <w:rFonts w:eastAsia="Calibri" w:cs="Arial"/>
          <w:color w:val="333333"/>
          <w:sz w:val="24"/>
          <w:szCs w:val="22"/>
        </w:rPr>
        <w:t>n</w:t>
      </w:r>
      <w:r>
        <w:rPr>
          <w:rFonts w:eastAsia="Calibri" w:cs="Arial"/>
          <w:color w:val="333333"/>
          <w:sz w:val="24"/>
          <w:szCs w:val="22"/>
        </w:rPr>
        <w:t xml:space="preserve"> the previous framework</w:t>
      </w:r>
      <w:r w:rsidR="00214109">
        <w:rPr>
          <w:rFonts w:eastAsia="Calibri" w:cs="Arial"/>
          <w:color w:val="333333"/>
          <w:sz w:val="24"/>
          <w:szCs w:val="22"/>
        </w:rPr>
        <w:t xml:space="preserve">, </w:t>
      </w:r>
      <w:r w:rsidR="00A502F8" w:rsidRPr="00A502F8">
        <w:rPr>
          <w:rFonts w:eastAsia="Calibri" w:cs="Arial"/>
          <w:color w:val="333333"/>
          <w:sz w:val="24"/>
          <w:szCs w:val="22"/>
        </w:rPr>
        <w:t>this can still take some time, as appropriate consultation processes are still required.</w:t>
      </w:r>
      <w:r w:rsidR="00214109">
        <w:rPr>
          <w:rFonts w:eastAsia="Calibri" w:cs="Arial"/>
          <w:color w:val="333333"/>
          <w:sz w:val="24"/>
          <w:szCs w:val="22"/>
        </w:rPr>
        <w:t xml:space="preserve"> </w:t>
      </w:r>
    </w:p>
    <w:p w:rsidR="006421AA" w:rsidRPr="00401549" w:rsidRDefault="00594462" w:rsidP="00401549">
      <w:pPr>
        <w:suppressAutoHyphens/>
        <w:spacing w:after="200" w:line="288" w:lineRule="auto"/>
        <w:ind w:left="567"/>
        <w:rPr>
          <w:rFonts w:eastAsia="Calibri" w:cs="Arial"/>
          <w:color w:val="333333"/>
          <w:sz w:val="24"/>
          <w:szCs w:val="22"/>
        </w:rPr>
      </w:pPr>
      <w:bookmarkStart w:id="46" w:name="_Toc507142201"/>
      <w:bookmarkStart w:id="47" w:name="_Toc507145456"/>
      <w:r w:rsidRPr="00401549">
        <w:rPr>
          <w:rFonts w:eastAsia="Calibri" w:cs="Arial"/>
          <w:color w:val="333333"/>
          <w:sz w:val="24"/>
          <w:szCs w:val="22"/>
        </w:rPr>
        <w:t>If a replacement determination will only lead to minor changes, this can occur relatively quickly. Where the changes being proposed are more significant, a COAG RIS process is undertaken as part of the policy development work.</w:t>
      </w:r>
      <w:bookmarkEnd w:id="46"/>
      <w:bookmarkEnd w:id="47"/>
      <w:r w:rsidRPr="00401549">
        <w:rPr>
          <w:rFonts w:eastAsia="Calibri" w:cs="Arial"/>
          <w:color w:val="333333"/>
          <w:sz w:val="24"/>
          <w:szCs w:val="22"/>
        </w:rPr>
        <w:t xml:space="preserve"> </w:t>
      </w:r>
    </w:p>
    <w:p w:rsidR="001222E8" w:rsidRDefault="00807E4C" w:rsidP="00FC65A6">
      <w:pPr>
        <w:pStyle w:val="Heading3"/>
      </w:pPr>
      <w:bookmarkStart w:id="48" w:name="_Toc503791294"/>
      <w:bookmarkStart w:id="49" w:name="_Toc505072868"/>
      <w:bookmarkStart w:id="50" w:name="_Toc505599600"/>
      <w:bookmarkStart w:id="51" w:name="_Toc505934409"/>
      <w:bookmarkStart w:id="52" w:name="_Toc507142202"/>
      <w:bookmarkStart w:id="53" w:name="_Toc507145457"/>
      <w:r w:rsidRPr="00830ECF">
        <w:t xml:space="preserve">Determinations </w:t>
      </w:r>
      <w:r w:rsidRPr="00807E4C">
        <w:t>process</w:t>
      </w:r>
      <w:bookmarkEnd w:id="48"/>
      <w:bookmarkEnd w:id="49"/>
      <w:bookmarkEnd w:id="50"/>
      <w:bookmarkEnd w:id="51"/>
      <w:bookmarkEnd w:id="52"/>
      <w:bookmarkEnd w:id="53"/>
    </w:p>
    <w:p w:rsidR="00DB7566" w:rsidRPr="00A74619" w:rsidRDefault="00DB7566" w:rsidP="00A74619">
      <w:pPr>
        <w:suppressAutoHyphens/>
        <w:spacing w:line="288" w:lineRule="auto"/>
        <w:ind w:left="567"/>
        <w:rPr>
          <w:rFonts w:eastAsia="Calibri" w:cs="Arial"/>
          <w:i/>
          <w:color w:val="333333"/>
          <w:sz w:val="24"/>
          <w:szCs w:val="22"/>
        </w:rPr>
      </w:pPr>
      <w:r w:rsidRPr="00A74619">
        <w:rPr>
          <w:rFonts w:eastAsia="Calibri" w:cs="Arial"/>
          <w:i/>
          <w:color w:val="333333"/>
          <w:sz w:val="24"/>
          <w:szCs w:val="22"/>
        </w:rPr>
        <w:t>Consultation</w:t>
      </w:r>
    </w:p>
    <w:p w:rsidR="00BA0E69" w:rsidRDefault="00807E4C" w:rsidP="00BA0E69">
      <w:pPr>
        <w:suppressAutoHyphens/>
        <w:spacing w:after="200" w:line="288" w:lineRule="auto"/>
        <w:ind w:left="567"/>
        <w:rPr>
          <w:rFonts w:eastAsia="Calibri" w:cs="Arial"/>
          <w:color w:val="333333"/>
          <w:sz w:val="24"/>
          <w:szCs w:val="22"/>
        </w:rPr>
      </w:pPr>
      <w:r w:rsidRPr="00830ECF">
        <w:rPr>
          <w:rFonts w:eastAsia="Calibri" w:cs="Arial"/>
          <w:color w:val="333333"/>
          <w:sz w:val="24"/>
          <w:szCs w:val="22"/>
        </w:rPr>
        <w:t xml:space="preserve">Some industry stakeholders have expressed concern about the </w:t>
      </w:r>
      <w:r w:rsidR="00A834DD">
        <w:rPr>
          <w:rFonts w:eastAsia="Calibri" w:cs="Arial"/>
          <w:color w:val="333333"/>
          <w:sz w:val="24"/>
          <w:szCs w:val="22"/>
        </w:rPr>
        <w:t xml:space="preserve">potential </w:t>
      </w:r>
      <w:r w:rsidRPr="00830ECF">
        <w:rPr>
          <w:rFonts w:eastAsia="Calibri" w:cs="Arial"/>
          <w:color w:val="333333"/>
          <w:sz w:val="24"/>
          <w:szCs w:val="22"/>
        </w:rPr>
        <w:t>lack of clear obligations around consultation where regulati</w:t>
      </w:r>
      <w:r w:rsidR="00E91EC6">
        <w:rPr>
          <w:rFonts w:eastAsia="Calibri" w:cs="Arial"/>
          <w:color w:val="333333"/>
          <w:sz w:val="24"/>
          <w:szCs w:val="22"/>
        </w:rPr>
        <w:t>on is progressed through a GEMS </w:t>
      </w:r>
      <w:r w:rsidRPr="00830ECF">
        <w:rPr>
          <w:rFonts w:eastAsia="Calibri" w:cs="Arial"/>
          <w:color w:val="333333"/>
          <w:sz w:val="24"/>
          <w:szCs w:val="22"/>
        </w:rPr>
        <w:t>determination dir</w:t>
      </w:r>
      <w:r w:rsidR="0009796B">
        <w:rPr>
          <w:rFonts w:eastAsia="Calibri" w:cs="Arial"/>
          <w:color w:val="333333"/>
          <w:sz w:val="24"/>
          <w:szCs w:val="22"/>
        </w:rPr>
        <w:t>ectly, rather than through the s</w:t>
      </w:r>
      <w:r w:rsidRPr="00830ECF">
        <w:rPr>
          <w:rFonts w:eastAsia="Calibri" w:cs="Arial"/>
          <w:color w:val="333333"/>
          <w:sz w:val="24"/>
          <w:szCs w:val="22"/>
        </w:rPr>
        <w:t>tandards process</w:t>
      </w:r>
      <w:r w:rsidR="0030103E">
        <w:rPr>
          <w:rFonts w:eastAsia="Calibri" w:cs="Arial"/>
          <w:color w:val="333333"/>
          <w:sz w:val="24"/>
          <w:szCs w:val="22"/>
        </w:rPr>
        <w:t>.</w:t>
      </w:r>
      <w:r w:rsidRPr="00830ECF">
        <w:rPr>
          <w:rFonts w:eastAsia="Calibri" w:cs="Arial"/>
          <w:color w:val="333333"/>
          <w:sz w:val="24"/>
          <w:szCs w:val="22"/>
        </w:rPr>
        <w:t xml:space="preserve"> </w:t>
      </w:r>
      <w:r w:rsidR="00BA0E69" w:rsidRPr="00BA0E69">
        <w:rPr>
          <w:rFonts w:eastAsia="Calibri" w:cs="Arial"/>
          <w:color w:val="333333"/>
          <w:sz w:val="24"/>
          <w:szCs w:val="22"/>
        </w:rPr>
        <w:t>The determinations process is a new path the E3 Program is taking to develop performance criteria for MEPS and ERLs.</w:t>
      </w:r>
      <w:r w:rsidR="00BA0E69">
        <w:rPr>
          <w:rFonts w:eastAsia="Calibri" w:cs="Arial"/>
          <w:color w:val="333333"/>
          <w:sz w:val="24"/>
          <w:szCs w:val="22"/>
        </w:rPr>
        <w:t xml:space="preserve"> </w:t>
      </w:r>
    </w:p>
    <w:p w:rsidR="00BA0E69" w:rsidRDefault="009E37C4" w:rsidP="00BA0E69">
      <w:pPr>
        <w:suppressAutoHyphens/>
        <w:spacing w:after="200" w:line="288" w:lineRule="auto"/>
        <w:ind w:left="567"/>
        <w:rPr>
          <w:rFonts w:eastAsia="Calibri" w:cs="Arial"/>
          <w:color w:val="333333"/>
          <w:sz w:val="24"/>
          <w:szCs w:val="22"/>
        </w:rPr>
      </w:pPr>
      <w:r>
        <w:rPr>
          <w:rFonts w:eastAsia="Calibri" w:cs="Arial"/>
          <w:color w:val="333333"/>
          <w:sz w:val="24"/>
          <w:szCs w:val="22"/>
        </w:rPr>
        <w:t>A</w:t>
      </w:r>
      <w:r w:rsidR="00BA0E69">
        <w:rPr>
          <w:rFonts w:eastAsia="Calibri" w:cs="Arial"/>
          <w:color w:val="333333"/>
          <w:sz w:val="24"/>
          <w:szCs w:val="22"/>
        </w:rPr>
        <w:t xml:space="preserve">t the moment there </w:t>
      </w:r>
      <w:r w:rsidR="00B51C3B">
        <w:rPr>
          <w:rFonts w:eastAsia="Calibri" w:cs="Arial"/>
          <w:color w:val="333333"/>
          <w:sz w:val="24"/>
          <w:szCs w:val="22"/>
        </w:rPr>
        <w:t>is not</w:t>
      </w:r>
      <w:r w:rsidR="00BA0E69">
        <w:rPr>
          <w:rFonts w:eastAsia="Calibri" w:cs="Arial"/>
          <w:color w:val="333333"/>
          <w:sz w:val="24"/>
          <w:szCs w:val="22"/>
        </w:rPr>
        <w:t xml:space="preserve"> the same level of detail or formality regarding consultation requirements as those in the standards process. </w:t>
      </w:r>
      <w:r>
        <w:rPr>
          <w:rFonts w:eastAsia="Calibri" w:cs="Arial"/>
          <w:color w:val="333333"/>
          <w:sz w:val="24"/>
          <w:szCs w:val="22"/>
        </w:rPr>
        <w:t xml:space="preserve">E3 Program officials are working with stakeholders to provide more clarity regarding </w:t>
      </w:r>
      <w:r w:rsidR="00E91EC6">
        <w:rPr>
          <w:rFonts w:eastAsia="Calibri" w:cs="Arial"/>
          <w:color w:val="333333"/>
          <w:sz w:val="24"/>
          <w:szCs w:val="22"/>
        </w:rPr>
        <w:t>this</w:t>
      </w:r>
      <w:r>
        <w:rPr>
          <w:rFonts w:eastAsia="Calibri" w:cs="Arial"/>
          <w:color w:val="333333"/>
          <w:sz w:val="24"/>
          <w:szCs w:val="22"/>
        </w:rPr>
        <w:t xml:space="preserve"> new approach. </w:t>
      </w:r>
    </w:p>
    <w:p w:rsidR="00C00B64" w:rsidRDefault="00C00B64" w:rsidP="00A74619">
      <w:pPr>
        <w:suppressAutoHyphens/>
        <w:spacing w:line="288" w:lineRule="auto"/>
        <w:ind w:left="567"/>
        <w:rPr>
          <w:rFonts w:eastAsia="Calibri" w:cs="Arial"/>
          <w:i/>
          <w:color w:val="333333"/>
          <w:sz w:val="24"/>
          <w:szCs w:val="22"/>
        </w:rPr>
      </w:pPr>
    </w:p>
    <w:p w:rsidR="00DB7566" w:rsidRPr="00A74619" w:rsidRDefault="00DB7566" w:rsidP="00A74619">
      <w:pPr>
        <w:suppressAutoHyphens/>
        <w:spacing w:line="288" w:lineRule="auto"/>
        <w:ind w:left="567"/>
        <w:rPr>
          <w:rFonts w:eastAsia="Calibri" w:cs="Arial"/>
          <w:i/>
          <w:color w:val="333333"/>
          <w:sz w:val="24"/>
          <w:szCs w:val="22"/>
        </w:rPr>
      </w:pPr>
      <w:r w:rsidRPr="00A74619">
        <w:rPr>
          <w:rFonts w:eastAsia="Calibri" w:cs="Arial"/>
          <w:i/>
          <w:color w:val="333333"/>
          <w:sz w:val="24"/>
          <w:szCs w:val="22"/>
        </w:rPr>
        <w:t>Timeline</w:t>
      </w:r>
    </w:p>
    <w:p w:rsidR="00DB7566" w:rsidRDefault="00DB7566" w:rsidP="00DB7566">
      <w:pPr>
        <w:suppressAutoHyphens/>
        <w:spacing w:after="200" w:line="288" w:lineRule="auto"/>
        <w:ind w:left="567"/>
        <w:rPr>
          <w:rFonts w:eastAsia="Calibri" w:cs="Arial"/>
          <w:color w:val="333333"/>
          <w:sz w:val="24"/>
          <w:szCs w:val="22"/>
        </w:rPr>
      </w:pPr>
      <w:r>
        <w:rPr>
          <w:rFonts w:eastAsia="Calibri" w:cs="Arial"/>
          <w:color w:val="333333"/>
          <w:sz w:val="24"/>
          <w:szCs w:val="22"/>
        </w:rPr>
        <w:t xml:space="preserve">GEMS determinations implement the outcomes of a GEMS policy development process. The GEMS policy development process includes multiple rounds of consultation and approval. The time this takes is affected by the anticipated impact of the proposed regulation and the complexity of issues to be worked through with industry. </w:t>
      </w:r>
      <w:r w:rsidR="00D50E6A" w:rsidRPr="007D7C2B">
        <w:rPr>
          <w:rFonts w:eastAsia="Calibri" w:cs="Arial"/>
          <w:color w:val="333333"/>
          <w:sz w:val="24"/>
          <w:szCs w:val="22"/>
        </w:rPr>
        <w:t>As a general guide</w:t>
      </w:r>
      <w:r w:rsidR="00E53FFF" w:rsidRPr="007D7C2B">
        <w:rPr>
          <w:rFonts w:eastAsia="Calibri" w:cs="Arial"/>
          <w:color w:val="333333"/>
          <w:sz w:val="24"/>
          <w:szCs w:val="22"/>
        </w:rPr>
        <w:t>, the approximate time from the start of the policy development process to a finalised GEMS determination is three years (if a COAG RIS process is required)</w:t>
      </w:r>
      <w:r w:rsidR="00B513B3" w:rsidRPr="007D7C2B">
        <w:rPr>
          <w:rFonts w:eastAsia="Calibri" w:cs="Arial"/>
          <w:color w:val="333333"/>
          <w:sz w:val="24"/>
          <w:szCs w:val="22"/>
        </w:rPr>
        <w:t>. However, the timing is dependent on the technical details and the level of industry support.</w:t>
      </w:r>
    </w:p>
    <w:p w:rsidR="00DB7566" w:rsidRDefault="00DB7566" w:rsidP="00DB7566">
      <w:pPr>
        <w:suppressAutoHyphens/>
        <w:spacing w:after="200" w:line="288" w:lineRule="auto"/>
        <w:ind w:left="567"/>
        <w:rPr>
          <w:rFonts w:eastAsia="Calibri" w:cs="Arial"/>
          <w:color w:val="333333"/>
          <w:sz w:val="24"/>
          <w:szCs w:val="22"/>
        </w:rPr>
      </w:pPr>
      <w:r>
        <w:rPr>
          <w:rFonts w:eastAsia="Calibri" w:cs="Arial"/>
          <w:color w:val="333333"/>
          <w:sz w:val="24"/>
          <w:szCs w:val="22"/>
        </w:rPr>
        <w:t xml:space="preserve">The E3 Program has been implementing approaches to streamline the process for introducing or strengthening GEMS requirements. This has included undertaking activities in parallel where possible, such as drafting GEMS determinations at the same time as progressing a decision RIS. </w:t>
      </w:r>
    </w:p>
    <w:p w:rsidR="00DB7566" w:rsidRPr="00B30297" w:rsidRDefault="00DB7566" w:rsidP="00DB7566">
      <w:pPr>
        <w:pStyle w:val="Heading3"/>
      </w:pPr>
      <w:bookmarkStart w:id="54" w:name="_Toc507142203"/>
      <w:bookmarkStart w:id="55" w:name="_Toc507145458"/>
      <w:r w:rsidRPr="00B30297">
        <w:t>Removing GEMS determinations</w:t>
      </w:r>
      <w:bookmarkEnd w:id="54"/>
      <w:bookmarkEnd w:id="55"/>
    </w:p>
    <w:p w:rsidR="00DB7566" w:rsidRDefault="008008CC" w:rsidP="008008CC">
      <w:pPr>
        <w:suppressAutoHyphens/>
        <w:spacing w:after="200" w:line="288" w:lineRule="auto"/>
        <w:ind w:left="567"/>
        <w:rPr>
          <w:rFonts w:eastAsia="Calibri" w:cs="Arial"/>
          <w:color w:val="333333"/>
          <w:sz w:val="24"/>
          <w:szCs w:val="22"/>
        </w:rPr>
      </w:pPr>
      <w:r>
        <w:rPr>
          <w:noProof/>
          <w:lang w:eastAsia="en-AU"/>
        </w:rPr>
        <mc:AlternateContent>
          <mc:Choice Requires="wps">
            <w:drawing>
              <wp:anchor distT="45720" distB="45720" distL="114300" distR="114300" simplePos="0" relativeHeight="251703296" behindDoc="0" locked="0" layoutInCell="1" allowOverlap="1" wp14:anchorId="1488962E" wp14:editId="6470B1CC">
                <wp:simplePos x="0" y="0"/>
                <wp:positionH relativeFrom="column">
                  <wp:posOffset>327660</wp:posOffset>
                </wp:positionH>
                <wp:positionV relativeFrom="paragraph">
                  <wp:posOffset>1012825</wp:posOffset>
                </wp:positionV>
                <wp:extent cx="6146165" cy="3829685"/>
                <wp:effectExtent l="0" t="0" r="26035" b="184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829685"/>
                        </a:xfrm>
                        <a:prstGeom prst="rect">
                          <a:avLst/>
                        </a:prstGeom>
                        <a:solidFill>
                          <a:srgbClr val="FFFFFF"/>
                        </a:solidFill>
                        <a:ln w="9525">
                          <a:solidFill>
                            <a:srgbClr val="000000"/>
                          </a:solidFill>
                          <a:miter lim="800000"/>
                          <a:headEnd/>
                          <a:tailEnd/>
                        </a:ln>
                      </wps:spPr>
                      <wps:txbx>
                        <w:txbxContent>
                          <w:p w:rsidR="00E12B40" w:rsidRPr="00A74619" w:rsidRDefault="00E12B40" w:rsidP="00A74619">
                            <w:pPr>
                              <w:suppressAutoHyphens/>
                              <w:spacing w:after="120" w:line="288" w:lineRule="auto"/>
                              <w:ind w:left="142"/>
                              <w:rPr>
                                <w:rFonts w:eastAsia="Calibri"/>
                                <w:b/>
                                <w:sz w:val="24"/>
                                <w:szCs w:val="24"/>
                              </w:rPr>
                            </w:pPr>
                            <w:r w:rsidRPr="00A74619">
                              <w:rPr>
                                <w:rFonts w:eastAsia="Calibri"/>
                                <w:b/>
                                <w:sz w:val="24"/>
                                <w:szCs w:val="24"/>
                              </w:rPr>
                              <w:t xml:space="preserve">Box </w:t>
                            </w:r>
                            <w:r w:rsidRPr="00065C2F">
                              <w:rPr>
                                <w:rFonts w:eastAsia="Calibri"/>
                                <w:b/>
                                <w:sz w:val="24"/>
                                <w:szCs w:val="24"/>
                              </w:rPr>
                              <w:t>3</w:t>
                            </w:r>
                            <w:r>
                              <w:rPr>
                                <w:rFonts w:eastAsia="Calibri"/>
                                <w:b/>
                                <w:sz w:val="24"/>
                                <w:szCs w:val="24"/>
                              </w:rPr>
                              <w:t>: Introducing or strengthening GEMS requirements</w:t>
                            </w:r>
                          </w:p>
                          <w:p w:rsidR="00E12B40" w:rsidRPr="00A74619" w:rsidRDefault="00E12B40" w:rsidP="00A74619">
                            <w:pPr>
                              <w:suppressAutoHyphens/>
                              <w:spacing w:after="120" w:line="288" w:lineRule="auto"/>
                              <w:ind w:left="142"/>
                              <w:rPr>
                                <w:rFonts w:eastAsia="Calibri"/>
                                <w:sz w:val="24"/>
                                <w:szCs w:val="24"/>
                              </w:rPr>
                            </w:pPr>
                            <w:r w:rsidRPr="00A74619">
                              <w:rPr>
                                <w:rFonts w:eastAsia="Calibri"/>
                                <w:sz w:val="24"/>
                                <w:szCs w:val="24"/>
                              </w:rPr>
                              <w:t xml:space="preserve">The </w:t>
                            </w:r>
                            <w:r>
                              <w:rPr>
                                <w:rFonts w:eastAsia="Calibri"/>
                                <w:sz w:val="24"/>
                                <w:szCs w:val="24"/>
                              </w:rPr>
                              <w:t xml:space="preserve">process for introducing or strengthening GEMS requirements consists of </w:t>
                            </w:r>
                            <w:r w:rsidRPr="00A74619">
                              <w:rPr>
                                <w:rFonts w:eastAsia="Calibri"/>
                                <w:sz w:val="24"/>
                                <w:szCs w:val="24"/>
                              </w:rPr>
                              <w:t xml:space="preserve">formulating a policy proposal, gaining approval and then establishing the requirement by issuing a GEMS determination under the GEMS Act. </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1:</w:t>
                            </w:r>
                            <w:r w:rsidRPr="00A74619">
                              <w:rPr>
                                <w:rFonts w:eastAsia="Calibri"/>
                                <w:sz w:val="24"/>
                                <w:szCs w:val="24"/>
                              </w:rPr>
                              <w:t xml:space="preserve"> Identify and define the product class</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2:</w:t>
                            </w:r>
                            <w:r w:rsidRPr="00A74619">
                              <w:rPr>
                                <w:rFonts w:eastAsia="Calibri"/>
                                <w:sz w:val="24"/>
                                <w:szCs w:val="24"/>
                              </w:rPr>
                              <w:t xml:space="preserve"> Undertake technical, economic and market analysis</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3:</w:t>
                            </w:r>
                            <w:r w:rsidRPr="00A74619">
                              <w:rPr>
                                <w:rFonts w:eastAsia="Calibri"/>
                                <w:sz w:val="24"/>
                                <w:szCs w:val="24"/>
                              </w:rPr>
                              <w:t xml:space="preserve"> Develop a consultation Regulation Impact Statement</w:t>
                            </w:r>
                          </w:p>
                          <w:p w:rsidR="00E12B40" w:rsidRPr="00A74619" w:rsidRDefault="00E12B40" w:rsidP="009A3738">
                            <w:pPr>
                              <w:numPr>
                                <w:ilvl w:val="0"/>
                                <w:numId w:val="3"/>
                              </w:numPr>
                              <w:suppressAutoHyphens/>
                              <w:spacing w:after="120" w:line="288" w:lineRule="auto"/>
                              <w:ind w:left="993" w:hanging="426"/>
                              <w:rPr>
                                <w:rFonts w:eastAsia="Calibri"/>
                              </w:rPr>
                            </w:pPr>
                            <w:r w:rsidRPr="00A74619">
                              <w:rPr>
                                <w:rFonts w:eastAsia="Calibri"/>
                              </w:rPr>
                              <w:t>Includes approval from EEAT and the Office of Best Practice Regulation (OBPR)</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4:</w:t>
                            </w:r>
                            <w:r w:rsidRPr="00A74619">
                              <w:rPr>
                                <w:rFonts w:eastAsia="Calibri"/>
                                <w:sz w:val="24"/>
                                <w:szCs w:val="24"/>
                              </w:rPr>
                              <w:t xml:space="preserve"> Undertake stakeholder and public consultation</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5:</w:t>
                            </w:r>
                            <w:r w:rsidRPr="00A74619">
                              <w:rPr>
                                <w:rFonts w:eastAsia="Calibri"/>
                                <w:sz w:val="24"/>
                                <w:szCs w:val="24"/>
                              </w:rPr>
                              <w:t xml:space="preserve"> Develop a decision Regulation Impact Statement</w:t>
                            </w:r>
                          </w:p>
                          <w:p w:rsidR="00E12B40" w:rsidRPr="00A74619" w:rsidRDefault="00E12B40" w:rsidP="009A3738">
                            <w:pPr>
                              <w:numPr>
                                <w:ilvl w:val="0"/>
                                <w:numId w:val="3"/>
                              </w:numPr>
                              <w:suppressAutoHyphens/>
                              <w:spacing w:after="120" w:line="288" w:lineRule="auto"/>
                              <w:ind w:left="993" w:hanging="426"/>
                              <w:rPr>
                                <w:rFonts w:eastAsia="Calibri"/>
                              </w:rPr>
                            </w:pPr>
                            <w:r w:rsidRPr="00A74619">
                              <w:rPr>
                                <w:rFonts w:eastAsia="Calibri"/>
                              </w:rPr>
                              <w:t>Includes approval from EEAT, OBPR and the COAG Energy Council</w:t>
                            </w:r>
                          </w:p>
                          <w:p w:rsidR="00E12B40" w:rsidRDefault="00E12B40" w:rsidP="00A74619">
                            <w:pPr>
                              <w:suppressAutoHyphens/>
                              <w:spacing w:after="120" w:line="288" w:lineRule="auto"/>
                              <w:ind w:left="142"/>
                              <w:rPr>
                                <w:rFonts w:eastAsia="Calibri"/>
                                <w:sz w:val="24"/>
                                <w:szCs w:val="24"/>
                              </w:rPr>
                            </w:pPr>
                            <w:r w:rsidRPr="00A74619">
                              <w:rPr>
                                <w:rFonts w:eastAsia="Calibri"/>
                                <w:b/>
                                <w:sz w:val="24"/>
                                <w:szCs w:val="24"/>
                              </w:rPr>
                              <w:t xml:space="preserve">Step </w:t>
                            </w:r>
                            <w:r>
                              <w:rPr>
                                <w:rFonts w:eastAsia="Calibri"/>
                                <w:b/>
                                <w:sz w:val="24"/>
                                <w:szCs w:val="24"/>
                              </w:rPr>
                              <w:t>6:</w:t>
                            </w:r>
                            <w:r w:rsidRPr="00A74619">
                              <w:rPr>
                                <w:rFonts w:eastAsia="Calibri"/>
                                <w:sz w:val="24"/>
                                <w:szCs w:val="24"/>
                              </w:rPr>
                              <w:t xml:space="preserve"> Develop a GEMS determination in consultation with stakeholders</w:t>
                            </w:r>
                          </w:p>
                          <w:p w:rsidR="00E12B40" w:rsidRPr="00DE38A4" w:rsidRDefault="00E12B40" w:rsidP="009A3738">
                            <w:pPr>
                              <w:numPr>
                                <w:ilvl w:val="0"/>
                                <w:numId w:val="3"/>
                              </w:numPr>
                              <w:suppressAutoHyphens/>
                              <w:spacing w:after="120" w:line="288" w:lineRule="auto"/>
                              <w:ind w:left="993" w:hanging="426"/>
                              <w:rPr>
                                <w:rFonts w:eastAsia="Calibri"/>
                              </w:rPr>
                            </w:pPr>
                            <w:r w:rsidRPr="00DE38A4">
                              <w:rPr>
                                <w:rFonts w:eastAsia="Calibri"/>
                              </w:rPr>
                              <w:t>Includes approval from EEAT and the Commonwealth Minister</w:t>
                            </w:r>
                          </w:p>
                          <w:p w:rsidR="00E12B40" w:rsidRPr="00DE38A4" w:rsidRDefault="00E12B40" w:rsidP="00E6390C">
                            <w:pPr>
                              <w:suppressAutoHyphens/>
                              <w:spacing w:after="120" w:line="288" w:lineRule="auto"/>
                              <w:ind w:left="142"/>
                              <w:rPr>
                                <w:rFonts w:eastAsia="Calibri"/>
                                <w:sz w:val="24"/>
                                <w:szCs w:val="24"/>
                              </w:rPr>
                            </w:pPr>
                            <w:r w:rsidRPr="00DE38A4">
                              <w:rPr>
                                <w:rFonts w:eastAsia="Calibri"/>
                                <w:b/>
                                <w:sz w:val="24"/>
                                <w:szCs w:val="24"/>
                              </w:rPr>
                              <w:t xml:space="preserve">Step </w:t>
                            </w:r>
                            <w:r>
                              <w:rPr>
                                <w:rFonts w:eastAsia="Calibri"/>
                                <w:b/>
                                <w:sz w:val="24"/>
                                <w:szCs w:val="24"/>
                              </w:rPr>
                              <w:t>7:</w:t>
                            </w:r>
                            <w:r w:rsidRPr="00DE38A4">
                              <w:rPr>
                                <w:rFonts w:eastAsia="Calibri"/>
                                <w:sz w:val="24"/>
                                <w:szCs w:val="24"/>
                              </w:rPr>
                              <w:t xml:space="preserve"> </w:t>
                            </w:r>
                            <w:r>
                              <w:rPr>
                                <w:rFonts w:eastAsia="Calibri"/>
                                <w:sz w:val="24"/>
                                <w:szCs w:val="24"/>
                              </w:rPr>
                              <w:t>Undertake stakeholder consultation</w:t>
                            </w:r>
                          </w:p>
                          <w:p w:rsidR="00E12B40" w:rsidRDefault="00E12B40" w:rsidP="008008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8962E" id="_x0000_s1028" type="#_x0000_t202" style="position:absolute;left:0;text-align:left;margin-left:25.8pt;margin-top:79.75pt;width:483.95pt;height:301.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zJwIAAE0EAAAOAAAAZHJzL2Uyb0RvYy54bWysVNuO2yAQfa/Uf0C8N47dJJtYcVbbbFNV&#10;2l6k3X4AxjhGBYYCib39+h1wNk1vL1X9gBhmOMycM+P19aAVOQrnJZiK5pMpJcJwaKTZV/TLw+7V&#10;khIfmGmYAiMq+ig8vd68fLHubSkK6EA1whEEMb7sbUW7EGyZZZ53QjM/ASsMOltwmgU03T5rHOsR&#10;XausmE4XWQ+usQ648B5Pb0cn3ST8thU8fGpbLwJRFcXcQlpdWuu4Zps1K/eO2U7yUxrsH7LQTBp8&#10;9Ax1ywIjByd/g9KSO/DQhgkHnUHbSi5SDVhNPv2lmvuOWZFqQXK8PdPk/x8s/3j87IhsULsrSgzT&#10;qNGDGAJ5AwMpIj299SVG3VuMCwMeY2gq1ds74F89MbDtmNmLG+eg7wRrML083swuro44PoLU/Qdo&#10;8Bl2CJCAhtbpyB2yQRAdZXo8SxNT4Xi4yGeLfDGnhKPv9bJYLZbz9AYrn69b58M7AZrETUUdap/g&#10;2fHOh5gOK59D4mselGx2UqlkuH29VY4cGfbJLn0n9J/ClCF9RVfzYj4y8FeIafr+BKFlwIZXUld0&#10;eQ5iZeTtrWlSOwYm1bjHlJU5ERm5G1kMQz0kyc761NA8IrMOxv7GecRNB+47JT32dkX9twNzghL1&#10;3qA6q3w2i8OQjNn8qkDDXXrqSw8zHKEqGigZt9uQBijyZuAGVWxl4jfKPWZyShl7NtF+mq84FJd2&#10;ivrxF9g8AQAA//8DAFBLAwQUAAYACAAAACEAX4eMIuAAAAALAQAADwAAAGRycy9kb3ducmV2Lnht&#10;bEyPy07DMBBF90j8gzVIbFDrpBC3DXEqhASiO2gRbN1kmkTY42C7afh7nBXs5nF050yxGY1mAzrf&#10;WZKQzhNgSJWtO2okvO+fZitgPiiqlbaEEn7Qw6a8vChUXtszveGwCw2LIeRzJaENoc8591WLRvm5&#10;7ZHi7midUSG2ruG1U+cYbjRfJIngRnUUL7Sqx8cWq6/dyUhY3b0Mn357+/pRiaNeh5vl8PztpLy+&#10;Gh/ugQUcwx8Mk35UhzI6HeyJas+0hCwVkYzzbJ0Bm4AknaqDhKVYCOBlwf//UP4CAAD//wMAUEsB&#10;Ai0AFAAGAAgAAAAhALaDOJL+AAAA4QEAABMAAAAAAAAAAAAAAAAAAAAAAFtDb250ZW50X1R5cGVz&#10;XS54bWxQSwECLQAUAAYACAAAACEAOP0h/9YAAACUAQAACwAAAAAAAAAAAAAAAAAvAQAAX3JlbHMv&#10;LnJlbHNQSwECLQAUAAYACAAAACEAF/imsycCAABNBAAADgAAAAAAAAAAAAAAAAAuAgAAZHJzL2Uy&#10;b0RvYy54bWxQSwECLQAUAAYACAAAACEAX4eMIuAAAAALAQAADwAAAAAAAAAAAAAAAACBBAAAZHJz&#10;L2Rvd25yZXYueG1sUEsFBgAAAAAEAAQA8wAAAI4FAAAAAA==&#10;">
                <v:textbox>
                  <w:txbxContent>
                    <w:p w:rsidR="00E12B40" w:rsidRPr="00A74619" w:rsidRDefault="00E12B40" w:rsidP="00A74619">
                      <w:pPr>
                        <w:suppressAutoHyphens/>
                        <w:spacing w:after="120" w:line="288" w:lineRule="auto"/>
                        <w:ind w:left="142"/>
                        <w:rPr>
                          <w:rFonts w:eastAsia="Calibri"/>
                          <w:b/>
                          <w:sz w:val="24"/>
                          <w:szCs w:val="24"/>
                        </w:rPr>
                      </w:pPr>
                      <w:r w:rsidRPr="00A74619">
                        <w:rPr>
                          <w:rFonts w:eastAsia="Calibri"/>
                          <w:b/>
                          <w:sz w:val="24"/>
                          <w:szCs w:val="24"/>
                        </w:rPr>
                        <w:t xml:space="preserve">Box </w:t>
                      </w:r>
                      <w:r w:rsidRPr="00065C2F">
                        <w:rPr>
                          <w:rFonts w:eastAsia="Calibri"/>
                          <w:b/>
                          <w:sz w:val="24"/>
                          <w:szCs w:val="24"/>
                        </w:rPr>
                        <w:t>3</w:t>
                      </w:r>
                      <w:r>
                        <w:rPr>
                          <w:rFonts w:eastAsia="Calibri"/>
                          <w:b/>
                          <w:sz w:val="24"/>
                          <w:szCs w:val="24"/>
                        </w:rPr>
                        <w:t>: Introducing or strengthening GEMS requirements</w:t>
                      </w:r>
                    </w:p>
                    <w:p w:rsidR="00E12B40" w:rsidRPr="00A74619" w:rsidRDefault="00E12B40" w:rsidP="00A74619">
                      <w:pPr>
                        <w:suppressAutoHyphens/>
                        <w:spacing w:after="120" w:line="288" w:lineRule="auto"/>
                        <w:ind w:left="142"/>
                        <w:rPr>
                          <w:rFonts w:eastAsia="Calibri"/>
                          <w:sz w:val="24"/>
                          <w:szCs w:val="24"/>
                        </w:rPr>
                      </w:pPr>
                      <w:r w:rsidRPr="00A74619">
                        <w:rPr>
                          <w:rFonts w:eastAsia="Calibri"/>
                          <w:sz w:val="24"/>
                          <w:szCs w:val="24"/>
                        </w:rPr>
                        <w:t xml:space="preserve">The </w:t>
                      </w:r>
                      <w:r>
                        <w:rPr>
                          <w:rFonts w:eastAsia="Calibri"/>
                          <w:sz w:val="24"/>
                          <w:szCs w:val="24"/>
                        </w:rPr>
                        <w:t xml:space="preserve">process for introducing or strengthening GEMS requirements consists of </w:t>
                      </w:r>
                      <w:r w:rsidRPr="00A74619">
                        <w:rPr>
                          <w:rFonts w:eastAsia="Calibri"/>
                          <w:sz w:val="24"/>
                          <w:szCs w:val="24"/>
                        </w:rPr>
                        <w:t xml:space="preserve">formulating a policy proposal, gaining approval and then establishing the requirement by issuing a GEMS determination under the GEMS Act. </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1:</w:t>
                      </w:r>
                      <w:r w:rsidRPr="00A74619">
                        <w:rPr>
                          <w:rFonts w:eastAsia="Calibri"/>
                          <w:sz w:val="24"/>
                          <w:szCs w:val="24"/>
                        </w:rPr>
                        <w:t xml:space="preserve"> Identify and define the product class</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2:</w:t>
                      </w:r>
                      <w:r w:rsidRPr="00A74619">
                        <w:rPr>
                          <w:rFonts w:eastAsia="Calibri"/>
                          <w:sz w:val="24"/>
                          <w:szCs w:val="24"/>
                        </w:rPr>
                        <w:t xml:space="preserve"> Undertake technical, economic and market analysis</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3:</w:t>
                      </w:r>
                      <w:r w:rsidRPr="00A74619">
                        <w:rPr>
                          <w:rFonts w:eastAsia="Calibri"/>
                          <w:sz w:val="24"/>
                          <w:szCs w:val="24"/>
                        </w:rPr>
                        <w:t xml:space="preserve"> Develop a consultation Regulation Impact Statement</w:t>
                      </w:r>
                    </w:p>
                    <w:p w:rsidR="00E12B40" w:rsidRPr="00A74619" w:rsidRDefault="00E12B40" w:rsidP="009A3738">
                      <w:pPr>
                        <w:numPr>
                          <w:ilvl w:val="0"/>
                          <w:numId w:val="3"/>
                        </w:numPr>
                        <w:suppressAutoHyphens/>
                        <w:spacing w:after="120" w:line="288" w:lineRule="auto"/>
                        <w:ind w:left="993" w:hanging="426"/>
                        <w:rPr>
                          <w:rFonts w:eastAsia="Calibri"/>
                        </w:rPr>
                      </w:pPr>
                      <w:r w:rsidRPr="00A74619">
                        <w:rPr>
                          <w:rFonts w:eastAsia="Calibri"/>
                        </w:rPr>
                        <w:t>Includes approval from EEAT and the Office of Best Practice Regulation (OBPR)</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4:</w:t>
                      </w:r>
                      <w:r w:rsidRPr="00A74619">
                        <w:rPr>
                          <w:rFonts w:eastAsia="Calibri"/>
                          <w:sz w:val="24"/>
                          <w:szCs w:val="24"/>
                        </w:rPr>
                        <w:t xml:space="preserve"> Undertake stakeholder and public consultation</w:t>
                      </w:r>
                    </w:p>
                    <w:p w:rsidR="00E12B40" w:rsidRPr="00A74619" w:rsidRDefault="00E12B40" w:rsidP="00A74619">
                      <w:pPr>
                        <w:suppressAutoHyphens/>
                        <w:spacing w:after="120" w:line="288" w:lineRule="auto"/>
                        <w:ind w:left="142"/>
                        <w:rPr>
                          <w:rFonts w:eastAsia="Calibri"/>
                          <w:sz w:val="24"/>
                          <w:szCs w:val="24"/>
                        </w:rPr>
                      </w:pPr>
                      <w:r w:rsidRPr="00A74619">
                        <w:rPr>
                          <w:rFonts w:eastAsia="Calibri"/>
                          <w:b/>
                          <w:sz w:val="24"/>
                          <w:szCs w:val="24"/>
                        </w:rPr>
                        <w:t>Step 5:</w:t>
                      </w:r>
                      <w:r w:rsidRPr="00A74619">
                        <w:rPr>
                          <w:rFonts w:eastAsia="Calibri"/>
                          <w:sz w:val="24"/>
                          <w:szCs w:val="24"/>
                        </w:rPr>
                        <w:t xml:space="preserve"> Develop a decision Regulation Impact Statement</w:t>
                      </w:r>
                    </w:p>
                    <w:p w:rsidR="00E12B40" w:rsidRPr="00A74619" w:rsidRDefault="00E12B40" w:rsidP="009A3738">
                      <w:pPr>
                        <w:numPr>
                          <w:ilvl w:val="0"/>
                          <w:numId w:val="3"/>
                        </w:numPr>
                        <w:suppressAutoHyphens/>
                        <w:spacing w:after="120" w:line="288" w:lineRule="auto"/>
                        <w:ind w:left="993" w:hanging="426"/>
                        <w:rPr>
                          <w:rFonts w:eastAsia="Calibri"/>
                        </w:rPr>
                      </w:pPr>
                      <w:r w:rsidRPr="00A74619">
                        <w:rPr>
                          <w:rFonts w:eastAsia="Calibri"/>
                        </w:rPr>
                        <w:t>Includes approval from EEAT, OBPR and the COAG Energy Council</w:t>
                      </w:r>
                    </w:p>
                    <w:p w:rsidR="00E12B40" w:rsidRDefault="00E12B40" w:rsidP="00A74619">
                      <w:pPr>
                        <w:suppressAutoHyphens/>
                        <w:spacing w:after="120" w:line="288" w:lineRule="auto"/>
                        <w:ind w:left="142"/>
                        <w:rPr>
                          <w:rFonts w:eastAsia="Calibri"/>
                          <w:sz w:val="24"/>
                          <w:szCs w:val="24"/>
                        </w:rPr>
                      </w:pPr>
                      <w:r w:rsidRPr="00A74619">
                        <w:rPr>
                          <w:rFonts w:eastAsia="Calibri"/>
                          <w:b/>
                          <w:sz w:val="24"/>
                          <w:szCs w:val="24"/>
                        </w:rPr>
                        <w:t xml:space="preserve">Step </w:t>
                      </w:r>
                      <w:r>
                        <w:rPr>
                          <w:rFonts w:eastAsia="Calibri"/>
                          <w:b/>
                          <w:sz w:val="24"/>
                          <w:szCs w:val="24"/>
                        </w:rPr>
                        <w:t>6:</w:t>
                      </w:r>
                      <w:r w:rsidRPr="00A74619">
                        <w:rPr>
                          <w:rFonts w:eastAsia="Calibri"/>
                          <w:sz w:val="24"/>
                          <w:szCs w:val="24"/>
                        </w:rPr>
                        <w:t xml:space="preserve"> Develop a GEMS determination in consultation with stakeholders</w:t>
                      </w:r>
                    </w:p>
                    <w:p w:rsidR="00E12B40" w:rsidRPr="00DE38A4" w:rsidRDefault="00E12B40" w:rsidP="009A3738">
                      <w:pPr>
                        <w:numPr>
                          <w:ilvl w:val="0"/>
                          <w:numId w:val="3"/>
                        </w:numPr>
                        <w:suppressAutoHyphens/>
                        <w:spacing w:after="120" w:line="288" w:lineRule="auto"/>
                        <w:ind w:left="993" w:hanging="426"/>
                        <w:rPr>
                          <w:rFonts w:eastAsia="Calibri"/>
                        </w:rPr>
                      </w:pPr>
                      <w:r w:rsidRPr="00DE38A4">
                        <w:rPr>
                          <w:rFonts w:eastAsia="Calibri"/>
                        </w:rPr>
                        <w:t>Includes approval from EEAT and the Commonwealth Minister</w:t>
                      </w:r>
                    </w:p>
                    <w:p w:rsidR="00E12B40" w:rsidRPr="00DE38A4" w:rsidRDefault="00E12B40" w:rsidP="00E6390C">
                      <w:pPr>
                        <w:suppressAutoHyphens/>
                        <w:spacing w:after="120" w:line="288" w:lineRule="auto"/>
                        <w:ind w:left="142"/>
                        <w:rPr>
                          <w:rFonts w:eastAsia="Calibri"/>
                          <w:sz w:val="24"/>
                          <w:szCs w:val="24"/>
                        </w:rPr>
                      </w:pPr>
                      <w:r w:rsidRPr="00DE38A4">
                        <w:rPr>
                          <w:rFonts w:eastAsia="Calibri"/>
                          <w:b/>
                          <w:sz w:val="24"/>
                          <w:szCs w:val="24"/>
                        </w:rPr>
                        <w:t xml:space="preserve">Step </w:t>
                      </w:r>
                      <w:r>
                        <w:rPr>
                          <w:rFonts w:eastAsia="Calibri"/>
                          <w:b/>
                          <w:sz w:val="24"/>
                          <w:szCs w:val="24"/>
                        </w:rPr>
                        <w:t>7:</w:t>
                      </w:r>
                      <w:r w:rsidRPr="00DE38A4">
                        <w:rPr>
                          <w:rFonts w:eastAsia="Calibri"/>
                          <w:sz w:val="24"/>
                          <w:szCs w:val="24"/>
                        </w:rPr>
                        <w:t xml:space="preserve"> </w:t>
                      </w:r>
                      <w:r>
                        <w:rPr>
                          <w:rFonts w:eastAsia="Calibri"/>
                          <w:sz w:val="24"/>
                          <w:szCs w:val="24"/>
                        </w:rPr>
                        <w:t>Undertake stakeholder consultation</w:t>
                      </w:r>
                    </w:p>
                    <w:p w:rsidR="00E12B40" w:rsidRDefault="00E12B40" w:rsidP="008008CC"/>
                  </w:txbxContent>
                </v:textbox>
                <w10:wrap type="square"/>
              </v:shape>
            </w:pict>
          </mc:Fallback>
        </mc:AlternateContent>
      </w:r>
      <w:r w:rsidR="00DB7566" w:rsidRPr="005622D9">
        <w:rPr>
          <w:rFonts w:eastAsia="Calibri" w:cs="Arial"/>
          <w:color w:val="333333"/>
          <w:sz w:val="24"/>
          <w:szCs w:val="22"/>
        </w:rPr>
        <w:t>To date, no GEMS determinations have been removed.</w:t>
      </w:r>
      <w:r w:rsidR="00DB7566">
        <w:rPr>
          <w:rFonts w:eastAsia="Calibri" w:cs="Arial"/>
          <w:color w:val="333333"/>
          <w:sz w:val="24"/>
          <w:szCs w:val="22"/>
        </w:rPr>
        <w:t xml:space="preserve"> </w:t>
      </w:r>
      <w:r w:rsidR="00DB7566" w:rsidRPr="005622D9">
        <w:rPr>
          <w:rFonts w:eastAsia="Calibri" w:cs="Arial"/>
          <w:color w:val="333333"/>
          <w:sz w:val="24"/>
          <w:szCs w:val="22"/>
        </w:rPr>
        <w:t>The E3 Program undertakes analysis to test the impact that GEMS regulations are having in terms of net benefits, and reducing energy use and emissions.</w:t>
      </w:r>
      <w:r w:rsidR="00DB7566">
        <w:rPr>
          <w:rFonts w:eastAsia="Calibri" w:cs="Arial"/>
          <w:color w:val="333333"/>
          <w:sz w:val="24"/>
          <w:szCs w:val="22"/>
        </w:rPr>
        <w:t xml:space="preserve"> </w:t>
      </w:r>
      <w:r w:rsidR="00DB7566" w:rsidRPr="00B738A5">
        <w:rPr>
          <w:rFonts w:eastAsia="Calibri" w:cs="Arial"/>
          <w:color w:val="333333"/>
          <w:sz w:val="24"/>
          <w:szCs w:val="22"/>
        </w:rPr>
        <w:t>If the</w:t>
      </w:r>
      <w:r w:rsidR="00C6333D" w:rsidRPr="00B738A5">
        <w:rPr>
          <w:rFonts w:eastAsia="Calibri" w:cs="Arial"/>
          <w:color w:val="333333"/>
          <w:sz w:val="24"/>
          <w:szCs w:val="22"/>
        </w:rPr>
        <w:t xml:space="preserve"> costs of regulation were outweighing the benefits, a policy decision could be taken to remove a GEMS determination.</w:t>
      </w:r>
      <w:r w:rsidR="00C6333D">
        <w:rPr>
          <w:rFonts w:eastAsia="Calibri" w:cs="Arial"/>
          <w:color w:val="333333"/>
          <w:sz w:val="24"/>
          <w:szCs w:val="22"/>
        </w:rPr>
        <w:t xml:space="preserve"> </w:t>
      </w:r>
    </w:p>
    <w:p w:rsidR="00B36882" w:rsidRPr="00B36882" w:rsidRDefault="00B36882">
      <w:pPr>
        <w:rPr>
          <w:rFonts w:cs="MyriadPro-Regular"/>
          <w:color w:val="000000"/>
          <w:sz w:val="32"/>
          <w:szCs w:val="28"/>
          <w:lang w:val="en-GB"/>
        </w:rPr>
      </w:pPr>
      <w:r w:rsidRPr="00B36882">
        <w:br w:type="page"/>
      </w:r>
    </w:p>
    <w:p w:rsidR="0057203E" w:rsidRPr="00B36882" w:rsidRDefault="0057203E" w:rsidP="0032529E">
      <w:pPr>
        <w:pStyle w:val="Heading2"/>
      </w:pPr>
      <w:bookmarkStart w:id="56" w:name="_Toc507145459"/>
      <w:proofErr w:type="gramStart"/>
      <w:r w:rsidRPr="00B36882">
        <w:t>4.3  Consultation</w:t>
      </w:r>
      <w:proofErr w:type="gramEnd"/>
      <w:r w:rsidRPr="00B36882">
        <w:t xml:space="preserve"> questions specific to this section</w:t>
      </w:r>
      <w:bookmarkEnd w:id="56"/>
    </w:p>
    <w:p w:rsidR="0057203E" w:rsidRPr="00B36882" w:rsidRDefault="0057203E" w:rsidP="0032529E">
      <w:pPr>
        <w:numPr>
          <w:ilvl w:val="0"/>
          <w:numId w:val="3"/>
        </w:numPr>
        <w:suppressAutoHyphens/>
        <w:spacing w:after="120" w:line="288" w:lineRule="auto"/>
        <w:ind w:left="993" w:hanging="426"/>
        <w:rPr>
          <w:rFonts w:eastAsia="Calibri"/>
          <w:sz w:val="24"/>
          <w:szCs w:val="22"/>
        </w:rPr>
      </w:pPr>
      <w:r w:rsidRPr="00B36882">
        <w:rPr>
          <w:rFonts w:eastAsia="Calibri"/>
          <w:sz w:val="24"/>
          <w:szCs w:val="22"/>
        </w:rPr>
        <w:t>Does the current framework support the appropriate balance of being responsive to innovation and consulting adequately before introducing new or updated regulations</w:t>
      </w:r>
      <w:r w:rsidR="00B513B3" w:rsidRPr="00B36882">
        <w:rPr>
          <w:rFonts w:eastAsia="Calibri"/>
          <w:sz w:val="24"/>
          <w:szCs w:val="22"/>
        </w:rPr>
        <w:t>?</w:t>
      </w:r>
    </w:p>
    <w:p w:rsidR="0057203E" w:rsidRPr="00B36882" w:rsidRDefault="0057203E" w:rsidP="0032529E">
      <w:pPr>
        <w:numPr>
          <w:ilvl w:val="0"/>
          <w:numId w:val="3"/>
        </w:numPr>
        <w:suppressAutoHyphens/>
        <w:spacing w:after="120" w:line="288" w:lineRule="auto"/>
        <w:ind w:left="993" w:hanging="426"/>
        <w:rPr>
          <w:rFonts w:eastAsia="Calibri"/>
          <w:sz w:val="24"/>
          <w:szCs w:val="22"/>
        </w:rPr>
      </w:pPr>
      <w:r w:rsidRPr="00B36882">
        <w:rPr>
          <w:rFonts w:eastAsia="Calibri"/>
          <w:sz w:val="24"/>
          <w:szCs w:val="22"/>
        </w:rPr>
        <w:t xml:space="preserve">Is the GEMS determinations process adequate in terms of the consultation process and the timeline? </w:t>
      </w:r>
    </w:p>
    <w:p w:rsidR="0007134E" w:rsidRPr="00B36882" w:rsidRDefault="0007134E" w:rsidP="0032529E">
      <w:pPr>
        <w:numPr>
          <w:ilvl w:val="0"/>
          <w:numId w:val="3"/>
        </w:numPr>
        <w:suppressAutoHyphens/>
        <w:spacing w:after="120" w:line="288" w:lineRule="auto"/>
        <w:ind w:left="993" w:hanging="426"/>
        <w:rPr>
          <w:rFonts w:eastAsia="Calibri"/>
          <w:sz w:val="24"/>
          <w:szCs w:val="22"/>
        </w:rPr>
      </w:pPr>
      <w:r w:rsidRPr="00B36882">
        <w:rPr>
          <w:rFonts w:eastAsia="Calibri"/>
          <w:sz w:val="24"/>
          <w:szCs w:val="22"/>
        </w:rPr>
        <w:t>What issues would need to be taken into account in considering a decision to remove a GEMS determination?</w:t>
      </w:r>
    </w:p>
    <w:p w:rsidR="0057203E" w:rsidRDefault="0057203E">
      <w:pPr>
        <w:rPr>
          <w:rFonts w:eastAsia="Calibri" w:cs="Arial"/>
          <w:color w:val="333333"/>
          <w:sz w:val="24"/>
          <w:szCs w:val="22"/>
        </w:rPr>
      </w:pPr>
    </w:p>
    <w:p w:rsidR="00B738A5" w:rsidRDefault="00B738A5">
      <w:pPr>
        <w:rPr>
          <w:rFonts w:eastAsia="Calibri" w:cs="Arial"/>
          <w:color w:val="333333"/>
          <w:sz w:val="24"/>
          <w:szCs w:val="22"/>
          <w:lang w:val="en-US"/>
        </w:rPr>
      </w:pPr>
      <w:r>
        <w:rPr>
          <w:rFonts w:eastAsia="Calibri" w:cs="Arial"/>
          <w:color w:val="333333"/>
          <w:sz w:val="24"/>
          <w:szCs w:val="22"/>
        </w:rPr>
        <w:br w:type="page"/>
      </w:r>
    </w:p>
    <w:p w:rsidR="00ED2CF5" w:rsidRDefault="00707A0D">
      <w:pPr>
        <w:pStyle w:val="Heading1"/>
      </w:pPr>
      <w:bookmarkStart w:id="57" w:name="_Toc501610437"/>
      <w:bookmarkStart w:id="58" w:name="_Toc507145460"/>
      <w:r>
        <w:t>5</w:t>
      </w:r>
      <w:r w:rsidR="00FC17F9">
        <w:t>. Registration</w:t>
      </w:r>
      <w:bookmarkEnd w:id="57"/>
      <w:bookmarkEnd w:id="58"/>
    </w:p>
    <w:p w:rsidR="00807E4C" w:rsidRDefault="00807E4C" w:rsidP="00807E4C">
      <w:pPr>
        <w:suppressAutoHyphens/>
        <w:spacing w:after="200" w:line="288" w:lineRule="auto"/>
        <w:rPr>
          <w:rFonts w:eastAsia="Calibri" w:cs="Arial"/>
          <w:color w:val="333333"/>
          <w:sz w:val="24"/>
          <w:szCs w:val="22"/>
        </w:rPr>
      </w:pPr>
      <w:r w:rsidRPr="00961E5D">
        <w:rPr>
          <w:rFonts w:eastAsia="Calibri" w:cs="Arial"/>
          <w:color w:val="333333"/>
          <w:sz w:val="24"/>
          <w:szCs w:val="22"/>
        </w:rPr>
        <w:t xml:space="preserve">A product regulated under the GEMS Act must be </w:t>
      </w:r>
      <w:r w:rsidRPr="00961E5D">
        <w:rPr>
          <w:rFonts w:eastAsia="Calibri" w:cs="Arial"/>
          <w:sz w:val="24"/>
          <w:szCs w:val="22"/>
          <w:bdr w:val="none" w:sz="0" w:space="0" w:color="auto" w:frame="1"/>
        </w:rPr>
        <w:t>registered</w:t>
      </w:r>
      <w:r w:rsidRPr="00961E5D">
        <w:rPr>
          <w:rFonts w:eastAsia="Calibri" w:cs="Arial"/>
          <w:color w:val="333333"/>
          <w:sz w:val="24"/>
          <w:szCs w:val="22"/>
        </w:rPr>
        <w:t> before it can be offered for supply</w:t>
      </w:r>
      <w:r>
        <w:rPr>
          <w:rFonts w:eastAsia="Calibri" w:cs="Arial"/>
          <w:color w:val="333333"/>
          <w:sz w:val="24"/>
          <w:szCs w:val="22"/>
        </w:rPr>
        <w:t xml:space="preserve"> or used for a commercial purpose</w:t>
      </w:r>
      <w:r>
        <w:rPr>
          <w:rStyle w:val="FootnoteReference"/>
          <w:rFonts w:eastAsia="Calibri" w:cs="Arial"/>
          <w:color w:val="333333"/>
          <w:sz w:val="24"/>
          <w:szCs w:val="22"/>
        </w:rPr>
        <w:footnoteReference w:id="7"/>
      </w:r>
      <w:r w:rsidRPr="00961E5D">
        <w:rPr>
          <w:rFonts w:eastAsia="Calibri" w:cs="Arial"/>
          <w:color w:val="333333"/>
          <w:sz w:val="24"/>
          <w:szCs w:val="22"/>
        </w:rPr>
        <w:t>. It is the responsibility of manufacturers</w:t>
      </w:r>
      <w:r>
        <w:rPr>
          <w:rFonts w:eastAsia="Calibri" w:cs="Arial"/>
          <w:color w:val="333333"/>
          <w:sz w:val="24"/>
          <w:szCs w:val="22"/>
        </w:rPr>
        <w:t>,</w:t>
      </w:r>
      <w:r w:rsidRPr="00961E5D">
        <w:rPr>
          <w:rFonts w:eastAsia="Calibri" w:cs="Arial"/>
          <w:color w:val="333333"/>
          <w:sz w:val="24"/>
          <w:szCs w:val="22"/>
        </w:rPr>
        <w:t xml:space="preserve"> suppliers</w:t>
      </w:r>
      <w:r>
        <w:rPr>
          <w:rFonts w:eastAsia="Calibri" w:cs="Arial"/>
          <w:color w:val="333333"/>
          <w:sz w:val="24"/>
          <w:szCs w:val="22"/>
        </w:rPr>
        <w:t>, and commercial users</w:t>
      </w:r>
      <w:r w:rsidRPr="00961E5D">
        <w:rPr>
          <w:rFonts w:eastAsia="Calibri" w:cs="Arial"/>
          <w:color w:val="333333"/>
          <w:sz w:val="24"/>
          <w:szCs w:val="22"/>
        </w:rPr>
        <w:t xml:space="preserve"> to find out what the regulatory requirements are for their products and to ensure they are </w:t>
      </w:r>
      <w:r>
        <w:rPr>
          <w:rFonts w:eastAsia="Calibri" w:cs="Arial"/>
          <w:color w:val="333333"/>
          <w:sz w:val="24"/>
          <w:szCs w:val="22"/>
        </w:rPr>
        <w:t>operating in accordance to</w:t>
      </w:r>
      <w:r w:rsidRPr="00961E5D">
        <w:rPr>
          <w:rFonts w:eastAsia="Calibri" w:cs="Arial"/>
          <w:color w:val="333333"/>
          <w:sz w:val="24"/>
          <w:szCs w:val="22"/>
        </w:rPr>
        <w:t xml:space="preserve"> </w:t>
      </w:r>
      <w:r>
        <w:rPr>
          <w:rFonts w:eastAsia="Calibri" w:cs="Arial"/>
          <w:color w:val="333333"/>
          <w:sz w:val="24"/>
          <w:szCs w:val="22"/>
        </w:rPr>
        <w:t>those requirements</w:t>
      </w:r>
      <w:r w:rsidRPr="00961E5D">
        <w:rPr>
          <w:rFonts w:eastAsia="Calibri" w:cs="Arial"/>
          <w:color w:val="333333"/>
          <w:sz w:val="24"/>
          <w:szCs w:val="22"/>
        </w:rPr>
        <w:t>.</w:t>
      </w:r>
      <w:r>
        <w:rPr>
          <w:rFonts w:eastAsia="Calibri" w:cs="Arial"/>
          <w:color w:val="333333"/>
          <w:sz w:val="24"/>
          <w:szCs w:val="22"/>
        </w:rPr>
        <w:t xml:space="preserve"> </w:t>
      </w:r>
      <w:r w:rsidRPr="00F962E4">
        <w:rPr>
          <w:rFonts w:eastAsia="Calibri" w:cs="Arial"/>
          <w:color w:val="333333"/>
          <w:sz w:val="24"/>
          <w:szCs w:val="22"/>
        </w:rPr>
        <w:t>Specific requirements for regulated products can be found in the relevant GEMS determination.</w:t>
      </w:r>
    </w:p>
    <w:p w:rsidR="00E1619A" w:rsidRDefault="00807E4C" w:rsidP="00807E4C">
      <w:pPr>
        <w:suppressAutoHyphens/>
        <w:spacing w:after="200" w:line="288" w:lineRule="auto"/>
        <w:rPr>
          <w:rFonts w:eastAsia="Calibri" w:cs="Arial"/>
          <w:color w:val="333333"/>
          <w:sz w:val="24"/>
          <w:szCs w:val="22"/>
        </w:rPr>
      </w:pPr>
      <w:r w:rsidRPr="001045AB">
        <w:rPr>
          <w:rFonts w:eastAsia="Calibri" w:cs="Arial"/>
          <w:color w:val="333333"/>
          <w:sz w:val="24"/>
          <w:szCs w:val="22"/>
        </w:rPr>
        <w:t xml:space="preserve">Registrants </w:t>
      </w:r>
      <w:r w:rsidRPr="00F962E4">
        <w:rPr>
          <w:rFonts w:eastAsia="Calibri" w:cs="Arial"/>
          <w:color w:val="333333"/>
          <w:sz w:val="24"/>
          <w:szCs w:val="22"/>
        </w:rPr>
        <w:t>can be a manufacturer, importer, or another organisation with an appropriate connection to the supply of the product</w:t>
      </w:r>
      <w:r>
        <w:rPr>
          <w:rFonts w:eastAsia="Calibri" w:cs="Arial"/>
          <w:color w:val="333333"/>
          <w:sz w:val="24"/>
          <w:szCs w:val="22"/>
        </w:rPr>
        <w:t xml:space="preserve"> in Australia</w:t>
      </w:r>
      <w:r w:rsidRPr="00F962E4">
        <w:rPr>
          <w:rFonts w:eastAsia="Calibri" w:cs="Arial"/>
          <w:color w:val="333333"/>
          <w:sz w:val="24"/>
          <w:szCs w:val="22"/>
        </w:rPr>
        <w:t>. An appropriate connection to supply could include, but is not limited</w:t>
      </w:r>
      <w:r>
        <w:rPr>
          <w:rFonts w:eastAsia="Calibri" w:cs="Arial"/>
          <w:color w:val="333333"/>
          <w:sz w:val="24"/>
          <w:szCs w:val="22"/>
        </w:rPr>
        <w:t xml:space="preserve"> to, a wholesaler or retailer. In the case of manufacturers, the registrant may be an offshore company. </w:t>
      </w:r>
    </w:p>
    <w:p w:rsidR="00807E4C" w:rsidRDefault="00807E4C" w:rsidP="00807E4C">
      <w:pPr>
        <w:suppressAutoHyphens/>
        <w:spacing w:after="200" w:line="288" w:lineRule="auto"/>
        <w:rPr>
          <w:rFonts w:eastAsia="Calibri" w:cs="Arial"/>
          <w:color w:val="333333"/>
          <w:sz w:val="24"/>
          <w:szCs w:val="22"/>
        </w:rPr>
      </w:pPr>
      <w:r w:rsidRPr="00F962E4">
        <w:rPr>
          <w:rFonts w:eastAsia="Calibri" w:cs="Arial"/>
          <w:color w:val="333333"/>
          <w:sz w:val="24"/>
          <w:szCs w:val="22"/>
        </w:rPr>
        <w:t xml:space="preserve">Registrants </w:t>
      </w:r>
      <w:r>
        <w:rPr>
          <w:rFonts w:eastAsia="Calibri" w:cs="Arial"/>
          <w:color w:val="333333"/>
          <w:sz w:val="24"/>
          <w:szCs w:val="22"/>
        </w:rPr>
        <w:t xml:space="preserve">may be required </w:t>
      </w:r>
      <w:r w:rsidRPr="00F962E4">
        <w:rPr>
          <w:rFonts w:eastAsia="Calibri" w:cs="Arial"/>
          <w:color w:val="333333"/>
          <w:sz w:val="24"/>
          <w:szCs w:val="22"/>
        </w:rPr>
        <w:t xml:space="preserve">to </w:t>
      </w:r>
      <w:r w:rsidRPr="000678E4">
        <w:rPr>
          <w:rFonts w:eastAsia="Calibri" w:cs="Arial"/>
          <w:color w:val="333333"/>
          <w:sz w:val="24"/>
          <w:szCs w:val="22"/>
        </w:rPr>
        <w:t>provide a full laboratory test report</w:t>
      </w:r>
      <w:r>
        <w:rPr>
          <w:rFonts w:eastAsia="Calibri" w:cs="Arial"/>
          <w:color w:val="333333"/>
          <w:sz w:val="24"/>
          <w:szCs w:val="22"/>
        </w:rPr>
        <w:t xml:space="preserve"> as part of the</w:t>
      </w:r>
      <w:r w:rsidRPr="000678E4">
        <w:rPr>
          <w:rFonts w:eastAsia="Calibri" w:cs="Arial"/>
          <w:color w:val="333333"/>
          <w:sz w:val="24"/>
          <w:szCs w:val="22"/>
        </w:rPr>
        <w:t xml:space="preserve"> </w:t>
      </w:r>
      <w:r w:rsidRPr="007D6DA8">
        <w:rPr>
          <w:rFonts w:eastAsia="Calibri" w:cs="Arial"/>
          <w:color w:val="333333"/>
          <w:sz w:val="24"/>
          <w:szCs w:val="22"/>
        </w:rPr>
        <w:t>registration</w:t>
      </w:r>
      <w:r w:rsidRPr="0078496A">
        <w:rPr>
          <w:rFonts w:eastAsia="Calibri" w:cs="Arial"/>
          <w:color w:val="333333"/>
          <w:sz w:val="24"/>
          <w:szCs w:val="22"/>
        </w:rPr>
        <w:t xml:space="preserve"> </w:t>
      </w:r>
      <w:r w:rsidRPr="0074054B">
        <w:rPr>
          <w:rFonts w:eastAsia="Calibri" w:cs="Arial"/>
          <w:color w:val="333333"/>
          <w:sz w:val="24"/>
          <w:szCs w:val="22"/>
        </w:rPr>
        <w:t>application</w:t>
      </w:r>
      <w:r>
        <w:rPr>
          <w:rFonts w:eastAsia="Calibri" w:cs="Arial"/>
          <w:color w:val="333333"/>
          <w:sz w:val="24"/>
          <w:szCs w:val="22"/>
        </w:rPr>
        <w:t xml:space="preserve">, demonstrating that </w:t>
      </w:r>
      <w:r w:rsidRPr="0078496A">
        <w:rPr>
          <w:rFonts w:eastAsia="Calibri" w:cs="Arial"/>
          <w:color w:val="333333"/>
          <w:sz w:val="24"/>
          <w:szCs w:val="22"/>
        </w:rPr>
        <w:t xml:space="preserve">the product </w:t>
      </w:r>
      <w:r>
        <w:rPr>
          <w:rFonts w:eastAsia="Calibri" w:cs="Arial"/>
          <w:color w:val="333333"/>
          <w:sz w:val="24"/>
          <w:szCs w:val="22"/>
        </w:rPr>
        <w:t>meets</w:t>
      </w:r>
      <w:r w:rsidRPr="0078496A">
        <w:rPr>
          <w:rFonts w:eastAsia="Calibri" w:cs="Arial"/>
          <w:color w:val="333333"/>
          <w:sz w:val="24"/>
          <w:szCs w:val="22"/>
        </w:rPr>
        <w:t xml:space="preserve"> the</w:t>
      </w:r>
      <w:r>
        <w:rPr>
          <w:rFonts w:eastAsia="Calibri" w:cs="Arial"/>
          <w:color w:val="333333"/>
          <w:sz w:val="24"/>
          <w:szCs w:val="22"/>
        </w:rPr>
        <w:t xml:space="preserve"> regulatory </w:t>
      </w:r>
      <w:r w:rsidRPr="001045AB">
        <w:rPr>
          <w:rFonts w:eastAsia="Calibri" w:cs="Arial"/>
          <w:color w:val="333333"/>
          <w:sz w:val="24"/>
          <w:szCs w:val="22"/>
        </w:rPr>
        <w:t>requirements</w:t>
      </w:r>
      <w:r w:rsidRPr="00F962E4">
        <w:rPr>
          <w:rFonts w:eastAsia="Calibri" w:cs="Arial"/>
          <w:color w:val="333333"/>
          <w:sz w:val="24"/>
          <w:szCs w:val="22"/>
        </w:rPr>
        <w:t xml:space="preserve"> in accordance with the test methods outlined in the relevant GEMS </w:t>
      </w:r>
      <w:r w:rsidR="00975A7B">
        <w:rPr>
          <w:rFonts w:eastAsia="Calibri" w:cs="Arial"/>
          <w:color w:val="333333"/>
          <w:sz w:val="24"/>
          <w:szCs w:val="22"/>
        </w:rPr>
        <w:t>d</w:t>
      </w:r>
      <w:r w:rsidRPr="00F962E4">
        <w:rPr>
          <w:rFonts w:eastAsia="Calibri" w:cs="Arial"/>
          <w:color w:val="333333"/>
          <w:sz w:val="24"/>
          <w:szCs w:val="22"/>
        </w:rPr>
        <w:t>etermination</w:t>
      </w:r>
      <w:r>
        <w:rPr>
          <w:rFonts w:eastAsia="Calibri" w:cs="Arial"/>
          <w:color w:val="333333"/>
          <w:sz w:val="24"/>
          <w:szCs w:val="22"/>
        </w:rPr>
        <w:t xml:space="preserve"> and relevant </w:t>
      </w:r>
      <w:r w:rsidRPr="00F962E4">
        <w:rPr>
          <w:rFonts w:eastAsia="Calibri" w:cs="Arial"/>
          <w:color w:val="333333"/>
          <w:sz w:val="24"/>
          <w:szCs w:val="22"/>
        </w:rPr>
        <w:t>Australian/International Standards</w:t>
      </w:r>
      <w:r w:rsidR="00B22DD9">
        <w:rPr>
          <w:rFonts w:eastAsia="Calibri" w:cs="Arial"/>
          <w:color w:val="333333"/>
          <w:sz w:val="24"/>
          <w:szCs w:val="22"/>
        </w:rPr>
        <w:t xml:space="preserve"> referred to in the </w:t>
      </w:r>
      <w:r w:rsidR="00975A7B">
        <w:rPr>
          <w:rFonts w:eastAsia="Calibri" w:cs="Arial"/>
          <w:color w:val="333333"/>
          <w:sz w:val="24"/>
          <w:szCs w:val="22"/>
        </w:rPr>
        <w:t>d</w:t>
      </w:r>
      <w:r w:rsidR="00B22DD9">
        <w:rPr>
          <w:rFonts w:eastAsia="Calibri" w:cs="Arial"/>
          <w:color w:val="333333"/>
          <w:sz w:val="24"/>
          <w:szCs w:val="22"/>
        </w:rPr>
        <w:t>etermination</w:t>
      </w:r>
      <w:r w:rsidRPr="00F962E4">
        <w:rPr>
          <w:rFonts w:eastAsia="Calibri" w:cs="Arial"/>
          <w:color w:val="333333"/>
          <w:sz w:val="24"/>
          <w:szCs w:val="22"/>
        </w:rPr>
        <w:t xml:space="preserve">. </w:t>
      </w:r>
    </w:p>
    <w:p w:rsidR="00B22DD9" w:rsidRPr="00F962E4" w:rsidRDefault="00B22DD9" w:rsidP="00807E4C">
      <w:pPr>
        <w:suppressAutoHyphens/>
        <w:spacing w:after="200" w:line="288" w:lineRule="auto"/>
        <w:rPr>
          <w:rFonts w:eastAsia="Calibri" w:cs="Arial"/>
          <w:color w:val="333333"/>
          <w:sz w:val="24"/>
          <w:szCs w:val="22"/>
        </w:rPr>
      </w:pPr>
      <w:r>
        <w:rPr>
          <w:rFonts w:eastAsia="Calibri" w:cs="Arial"/>
          <w:color w:val="333333"/>
          <w:sz w:val="24"/>
          <w:szCs w:val="22"/>
        </w:rPr>
        <w:t xml:space="preserve">A product’s registration may be for a single product or a product family as specified under the relevant GEMS </w:t>
      </w:r>
      <w:r w:rsidR="00975A7B">
        <w:rPr>
          <w:rFonts w:eastAsia="Calibri" w:cs="Arial"/>
          <w:color w:val="333333"/>
          <w:sz w:val="24"/>
          <w:szCs w:val="22"/>
        </w:rPr>
        <w:t>d</w:t>
      </w:r>
      <w:r>
        <w:rPr>
          <w:rFonts w:eastAsia="Calibri" w:cs="Arial"/>
          <w:color w:val="333333"/>
          <w:sz w:val="24"/>
          <w:szCs w:val="22"/>
        </w:rPr>
        <w:t xml:space="preserve">etermination. </w:t>
      </w:r>
    </w:p>
    <w:p w:rsidR="00B73DEB" w:rsidRDefault="00354426" w:rsidP="00F962E4">
      <w:pPr>
        <w:suppressAutoHyphens/>
        <w:spacing w:after="200" w:line="288" w:lineRule="auto"/>
        <w:rPr>
          <w:rFonts w:eastAsia="Calibri" w:cs="Arial"/>
          <w:color w:val="333333"/>
          <w:sz w:val="24"/>
          <w:szCs w:val="22"/>
        </w:rPr>
      </w:pPr>
      <w:r>
        <w:rPr>
          <w:rFonts w:eastAsia="Calibri" w:cs="Arial"/>
          <w:color w:val="333333"/>
          <w:sz w:val="24"/>
          <w:szCs w:val="22"/>
        </w:rPr>
        <w:t>A</w:t>
      </w:r>
      <w:r w:rsidR="00B73DEB" w:rsidRPr="00F962E4">
        <w:rPr>
          <w:rFonts w:eastAsia="Calibri" w:cs="Arial"/>
          <w:color w:val="333333"/>
          <w:sz w:val="24"/>
          <w:szCs w:val="22"/>
        </w:rPr>
        <w:t xml:space="preserve"> product</w:t>
      </w:r>
      <w:r w:rsidR="00F962E4">
        <w:rPr>
          <w:rFonts w:eastAsia="Calibri" w:cs="Arial"/>
          <w:color w:val="333333"/>
          <w:sz w:val="24"/>
          <w:szCs w:val="22"/>
        </w:rPr>
        <w:t>’</w:t>
      </w:r>
      <w:r w:rsidR="00B73DEB" w:rsidRPr="00F962E4">
        <w:rPr>
          <w:rFonts w:eastAsia="Calibri" w:cs="Arial"/>
          <w:color w:val="333333"/>
          <w:sz w:val="24"/>
          <w:szCs w:val="22"/>
        </w:rPr>
        <w:t xml:space="preserve">s registration remains valid for five years from the date on which it was approved, as long as it continues to meet the requirements specified in the relevant </w:t>
      </w:r>
      <w:r w:rsidR="00975A7B">
        <w:rPr>
          <w:rFonts w:eastAsia="Calibri" w:cs="Arial"/>
          <w:color w:val="333333"/>
          <w:sz w:val="24"/>
          <w:szCs w:val="22"/>
        </w:rPr>
        <w:t>d</w:t>
      </w:r>
      <w:r w:rsidR="00B73DEB" w:rsidRPr="00F962E4">
        <w:rPr>
          <w:rFonts w:eastAsia="Calibri" w:cs="Arial"/>
          <w:color w:val="333333"/>
          <w:sz w:val="24"/>
          <w:szCs w:val="22"/>
        </w:rPr>
        <w:t xml:space="preserve">etermination. </w:t>
      </w:r>
    </w:p>
    <w:p w:rsidR="00354426" w:rsidRPr="00961E5D" w:rsidRDefault="00354426" w:rsidP="00F962E4">
      <w:pPr>
        <w:suppressAutoHyphens/>
        <w:spacing w:after="200" w:line="288" w:lineRule="auto"/>
        <w:rPr>
          <w:rFonts w:eastAsia="Calibri" w:cs="Arial"/>
          <w:color w:val="333333"/>
          <w:sz w:val="24"/>
          <w:szCs w:val="22"/>
        </w:rPr>
      </w:pPr>
      <w:r w:rsidRPr="00354426">
        <w:rPr>
          <w:rFonts w:eastAsia="Calibri" w:cs="Arial"/>
          <w:color w:val="333333"/>
          <w:sz w:val="24"/>
          <w:szCs w:val="22"/>
        </w:rPr>
        <w:t>The GEMS Registration Database</w:t>
      </w:r>
      <w:r w:rsidR="00B46021">
        <w:rPr>
          <w:rFonts w:eastAsia="Calibri" w:cs="Arial"/>
          <w:color w:val="333333"/>
          <w:sz w:val="24"/>
          <w:szCs w:val="22"/>
        </w:rPr>
        <w:t>, which lists all products that are registered,</w:t>
      </w:r>
      <w:r w:rsidRPr="00354426">
        <w:rPr>
          <w:rFonts w:eastAsia="Calibri" w:cs="Arial"/>
          <w:color w:val="333333"/>
          <w:sz w:val="24"/>
          <w:szCs w:val="22"/>
        </w:rPr>
        <w:t xml:space="preserve"> is available at </w:t>
      </w:r>
      <w:hyperlink r:id="rId23" w:history="1">
        <w:r w:rsidRPr="00354426">
          <w:rPr>
            <w:rStyle w:val="Hyperlink"/>
            <w:rFonts w:eastAsia="Calibri" w:cs="Arial"/>
            <w:sz w:val="24"/>
            <w:szCs w:val="22"/>
          </w:rPr>
          <w:t>http://reg.energyrating.gov.au/comparator/product_types/</w:t>
        </w:r>
      </w:hyperlink>
      <w:r>
        <w:rPr>
          <w:rFonts w:eastAsia="Calibri" w:cs="Arial"/>
          <w:color w:val="333333"/>
          <w:sz w:val="24"/>
          <w:szCs w:val="22"/>
        </w:rPr>
        <w:t>.</w:t>
      </w:r>
    </w:p>
    <w:p w:rsidR="00964FE7" w:rsidRPr="00964FE7" w:rsidRDefault="001232A3" w:rsidP="00964FE7">
      <w:pPr>
        <w:pStyle w:val="Heading2"/>
      </w:pPr>
      <w:bookmarkStart w:id="59" w:name="_Toc507145461"/>
      <w:proofErr w:type="gramStart"/>
      <w:r>
        <w:t>5</w:t>
      </w:r>
      <w:r w:rsidR="00961E5D" w:rsidRPr="00961E5D">
        <w:t xml:space="preserve">.1 </w:t>
      </w:r>
      <w:r w:rsidR="000F032B">
        <w:t xml:space="preserve"> </w:t>
      </w:r>
      <w:r w:rsidR="00961E5D" w:rsidRPr="00961E5D">
        <w:t>Summary</w:t>
      </w:r>
      <w:proofErr w:type="gramEnd"/>
      <w:r w:rsidR="00961E5D" w:rsidRPr="00961E5D">
        <w:t xml:space="preserve"> of key parts of the GEMS Act relating to registration</w:t>
      </w:r>
      <w:bookmarkEnd w:id="59"/>
    </w:p>
    <w:p w:rsidR="00961E5D" w:rsidRPr="00961E5D" w:rsidRDefault="005E183D" w:rsidP="009A3738">
      <w:pPr>
        <w:numPr>
          <w:ilvl w:val="0"/>
          <w:numId w:val="6"/>
        </w:numPr>
        <w:suppressAutoHyphens/>
        <w:spacing w:after="120" w:line="288" w:lineRule="auto"/>
        <w:ind w:left="993" w:hanging="426"/>
        <w:rPr>
          <w:rFonts w:eastAsia="Calibri"/>
          <w:i/>
          <w:sz w:val="24"/>
          <w:szCs w:val="22"/>
        </w:rPr>
      </w:pPr>
      <w:r>
        <w:rPr>
          <w:rFonts w:eastAsia="Calibri"/>
          <w:i/>
          <w:sz w:val="24"/>
          <w:szCs w:val="22"/>
        </w:rPr>
        <w:t xml:space="preserve">Section </w:t>
      </w:r>
      <w:r w:rsidR="00961E5D" w:rsidRPr="00961E5D">
        <w:rPr>
          <w:rFonts w:eastAsia="Calibri"/>
          <w:i/>
          <w:sz w:val="24"/>
          <w:szCs w:val="22"/>
        </w:rPr>
        <w:t xml:space="preserve">38 – Part 5 of the GEMS Act </w:t>
      </w:r>
      <w:r w:rsidR="0078496A">
        <w:rPr>
          <w:rFonts w:eastAsia="Calibri"/>
          <w:i/>
          <w:sz w:val="24"/>
          <w:szCs w:val="22"/>
        </w:rPr>
        <w:t>relates to</w:t>
      </w:r>
      <w:r w:rsidR="00961E5D" w:rsidRPr="00961E5D">
        <w:rPr>
          <w:rFonts w:eastAsia="Calibri"/>
          <w:i/>
          <w:sz w:val="24"/>
          <w:szCs w:val="22"/>
        </w:rPr>
        <w:t xml:space="preserve"> registering models of GEMS products on the GEMS Register against GEMS determinations.</w:t>
      </w:r>
    </w:p>
    <w:p w:rsidR="00961E5D" w:rsidRPr="00961E5D" w:rsidRDefault="00961E5D" w:rsidP="009A3738">
      <w:pPr>
        <w:numPr>
          <w:ilvl w:val="0"/>
          <w:numId w:val="6"/>
        </w:numPr>
        <w:suppressAutoHyphens/>
        <w:spacing w:after="120" w:line="288" w:lineRule="auto"/>
        <w:ind w:left="993" w:hanging="426"/>
        <w:rPr>
          <w:rFonts w:eastAsia="Calibri"/>
          <w:i/>
          <w:sz w:val="24"/>
          <w:szCs w:val="22"/>
        </w:rPr>
      </w:pPr>
      <w:r w:rsidRPr="00961E5D">
        <w:rPr>
          <w:rFonts w:eastAsia="Calibri"/>
          <w:i/>
          <w:sz w:val="24"/>
          <w:szCs w:val="22"/>
        </w:rPr>
        <w:t>Division 2 establishes the GEMS Register and sets out what information is to be contained in the register.</w:t>
      </w:r>
    </w:p>
    <w:p w:rsidR="00961E5D" w:rsidRPr="00961E5D" w:rsidRDefault="00961E5D" w:rsidP="009A3738">
      <w:pPr>
        <w:numPr>
          <w:ilvl w:val="0"/>
          <w:numId w:val="6"/>
        </w:numPr>
        <w:suppressAutoHyphens/>
        <w:spacing w:after="120" w:line="288" w:lineRule="auto"/>
        <w:ind w:left="993" w:hanging="426"/>
        <w:rPr>
          <w:rFonts w:eastAsia="Calibri"/>
          <w:i/>
          <w:sz w:val="24"/>
          <w:szCs w:val="22"/>
        </w:rPr>
      </w:pPr>
      <w:r w:rsidRPr="00961E5D">
        <w:rPr>
          <w:rFonts w:eastAsia="Calibri"/>
          <w:i/>
          <w:sz w:val="24"/>
          <w:szCs w:val="22"/>
        </w:rPr>
        <w:t xml:space="preserve">Division 3 </w:t>
      </w:r>
      <w:r w:rsidR="005E183D" w:rsidRPr="00F962E4">
        <w:rPr>
          <w:rFonts w:eastAsia="Calibri"/>
          <w:i/>
          <w:sz w:val="24"/>
          <w:szCs w:val="22"/>
        </w:rPr>
        <w:t>determines</w:t>
      </w:r>
      <w:r w:rsidRPr="007A5F7B">
        <w:rPr>
          <w:rFonts w:eastAsia="Calibri"/>
          <w:i/>
          <w:sz w:val="24"/>
          <w:szCs w:val="22"/>
        </w:rPr>
        <w:t xml:space="preserve"> how models </w:t>
      </w:r>
      <w:r w:rsidRPr="00961E5D">
        <w:rPr>
          <w:rFonts w:eastAsia="Calibri"/>
          <w:i/>
          <w:sz w:val="24"/>
          <w:szCs w:val="22"/>
        </w:rPr>
        <w:t>of GEMS products are registered</w:t>
      </w:r>
      <w:r w:rsidR="004D71E5">
        <w:rPr>
          <w:rFonts w:eastAsia="Calibri"/>
          <w:i/>
          <w:sz w:val="24"/>
          <w:szCs w:val="22"/>
        </w:rPr>
        <w:t>, and allows for registration of families of models</w:t>
      </w:r>
      <w:r w:rsidRPr="00961E5D">
        <w:rPr>
          <w:rFonts w:eastAsia="Calibri"/>
          <w:i/>
          <w:sz w:val="24"/>
          <w:szCs w:val="22"/>
        </w:rPr>
        <w:t>. A manufacturer or importer of a model of a product in Australia, or someone else connected to the supply of the model in Australia, may apply for registration. To be registered against a GEMS determination, the model must comply with the requirements of the determination.</w:t>
      </w:r>
    </w:p>
    <w:p w:rsidR="00961E5D" w:rsidRPr="00961E5D" w:rsidRDefault="00961E5D" w:rsidP="009A3738">
      <w:pPr>
        <w:numPr>
          <w:ilvl w:val="0"/>
          <w:numId w:val="6"/>
        </w:numPr>
        <w:suppressAutoHyphens/>
        <w:spacing w:after="120" w:line="288" w:lineRule="auto"/>
        <w:ind w:left="993" w:hanging="426"/>
        <w:rPr>
          <w:rFonts w:eastAsia="Calibri"/>
          <w:i/>
          <w:sz w:val="24"/>
          <w:szCs w:val="22"/>
        </w:rPr>
      </w:pPr>
      <w:r w:rsidRPr="00961E5D">
        <w:rPr>
          <w:rFonts w:eastAsia="Calibri"/>
          <w:i/>
          <w:sz w:val="24"/>
          <w:szCs w:val="22"/>
        </w:rPr>
        <w:t xml:space="preserve">Division 4 </w:t>
      </w:r>
      <w:r w:rsidR="005E183D" w:rsidRPr="00F962E4">
        <w:rPr>
          <w:rFonts w:eastAsia="Calibri"/>
          <w:i/>
          <w:sz w:val="24"/>
          <w:szCs w:val="22"/>
        </w:rPr>
        <w:t>sets out</w:t>
      </w:r>
      <w:r w:rsidRPr="007A5F7B">
        <w:rPr>
          <w:rFonts w:eastAsia="Calibri"/>
          <w:i/>
          <w:sz w:val="24"/>
          <w:szCs w:val="22"/>
        </w:rPr>
        <w:t xml:space="preserve"> how </w:t>
      </w:r>
      <w:r w:rsidRPr="00961E5D">
        <w:rPr>
          <w:rFonts w:eastAsia="Calibri"/>
          <w:i/>
          <w:sz w:val="24"/>
          <w:szCs w:val="22"/>
        </w:rPr>
        <w:t>registrations may be varied to cover additional models, or to record a change in the identity of the registrant.</w:t>
      </w:r>
    </w:p>
    <w:p w:rsidR="00961E5D" w:rsidRPr="00961E5D" w:rsidRDefault="00961E5D" w:rsidP="009A3738">
      <w:pPr>
        <w:numPr>
          <w:ilvl w:val="0"/>
          <w:numId w:val="6"/>
        </w:numPr>
        <w:suppressAutoHyphens/>
        <w:spacing w:after="120" w:line="288" w:lineRule="auto"/>
        <w:ind w:left="993" w:hanging="426"/>
        <w:rPr>
          <w:rFonts w:eastAsia="Calibri"/>
          <w:i/>
          <w:sz w:val="24"/>
          <w:szCs w:val="22"/>
        </w:rPr>
      </w:pPr>
      <w:r w:rsidRPr="00961E5D">
        <w:rPr>
          <w:rFonts w:eastAsia="Calibri"/>
          <w:i/>
          <w:sz w:val="24"/>
          <w:szCs w:val="22"/>
        </w:rPr>
        <w:t xml:space="preserve">Division 5 </w:t>
      </w:r>
      <w:r w:rsidR="005E183D" w:rsidRPr="00F962E4">
        <w:rPr>
          <w:rFonts w:eastAsia="Calibri"/>
          <w:i/>
          <w:sz w:val="24"/>
          <w:szCs w:val="22"/>
        </w:rPr>
        <w:t>determines</w:t>
      </w:r>
      <w:r w:rsidRPr="007A5F7B">
        <w:rPr>
          <w:rFonts w:eastAsia="Calibri"/>
          <w:i/>
          <w:sz w:val="24"/>
          <w:szCs w:val="22"/>
        </w:rPr>
        <w:t xml:space="preserve"> when </w:t>
      </w:r>
      <w:r w:rsidRPr="00961E5D">
        <w:rPr>
          <w:rFonts w:eastAsia="Calibri"/>
          <w:i/>
          <w:sz w:val="24"/>
          <w:szCs w:val="22"/>
        </w:rPr>
        <w:t>a registration comes into force, and when it ceases to be in force. Generally, registrations last for 5 years.</w:t>
      </w:r>
    </w:p>
    <w:p w:rsidR="00961E5D" w:rsidRPr="00961E5D" w:rsidRDefault="00961E5D" w:rsidP="009A3738">
      <w:pPr>
        <w:numPr>
          <w:ilvl w:val="0"/>
          <w:numId w:val="6"/>
        </w:numPr>
        <w:suppressAutoHyphens/>
        <w:spacing w:after="120" w:line="288" w:lineRule="auto"/>
        <w:ind w:left="993" w:hanging="426"/>
        <w:rPr>
          <w:rFonts w:eastAsia="Calibri"/>
          <w:i/>
          <w:sz w:val="24"/>
          <w:szCs w:val="22"/>
        </w:rPr>
      </w:pPr>
      <w:r w:rsidRPr="00961E5D">
        <w:rPr>
          <w:rFonts w:eastAsia="Calibri"/>
          <w:i/>
          <w:sz w:val="24"/>
          <w:szCs w:val="22"/>
        </w:rPr>
        <w:t xml:space="preserve">Division 6 </w:t>
      </w:r>
      <w:r w:rsidR="00964FE7">
        <w:rPr>
          <w:rFonts w:eastAsia="Calibri"/>
          <w:i/>
          <w:sz w:val="24"/>
          <w:szCs w:val="22"/>
        </w:rPr>
        <w:t xml:space="preserve">provides for </w:t>
      </w:r>
      <w:r w:rsidRPr="00961E5D">
        <w:rPr>
          <w:rFonts w:eastAsia="Calibri"/>
          <w:i/>
          <w:sz w:val="24"/>
          <w:szCs w:val="22"/>
        </w:rPr>
        <w:t>suspending and cancelling registrations. This may happen, for example, if inaccurate information is given with an application, or the model or the registrant does not comply with this Act.</w:t>
      </w:r>
    </w:p>
    <w:p w:rsidR="00961E5D" w:rsidRPr="00961E5D" w:rsidRDefault="00961E5D" w:rsidP="009A3738">
      <w:pPr>
        <w:numPr>
          <w:ilvl w:val="0"/>
          <w:numId w:val="6"/>
        </w:numPr>
        <w:suppressAutoHyphens/>
        <w:spacing w:after="120" w:line="288" w:lineRule="auto"/>
        <w:ind w:left="993" w:hanging="426"/>
        <w:rPr>
          <w:rFonts w:eastAsia="Calibri"/>
          <w:i/>
          <w:sz w:val="24"/>
          <w:szCs w:val="22"/>
        </w:rPr>
      </w:pPr>
      <w:r w:rsidRPr="00961E5D">
        <w:rPr>
          <w:rFonts w:eastAsia="Calibri"/>
          <w:i/>
          <w:sz w:val="24"/>
          <w:szCs w:val="22"/>
        </w:rPr>
        <w:t>Division 7 sets out a number of requirements for registrants, including requirements to give information and to have products tested.</w:t>
      </w:r>
    </w:p>
    <w:p w:rsidR="0078496A" w:rsidRPr="00354426" w:rsidRDefault="00961E5D" w:rsidP="009A3738">
      <w:pPr>
        <w:numPr>
          <w:ilvl w:val="0"/>
          <w:numId w:val="6"/>
        </w:numPr>
        <w:suppressAutoHyphens/>
        <w:spacing w:after="120" w:line="288" w:lineRule="auto"/>
        <w:ind w:left="993" w:hanging="426"/>
        <w:rPr>
          <w:rFonts w:eastAsia="Calibri"/>
          <w:i/>
          <w:sz w:val="24"/>
          <w:szCs w:val="22"/>
        </w:rPr>
      </w:pPr>
      <w:r w:rsidRPr="00961E5D">
        <w:rPr>
          <w:rFonts w:eastAsia="Calibri"/>
          <w:i/>
          <w:sz w:val="24"/>
          <w:szCs w:val="22"/>
        </w:rPr>
        <w:t>Division 8 deals with a variety of matters, including determining when a model complies with a GEMS determination, making and determining applications and notifying applicants of decisions.</w:t>
      </w:r>
    </w:p>
    <w:p w:rsidR="00E6187E" w:rsidRDefault="001232A3" w:rsidP="007D7C2B">
      <w:pPr>
        <w:pStyle w:val="Heading2"/>
      </w:pPr>
      <w:bookmarkStart w:id="60" w:name="_Toc507145462"/>
      <w:proofErr w:type="gramStart"/>
      <w:r w:rsidRPr="00586F84">
        <w:t>5</w:t>
      </w:r>
      <w:r w:rsidR="00961E5D" w:rsidRPr="00586F84">
        <w:t xml:space="preserve">.2 </w:t>
      </w:r>
      <w:r w:rsidR="000F032B" w:rsidRPr="00586F84">
        <w:t xml:space="preserve"> </w:t>
      </w:r>
      <w:r w:rsidR="00961E5D" w:rsidRPr="00586F84">
        <w:t>Issues</w:t>
      </w:r>
      <w:proofErr w:type="gramEnd"/>
      <w:r w:rsidR="00961E5D" w:rsidRPr="00586F84">
        <w:t xml:space="preserve"> for discussion</w:t>
      </w:r>
      <w:bookmarkEnd w:id="60"/>
    </w:p>
    <w:p w:rsidR="00E6187E" w:rsidRPr="00586F84" w:rsidRDefault="00E6187E" w:rsidP="007D7C2B">
      <w:pPr>
        <w:suppressAutoHyphens/>
        <w:spacing w:after="120" w:line="288" w:lineRule="auto"/>
        <w:ind w:left="567"/>
        <w:rPr>
          <w:rStyle w:val="Heading3Char1"/>
        </w:rPr>
      </w:pPr>
      <w:bookmarkStart w:id="61" w:name="_Toc507142208"/>
      <w:bookmarkStart w:id="62" w:name="_Toc507145463"/>
      <w:r w:rsidRPr="00586F84">
        <w:rPr>
          <w:rStyle w:val="Heading3Char1"/>
        </w:rPr>
        <w:t>Large number of models</w:t>
      </w:r>
      <w:bookmarkEnd w:id="61"/>
      <w:bookmarkEnd w:id="62"/>
    </w:p>
    <w:p w:rsidR="00C06BA1" w:rsidRDefault="00CE7249" w:rsidP="00DC08FC">
      <w:pPr>
        <w:suppressAutoHyphens/>
        <w:spacing w:after="120" w:line="288" w:lineRule="auto"/>
        <w:ind w:left="567"/>
        <w:rPr>
          <w:rFonts w:eastAsia="Calibri" w:cs="Arial"/>
          <w:color w:val="333333"/>
          <w:sz w:val="24"/>
          <w:szCs w:val="22"/>
        </w:rPr>
      </w:pPr>
      <w:r>
        <w:rPr>
          <w:rFonts w:eastAsia="Calibri" w:cs="Arial"/>
          <w:color w:val="333333"/>
          <w:sz w:val="24"/>
          <w:szCs w:val="22"/>
        </w:rPr>
        <w:t>L</w:t>
      </w:r>
      <w:r w:rsidR="00961E5D" w:rsidRPr="00830ECF">
        <w:rPr>
          <w:rFonts w:eastAsia="Calibri" w:cs="Arial"/>
          <w:color w:val="333333"/>
          <w:sz w:val="24"/>
          <w:szCs w:val="22"/>
        </w:rPr>
        <w:t xml:space="preserve">arge numbers of registrations, </w:t>
      </w:r>
      <w:r w:rsidR="00214109">
        <w:rPr>
          <w:rFonts w:eastAsia="Calibri" w:cs="Arial"/>
          <w:color w:val="333333"/>
          <w:sz w:val="24"/>
          <w:szCs w:val="22"/>
        </w:rPr>
        <w:t>including</w:t>
      </w:r>
      <w:r w:rsidR="00214109" w:rsidRPr="00830ECF">
        <w:rPr>
          <w:rFonts w:eastAsia="Calibri" w:cs="Arial"/>
          <w:color w:val="333333"/>
          <w:sz w:val="24"/>
          <w:szCs w:val="22"/>
        </w:rPr>
        <w:t xml:space="preserve"> </w:t>
      </w:r>
      <w:r w:rsidR="00961E5D" w:rsidRPr="00830ECF">
        <w:rPr>
          <w:rFonts w:eastAsia="Calibri" w:cs="Arial"/>
          <w:color w:val="333333"/>
          <w:sz w:val="24"/>
          <w:szCs w:val="22"/>
        </w:rPr>
        <w:t>from large numbers of models</w:t>
      </w:r>
      <w:r w:rsidR="00DE1AA3">
        <w:rPr>
          <w:rFonts w:eastAsia="Calibri" w:cs="Arial"/>
          <w:color w:val="333333"/>
          <w:sz w:val="24"/>
          <w:szCs w:val="22"/>
        </w:rPr>
        <w:t xml:space="preserve"> from a single supplier</w:t>
      </w:r>
      <w:r w:rsidR="00961E5D" w:rsidRPr="00830ECF">
        <w:rPr>
          <w:rFonts w:eastAsia="Calibri" w:cs="Arial"/>
          <w:color w:val="333333"/>
          <w:sz w:val="24"/>
          <w:szCs w:val="22"/>
        </w:rPr>
        <w:t xml:space="preserve">, </w:t>
      </w:r>
      <w:r w:rsidR="000D1298">
        <w:rPr>
          <w:rFonts w:eastAsia="Calibri" w:cs="Arial"/>
          <w:color w:val="333333"/>
          <w:sz w:val="24"/>
          <w:szCs w:val="22"/>
        </w:rPr>
        <w:t>are</w:t>
      </w:r>
      <w:r w:rsidR="000D1298" w:rsidRPr="00830ECF">
        <w:rPr>
          <w:rFonts w:eastAsia="Calibri" w:cs="Arial"/>
          <w:color w:val="333333"/>
          <w:sz w:val="24"/>
          <w:szCs w:val="22"/>
        </w:rPr>
        <w:t xml:space="preserve"> </w:t>
      </w:r>
      <w:r w:rsidR="00961E5D" w:rsidRPr="00830ECF">
        <w:rPr>
          <w:rFonts w:eastAsia="Calibri" w:cs="Arial"/>
          <w:color w:val="333333"/>
          <w:sz w:val="24"/>
          <w:szCs w:val="22"/>
        </w:rPr>
        <w:t xml:space="preserve">seen by some stakeholders as </w:t>
      </w:r>
      <w:r w:rsidR="00DE1AA3">
        <w:rPr>
          <w:rFonts w:eastAsia="Calibri" w:cs="Arial"/>
          <w:color w:val="333333"/>
          <w:sz w:val="24"/>
          <w:szCs w:val="22"/>
        </w:rPr>
        <w:t xml:space="preserve">overly </w:t>
      </w:r>
      <w:r w:rsidR="00961E5D" w:rsidRPr="00830ECF">
        <w:rPr>
          <w:rFonts w:eastAsia="Calibri" w:cs="Arial"/>
          <w:color w:val="333333"/>
          <w:sz w:val="24"/>
          <w:szCs w:val="22"/>
        </w:rPr>
        <w:t xml:space="preserve">burdensome. </w:t>
      </w:r>
      <w:r w:rsidR="00FE6DF1">
        <w:rPr>
          <w:rFonts w:eastAsia="Calibri" w:cs="Arial"/>
          <w:color w:val="333333"/>
          <w:sz w:val="24"/>
          <w:szCs w:val="22"/>
        </w:rPr>
        <w:t xml:space="preserve">The </w:t>
      </w:r>
      <w:r w:rsidR="00C30EE4">
        <w:rPr>
          <w:rFonts w:eastAsia="Calibri" w:cs="Arial"/>
          <w:color w:val="333333"/>
          <w:sz w:val="24"/>
          <w:szCs w:val="22"/>
        </w:rPr>
        <w:t>GEMS Regulator</w:t>
      </w:r>
      <w:r w:rsidR="00FE6DF1">
        <w:rPr>
          <w:rFonts w:eastAsia="Calibri" w:cs="Arial"/>
          <w:color w:val="333333"/>
          <w:sz w:val="24"/>
          <w:szCs w:val="22"/>
        </w:rPr>
        <w:t xml:space="preserve"> has introduced arrangements</w:t>
      </w:r>
      <w:r w:rsidR="002F7C1C">
        <w:rPr>
          <w:rFonts w:eastAsia="Calibri" w:cs="Arial"/>
          <w:color w:val="333333"/>
          <w:sz w:val="24"/>
          <w:szCs w:val="22"/>
        </w:rPr>
        <w:t xml:space="preserve"> </w:t>
      </w:r>
      <w:r w:rsidR="00961E5D" w:rsidRPr="00830ECF">
        <w:rPr>
          <w:rFonts w:eastAsia="Calibri" w:cs="Arial"/>
          <w:color w:val="333333"/>
          <w:sz w:val="24"/>
          <w:szCs w:val="22"/>
        </w:rPr>
        <w:t>to reduce this burden</w:t>
      </w:r>
      <w:r w:rsidR="00C30EE4">
        <w:rPr>
          <w:rFonts w:eastAsia="Calibri" w:cs="Arial"/>
          <w:color w:val="333333"/>
          <w:sz w:val="24"/>
          <w:szCs w:val="22"/>
        </w:rPr>
        <w:t>, and has engaged in a program of useability enhancements to make the registration system easier to interact with</w:t>
      </w:r>
      <w:r w:rsidR="002F7C1C">
        <w:rPr>
          <w:rFonts w:eastAsia="Calibri" w:cs="Arial"/>
          <w:color w:val="333333"/>
          <w:sz w:val="24"/>
          <w:szCs w:val="22"/>
        </w:rPr>
        <w:t xml:space="preserve"> (see </w:t>
      </w:r>
      <w:r w:rsidR="002F7C1C" w:rsidRPr="00586F84">
        <w:rPr>
          <w:rFonts w:eastAsia="Calibri" w:cs="Arial"/>
          <w:b/>
          <w:color w:val="333333"/>
          <w:sz w:val="24"/>
          <w:szCs w:val="22"/>
        </w:rPr>
        <w:t xml:space="preserve">Box </w:t>
      </w:r>
      <w:r w:rsidR="009B20C8" w:rsidRPr="00D933EE">
        <w:rPr>
          <w:rFonts w:eastAsia="Calibri" w:cs="Arial"/>
          <w:b/>
          <w:color w:val="333333"/>
          <w:sz w:val="24"/>
          <w:szCs w:val="22"/>
        </w:rPr>
        <w:t>4</w:t>
      </w:r>
      <w:r w:rsidR="002F7C1C">
        <w:rPr>
          <w:rFonts w:eastAsia="Calibri" w:cs="Arial"/>
          <w:color w:val="333333"/>
          <w:sz w:val="24"/>
          <w:szCs w:val="22"/>
        </w:rPr>
        <w:t>).</w:t>
      </w:r>
    </w:p>
    <w:p w:rsidR="00121F06" w:rsidRDefault="00893B34" w:rsidP="00121F06">
      <w:pPr>
        <w:suppressAutoHyphens/>
        <w:spacing w:after="120" w:line="288" w:lineRule="auto"/>
        <w:ind w:left="567"/>
        <w:rPr>
          <w:rFonts w:eastAsia="Calibri"/>
          <w:sz w:val="24"/>
          <w:szCs w:val="22"/>
        </w:rPr>
      </w:pPr>
      <w:r>
        <w:rPr>
          <w:noProof/>
          <w:lang w:eastAsia="en-AU"/>
        </w:rPr>
        <mc:AlternateContent>
          <mc:Choice Requires="wps">
            <w:drawing>
              <wp:anchor distT="45720" distB="45720" distL="114300" distR="114300" simplePos="0" relativeHeight="251705344" behindDoc="0" locked="0" layoutInCell="1" allowOverlap="1" wp14:anchorId="7B5569B1" wp14:editId="241E3569">
                <wp:simplePos x="0" y="0"/>
                <wp:positionH relativeFrom="margin">
                  <wp:posOffset>338199</wp:posOffset>
                </wp:positionH>
                <wp:positionV relativeFrom="paragraph">
                  <wp:posOffset>1306525</wp:posOffset>
                </wp:positionV>
                <wp:extent cx="6115050" cy="3443605"/>
                <wp:effectExtent l="0" t="0" r="19050" b="23495"/>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443605"/>
                        </a:xfrm>
                        <a:prstGeom prst="rect">
                          <a:avLst/>
                        </a:prstGeom>
                        <a:solidFill>
                          <a:srgbClr val="FFFFFF"/>
                        </a:solidFill>
                        <a:ln w="9525">
                          <a:solidFill>
                            <a:srgbClr val="000000"/>
                          </a:solidFill>
                          <a:miter lim="800000"/>
                          <a:headEnd/>
                          <a:tailEnd/>
                        </a:ln>
                      </wps:spPr>
                      <wps:txbx>
                        <w:txbxContent>
                          <w:p w:rsidR="00E12B40" w:rsidRPr="0021205E" w:rsidRDefault="00E12B40" w:rsidP="00547368">
                            <w:pPr>
                              <w:spacing w:before="120" w:after="120" w:line="288" w:lineRule="auto"/>
                              <w:rPr>
                                <w:b/>
                                <w:sz w:val="24"/>
                              </w:rPr>
                            </w:pPr>
                            <w:r w:rsidRPr="00D933EE">
                              <w:rPr>
                                <w:b/>
                                <w:sz w:val="24"/>
                              </w:rPr>
                              <w:t xml:space="preserve">Box </w:t>
                            </w:r>
                            <w:r w:rsidRPr="00586F84">
                              <w:rPr>
                                <w:b/>
                                <w:sz w:val="24"/>
                              </w:rPr>
                              <w:t>4</w:t>
                            </w:r>
                            <w:r w:rsidRPr="00D933EE">
                              <w:rPr>
                                <w:b/>
                                <w:sz w:val="24"/>
                              </w:rPr>
                              <w:t>:</w:t>
                            </w:r>
                            <w:r w:rsidRPr="0021205E">
                              <w:rPr>
                                <w:b/>
                                <w:sz w:val="24"/>
                              </w:rPr>
                              <w:t xml:space="preserve"> </w:t>
                            </w:r>
                            <w:r>
                              <w:rPr>
                                <w:b/>
                                <w:sz w:val="24"/>
                              </w:rPr>
                              <w:t>I</w:t>
                            </w:r>
                            <w:r w:rsidRPr="0021205E">
                              <w:rPr>
                                <w:b/>
                                <w:sz w:val="24"/>
                              </w:rPr>
                              <w:t>mprovements to the</w:t>
                            </w:r>
                            <w:r>
                              <w:rPr>
                                <w:b/>
                                <w:sz w:val="24"/>
                              </w:rPr>
                              <w:t xml:space="preserve"> GEMS</w:t>
                            </w:r>
                            <w:r w:rsidRPr="0021205E">
                              <w:rPr>
                                <w:b/>
                                <w:sz w:val="24"/>
                              </w:rPr>
                              <w:t xml:space="preserve"> registration system</w:t>
                            </w:r>
                          </w:p>
                          <w:p w:rsidR="00E12B40" w:rsidRDefault="00E12B40" w:rsidP="00586F84">
                            <w:pPr>
                              <w:suppressAutoHyphens/>
                              <w:spacing w:after="120" w:line="288" w:lineRule="auto"/>
                              <w:rPr>
                                <w:rFonts w:eastAsia="Calibri"/>
                                <w:sz w:val="24"/>
                              </w:rPr>
                            </w:pPr>
                            <w:r>
                              <w:rPr>
                                <w:rFonts w:eastAsia="Calibri"/>
                                <w:sz w:val="24"/>
                              </w:rPr>
                              <w:t>Improvements to the GEMS registration system have been made in response to issues identified in the 2015 GEMS review and to assist the day-to-day management of the system. Recent changes have included:</w:t>
                            </w:r>
                          </w:p>
                          <w:p w:rsidR="00E12B40" w:rsidRPr="00586F84" w:rsidRDefault="00E12B40" w:rsidP="009A3738">
                            <w:pPr>
                              <w:numPr>
                                <w:ilvl w:val="0"/>
                                <w:numId w:val="6"/>
                              </w:numPr>
                              <w:suppressAutoHyphens/>
                              <w:spacing w:after="120" w:line="288" w:lineRule="auto"/>
                              <w:ind w:left="425" w:hanging="425"/>
                              <w:rPr>
                                <w:rFonts w:eastAsia="Calibri"/>
                                <w:sz w:val="24"/>
                              </w:rPr>
                            </w:pPr>
                            <w:r>
                              <w:rPr>
                                <w:rFonts w:eastAsia="Calibri"/>
                                <w:sz w:val="24"/>
                              </w:rPr>
                              <w:t>A b</w:t>
                            </w:r>
                            <w:r w:rsidRPr="00586F84">
                              <w:rPr>
                                <w:rFonts w:eastAsia="Calibri"/>
                                <w:sz w:val="24"/>
                              </w:rPr>
                              <w:t>ulk application process that allows multiple applications to be submitted through excel spreadsheets.</w:t>
                            </w:r>
                          </w:p>
                          <w:p w:rsidR="00E12B40" w:rsidRPr="00586F84" w:rsidRDefault="00E12B40" w:rsidP="009A3738">
                            <w:pPr>
                              <w:numPr>
                                <w:ilvl w:val="0"/>
                                <w:numId w:val="6"/>
                              </w:numPr>
                              <w:suppressAutoHyphens/>
                              <w:spacing w:after="120" w:line="288" w:lineRule="auto"/>
                              <w:ind w:left="425" w:hanging="425"/>
                              <w:rPr>
                                <w:rFonts w:eastAsia="Calibri"/>
                                <w:sz w:val="24"/>
                              </w:rPr>
                            </w:pPr>
                            <w:r w:rsidRPr="00586F84">
                              <w:rPr>
                                <w:rFonts w:eastAsia="Calibri"/>
                                <w:sz w:val="24"/>
                              </w:rPr>
                              <w:t>“Copy to new” functionality that allows registrants to create a pre-populated application based on an existing, similar approved registration. Only fields where details are different need be edited.</w:t>
                            </w:r>
                          </w:p>
                          <w:p w:rsidR="00E12B40" w:rsidRPr="00F95900" w:rsidRDefault="00E12B40" w:rsidP="009A3738">
                            <w:pPr>
                              <w:numPr>
                                <w:ilvl w:val="0"/>
                                <w:numId w:val="6"/>
                              </w:numPr>
                              <w:suppressAutoHyphens/>
                              <w:spacing w:after="120" w:line="288" w:lineRule="auto"/>
                              <w:ind w:left="425" w:hanging="425"/>
                              <w:rPr>
                                <w:rFonts w:eastAsia="Calibri"/>
                                <w:sz w:val="24"/>
                              </w:rPr>
                            </w:pPr>
                            <w:r>
                              <w:rPr>
                                <w:rFonts w:eastAsia="Calibri"/>
                                <w:sz w:val="24"/>
                              </w:rPr>
                              <w:t>A</w:t>
                            </w:r>
                            <w:r w:rsidRPr="00F95900">
                              <w:rPr>
                                <w:rFonts w:eastAsia="Calibri"/>
                                <w:sz w:val="24"/>
                              </w:rPr>
                              <w:t xml:space="preserve"> supplier dashboard </w:t>
                            </w:r>
                            <w:r>
                              <w:rPr>
                                <w:rFonts w:eastAsia="Calibri"/>
                                <w:sz w:val="24"/>
                              </w:rPr>
                              <w:t>to provide</w:t>
                            </w:r>
                            <w:r w:rsidRPr="00F95900">
                              <w:rPr>
                                <w:rFonts w:eastAsia="Calibri"/>
                                <w:sz w:val="24"/>
                              </w:rPr>
                              <w:t xml:space="preserve"> registrants with </w:t>
                            </w:r>
                            <w:r>
                              <w:rPr>
                                <w:rFonts w:eastAsia="Calibri"/>
                                <w:sz w:val="24"/>
                              </w:rPr>
                              <w:t>a</w:t>
                            </w:r>
                            <w:r w:rsidRPr="00F95900">
                              <w:rPr>
                                <w:rFonts w:eastAsia="Calibri"/>
                                <w:sz w:val="24"/>
                              </w:rPr>
                              <w:t xml:space="preserve"> management tool</w:t>
                            </w:r>
                            <w:r>
                              <w:rPr>
                                <w:rFonts w:eastAsia="Calibri"/>
                                <w:sz w:val="24"/>
                              </w:rPr>
                              <w:t xml:space="preserve"> to assist with</w:t>
                            </w:r>
                            <w:r w:rsidRPr="00F95900">
                              <w:rPr>
                                <w:rFonts w:eastAsia="Calibri"/>
                                <w:sz w:val="24"/>
                              </w:rPr>
                              <w:t xml:space="preserve"> their registrations. </w:t>
                            </w:r>
                          </w:p>
                          <w:p w:rsidR="00E12B40" w:rsidRDefault="00E12B40" w:rsidP="009A3738">
                            <w:pPr>
                              <w:numPr>
                                <w:ilvl w:val="0"/>
                                <w:numId w:val="6"/>
                              </w:numPr>
                              <w:suppressAutoHyphens/>
                              <w:spacing w:after="120" w:line="288" w:lineRule="auto"/>
                              <w:ind w:left="425" w:hanging="425"/>
                              <w:rPr>
                                <w:rFonts w:eastAsia="Calibri"/>
                                <w:sz w:val="24"/>
                              </w:rPr>
                            </w:pPr>
                            <w:r>
                              <w:rPr>
                                <w:rFonts w:eastAsia="Calibri"/>
                                <w:sz w:val="24"/>
                              </w:rPr>
                              <w:t>Removal of</w:t>
                            </w:r>
                            <w:r w:rsidRPr="00F95900">
                              <w:rPr>
                                <w:rFonts w:eastAsia="Calibri"/>
                                <w:sz w:val="24"/>
                              </w:rPr>
                              <w:t xml:space="preserve"> non-mandatory questions.</w:t>
                            </w:r>
                          </w:p>
                          <w:p w:rsidR="00E12B40" w:rsidRPr="00586F84" w:rsidRDefault="00E12B40" w:rsidP="009A3738">
                            <w:pPr>
                              <w:numPr>
                                <w:ilvl w:val="0"/>
                                <w:numId w:val="6"/>
                              </w:numPr>
                              <w:suppressAutoHyphens/>
                              <w:spacing w:after="120" w:line="288" w:lineRule="auto"/>
                              <w:ind w:left="425" w:hanging="425"/>
                              <w:rPr>
                                <w:rFonts w:eastAsia="Calibri"/>
                                <w:sz w:val="24"/>
                              </w:rPr>
                            </w:pPr>
                            <w:r>
                              <w:rPr>
                                <w:rFonts w:eastAsia="Calibri"/>
                                <w:sz w:val="24"/>
                              </w:rPr>
                              <w:t>New payment options, including American Express and debit 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569B1" id="Text Box 18" o:spid="_x0000_s1029" type="#_x0000_t202" style="position:absolute;left:0;text-align:left;margin-left:26.65pt;margin-top:102.9pt;width:481.5pt;height:271.1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wJgIAAE4EAAAOAAAAZHJzL2Uyb0RvYy54bWysVNtu2zAMfR+wfxD0vtjOba0Rp+jSZRjQ&#10;XYB2HyDLcixMEjVJiZ19/Sg5TbPbyzA/COJFh+Qh6dXNoBU5COclmIoWk5wSYTg00uwq+uVx++qK&#10;Eh+YaZgCIyp6FJ7erF++WPW2FFPoQDXCEQQxvuxtRbsQbJllnndCMz8BKwwaW3CaBRTdLmsc6xFd&#10;q2ya58usB9dYB1x4j9q70UjXCb9tBQ+f2taLQFRFMbeQTpfOOp7ZesXKnWO2k/yUBvuHLDSTBoOe&#10;oe5YYGTv5G9QWnIHHtow4aAzaFvJRaoBqynyX6p56JgVqRYkx9szTf7/wfKPh8+OyAZ7h50yTGOP&#10;HsUQyBsYCKqQn976Et0eLDqGAfXom2r19h74V08MbDpmduLWOeg7wRrMr4gvs4unI46PIHX/ARqM&#10;w/YBEtDQOh3JQzoIomOfjufexFw4KpdFscgXaOJom83ns2W+SDFY+fTcOh/eCdAkXirqsPkJnh3u&#10;fYjpsPLJJUbzoGSzlUolwe3qjXLkwHBQtuk7of/kpgzpK3q9mC5GBv4KkafvTxBaBpx4JXVFr85O&#10;rIy8vTVNmsfApBrvmLIyJyIjdyOLYaiH1LNZDBBJrqE5IrMOxgHHhcRLB+47JT0Od0X9tz1zghL1&#10;3mB3rov5PG5DEuaL11MU3KWlvrQwwxGqooGS8boJaYMibwZusYutTPw+Z3JKGYc20X5asLgVl3Ly&#10;ev4NrH8AAAD//wMAUEsDBBQABgAIAAAAIQBldbHr4QAAAAsBAAAPAAAAZHJzL2Rvd25yZXYueG1s&#10;TI/BTsMwDIbvSLxDZCQuiCVdt66UphNCAsENtgmuWZu1FYlTkqwrb493gqPtT7+/v1xP1rBR+9A7&#10;lJDMBDCNtWt6bCXstk+3ObAQFTbKONQSfnSAdXV5UaqicSd81+MmtoxCMBRKQhfjUHAe6k5bFWZu&#10;0Ei3g/NWRRp9yxuvThRuDZ8LkXGreqQPnRr0Y6frr83RSsgXL+NneE3fPursYO7izWp8/vZSXl9N&#10;D/fAop7iHwxnfVKHipz27ohNYEbCMk2JlDAXS6pwBkSS0WovYbXIE+BVyf93qH4BAAD//wMAUEsB&#10;Ai0AFAAGAAgAAAAhALaDOJL+AAAA4QEAABMAAAAAAAAAAAAAAAAAAAAAAFtDb250ZW50X1R5cGVz&#10;XS54bWxQSwECLQAUAAYACAAAACEAOP0h/9YAAACUAQAACwAAAAAAAAAAAAAAAAAvAQAAX3JlbHMv&#10;LnJlbHNQSwECLQAUAAYACAAAACEA2/u6MCYCAABOBAAADgAAAAAAAAAAAAAAAAAuAgAAZHJzL2Uy&#10;b0RvYy54bWxQSwECLQAUAAYACAAAACEAZXWx6+EAAAALAQAADwAAAAAAAAAAAAAAAACABAAAZHJz&#10;L2Rvd25yZXYueG1sUEsFBgAAAAAEAAQA8wAAAI4FAAAAAA==&#10;">
                <v:textbox>
                  <w:txbxContent>
                    <w:p w:rsidR="00E12B40" w:rsidRPr="0021205E" w:rsidRDefault="00E12B40" w:rsidP="00547368">
                      <w:pPr>
                        <w:spacing w:before="120" w:after="120" w:line="288" w:lineRule="auto"/>
                        <w:rPr>
                          <w:b/>
                          <w:sz w:val="24"/>
                        </w:rPr>
                      </w:pPr>
                      <w:r w:rsidRPr="00D933EE">
                        <w:rPr>
                          <w:b/>
                          <w:sz w:val="24"/>
                        </w:rPr>
                        <w:t xml:space="preserve">Box </w:t>
                      </w:r>
                      <w:r w:rsidRPr="00586F84">
                        <w:rPr>
                          <w:b/>
                          <w:sz w:val="24"/>
                        </w:rPr>
                        <w:t>4</w:t>
                      </w:r>
                      <w:r w:rsidRPr="00D933EE">
                        <w:rPr>
                          <w:b/>
                          <w:sz w:val="24"/>
                        </w:rPr>
                        <w:t>:</w:t>
                      </w:r>
                      <w:r w:rsidRPr="0021205E">
                        <w:rPr>
                          <w:b/>
                          <w:sz w:val="24"/>
                        </w:rPr>
                        <w:t xml:space="preserve"> </w:t>
                      </w:r>
                      <w:r>
                        <w:rPr>
                          <w:b/>
                          <w:sz w:val="24"/>
                        </w:rPr>
                        <w:t>I</w:t>
                      </w:r>
                      <w:r w:rsidRPr="0021205E">
                        <w:rPr>
                          <w:b/>
                          <w:sz w:val="24"/>
                        </w:rPr>
                        <w:t>mprovements to the</w:t>
                      </w:r>
                      <w:r>
                        <w:rPr>
                          <w:b/>
                          <w:sz w:val="24"/>
                        </w:rPr>
                        <w:t xml:space="preserve"> GEMS</w:t>
                      </w:r>
                      <w:r w:rsidRPr="0021205E">
                        <w:rPr>
                          <w:b/>
                          <w:sz w:val="24"/>
                        </w:rPr>
                        <w:t xml:space="preserve"> registration system</w:t>
                      </w:r>
                    </w:p>
                    <w:p w:rsidR="00E12B40" w:rsidRDefault="00E12B40" w:rsidP="00586F84">
                      <w:pPr>
                        <w:suppressAutoHyphens/>
                        <w:spacing w:after="120" w:line="288" w:lineRule="auto"/>
                        <w:rPr>
                          <w:rFonts w:eastAsia="Calibri"/>
                          <w:sz w:val="24"/>
                        </w:rPr>
                      </w:pPr>
                      <w:r>
                        <w:rPr>
                          <w:rFonts w:eastAsia="Calibri"/>
                          <w:sz w:val="24"/>
                        </w:rPr>
                        <w:t>Improvements to the GEMS registration system have been made in response to issues identified in the 2015 GEMS review and to assist the day-to-day management of the system. Recent changes have included:</w:t>
                      </w:r>
                    </w:p>
                    <w:p w:rsidR="00E12B40" w:rsidRPr="00586F84" w:rsidRDefault="00E12B40" w:rsidP="009A3738">
                      <w:pPr>
                        <w:numPr>
                          <w:ilvl w:val="0"/>
                          <w:numId w:val="6"/>
                        </w:numPr>
                        <w:suppressAutoHyphens/>
                        <w:spacing w:after="120" w:line="288" w:lineRule="auto"/>
                        <w:ind w:left="425" w:hanging="425"/>
                        <w:rPr>
                          <w:rFonts w:eastAsia="Calibri"/>
                          <w:sz w:val="24"/>
                        </w:rPr>
                      </w:pPr>
                      <w:r>
                        <w:rPr>
                          <w:rFonts w:eastAsia="Calibri"/>
                          <w:sz w:val="24"/>
                        </w:rPr>
                        <w:t>A b</w:t>
                      </w:r>
                      <w:r w:rsidRPr="00586F84">
                        <w:rPr>
                          <w:rFonts w:eastAsia="Calibri"/>
                          <w:sz w:val="24"/>
                        </w:rPr>
                        <w:t>ulk application process that allows multiple applications to be submitted through excel spreadsheets.</w:t>
                      </w:r>
                    </w:p>
                    <w:p w:rsidR="00E12B40" w:rsidRPr="00586F84" w:rsidRDefault="00E12B40" w:rsidP="009A3738">
                      <w:pPr>
                        <w:numPr>
                          <w:ilvl w:val="0"/>
                          <w:numId w:val="6"/>
                        </w:numPr>
                        <w:suppressAutoHyphens/>
                        <w:spacing w:after="120" w:line="288" w:lineRule="auto"/>
                        <w:ind w:left="425" w:hanging="425"/>
                        <w:rPr>
                          <w:rFonts w:eastAsia="Calibri"/>
                          <w:sz w:val="24"/>
                        </w:rPr>
                      </w:pPr>
                      <w:r w:rsidRPr="00586F84">
                        <w:rPr>
                          <w:rFonts w:eastAsia="Calibri"/>
                          <w:sz w:val="24"/>
                        </w:rPr>
                        <w:t>“Copy to new” functionality that allows registrants to create a pre-populated application based on an existing, similar approved registration. Only fields where details are different need be edited.</w:t>
                      </w:r>
                    </w:p>
                    <w:p w:rsidR="00E12B40" w:rsidRPr="00F95900" w:rsidRDefault="00E12B40" w:rsidP="009A3738">
                      <w:pPr>
                        <w:numPr>
                          <w:ilvl w:val="0"/>
                          <w:numId w:val="6"/>
                        </w:numPr>
                        <w:suppressAutoHyphens/>
                        <w:spacing w:after="120" w:line="288" w:lineRule="auto"/>
                        <w:ind w:left="425" w:hanging="425"/>
                        <w:rPr>
                          <w:rFonts w:eastAsia="Calibri"/>
                          <w:sz w:val="24"/>
                        </w:rPr>
                      </w:pPr>
                      <w:r>
                        <w:rPr>
                          <w:rFonts w:eastAsia="Calibri"/>
                          <w:sz w:val="24"/>
                        </w:rPr>
                        <w:t>A</w:t>
                      </w:r>
                      <w:r w:rsidRPr="00F95900">
                        <w:rPr>
                          <w:rFonts w:eastAsia="Calibri"/>
                          <w:sz w:val="24"/>
                        </w:rPr>
                        <w:t xml:space="preserve"> supplier dashboard </w:t>
                      </w:r>
                      <w:r>
                        <w:rPr>
                          <w:rFonts w:eastAsia="Calibri"/>
                          <w:sz w:val="24"/>
                        </w:rPr>
                        <w:t>to provide</w:t>
                      </w:r>
                      <w:r w:rsidRPr="00F95900">
                        <w:rPr>
                          <w:rFonts w:eastAsia="Calibri"/>
                          <w:sz w:val="24"/>
                        </w:rPr>
                        <w:t xml:space="preserve"> registrants with </w:t>
                      </w:r>
                      <w:r>
                        <w:rPr>
                          <w:rFonts w:eastAsia="Calibri"/>
                          <w:sz w:val="24"/>
                        </w:rPr>
                        <w:t>a</w:t>
                      </w:r>
                      <w:r w:rsidRPr="00F95900">
                        <w:rPr>
                          <w:rFonts w:eastAsia="Calibri"/>
                          <w:sz w:val="24"/>
                        </w:rPr>
                        <w:t xml:space="preserve"> management tool</w:t>
                      </w:r>
                      <w:r>
                        <w:rPr>
                          <w:rFonts w:eastAsia="Calibri"/>
                          <w:sz w:val="24"/>
                        </w:rPr>
                        <w:t xml:space="preserve"> to assist with</w:t>
                      </w:r>
                      <w:r w:rsidRPr="00F95900">
                        <w:rPr>
                          <w:rFonts w:eastAsia="Calibri"/>
                          <w:sz w:val="24"/>
                        </w:rPr>
                        <w:t xml:space="preserve"> their registrations. </w:t>
                      </w:r>
                    </w:p>
                    <w:p w:rsidR="00E12B40" w:rsidRDefault="00E12B40" w:rsidP="009A3738">
                      <w:pPr>
                        <w:numPr>
                          <w:ilvl w:val="0"/>
                          <w:numId w:val="6"/>
                        </w:numPr>
                        <w:suppressAutoHyphens/>
                        <w:spacing w:after="120" w:line="288" w:lineRule="auto"/>
                        <w:ind w:left="425" w:hanging="425"/>
                        <w:rPr>
                          <w:rFonts w:eastAsia="Calibri"/>
                          <w:sz w:val="24"/>
                        </w:rPr>
                      </w:pPr>
                      <w:r>
                        <w:rPr>
                          <w:rFonts w:eastAsia="Calibri"/>
                          <w:sz w:val="24"/>
                        </w:rPr>
                        <w:t>Removal of</w:t>
                      </w:r>
                      <w:r w:rsidRPr="00F95900">
                        <w:rPr>
                          <w:rFonts w:eastAsia="Calibri"/>
                          <w:sz w:val="24"/>
                        </w:rPr>
                        <w:t xml:space="preserve"> non-mandatory questions.</w:t>
                      </w:r>
                    </w:p>
                    <w:p w:rsidR="00E12B40" w:rsidRPr="00586F84" w:rsidRDefault="00E12B40" w:rsidP="009A3738">
                      <w:pPr>
                        <w:numPr>
                          <w:ilvl w:val="0"/>
                          <w:numId w:val="6"/>
                        </w:numPr>
                        <w:suppressAutoHyphens/>
                        <w:spacing w:after="120" w:line="288" w:lineRule="auto"/>
                        <w:ind w:left="425" w:hanging="425"/>
                        <w:rPr>
                          <w:rFonts w:eastAsia="Calibri"/>
                          <w:sz w:val="24"/>
                        </w:rPr>
                      </w:pPr>
                      <w:r>
                        <w:rPr>
                          <w:rFonts w:eastAsia="Calibri"/>
                          <w:sz w:val="24"/>
                        </w:rPr>
                        <w:t>New payment options, including American Express and debit cards.</w:t>
                      </w:r>
                    </w:p>
                  </w:txbxContent>
                </v:textbox>
                <w10:wrap type="topAndBottom" anchorx="margin"/>
              </v:shape>
            </w:pict>
          </mc:Fallback>
        </mc:AlternateContent>
      </w:r>
      <w:r w:rsidR="00CE7249">
        <w:rPr>
          <w:rFonts w:eastAsia="Calibri"/>
          <w:sz w:val="24"/>
          <w:szCs w:val="22"/>
        </w:rPr>
        <w:t>From a legislative perspective f</w:t>
      </w:r>
      <w:r w:rsidR="00121F06" w:rsidRPr="00325512">
        <w:rPr>
          <w:rFonts w:eastAsia="Calibri"/>
          <w:sz w:val="24"/>
          <w:szCs w:val="22"/>
        </w:rPr>
        <w:t xml:space="preserve">amily arrangements </w:t>
      </w:r>
      <w:r w:rsidR="00121F06">
        <w:rPr>
          <w:rFonts w:eastAsia="Calibri"/>
          <w:sz w:val="24"/>
          <w:szCs w:val="22"/>
        </w:rPr>
        <w:t xml:space="preserve">can </w:t>
      </w:r>
      <w:r w:rsidR="00121F06" w:rsidRPr="00325512">
        <w:rPr>
          <w:rFonts w:eastAsia="Calibri"/>
          <w:sz w:val="24"/>
          <w:szCs w:val="22"/>
        </w:rPr>
        <w:t>allow large numbers in the family, with testing only required for the least efficient member of the family.</w:t>
      </w:r>
      <w:r w:rsidR="00121F06">
        <w:rPr>
          <w:rFonts w:eastAsia="Calibri"/>
          <w:sz w:val="24"/>
          <w:szCs w:val="22"/>
        </w:rPr>
        <w:t xml:space="preserve"> While providing more flexibility, some suppliers have raised concerns that large families increase complexity in terms of establishing what models are allowed within a family, when updates are required, and compliance implications in terms of the impact on the family where one or more models is found to be non-compliant. </w:t>
      </w:r>
    </w:p>
    <w:p w:rsidR="00642358" w:rsidRPr="00881C6E" w:rsidRDefault="00961E5D" w:rsidP="00586F84">
      <w:pPr>
        <w:suppressAutoHyphens/>
        <w:spacing w:after="120" w:line="288" w:lineRule="auto"/>
        <w:ind w:left="567"/>
        <w:rPr>
          <w:rStyle w:val="Heading3Char1"/>
        </w:rPr>
      </w:pPr>
      <w:bookmarkStart w:id="63" w:name="_Toc503791300"/>
      <w:bookmarkStart w:id="64" w:name="_Toc505072874"/>
      <w:bookmarkStart w:id="65" w:name="_Toc505599605"/>
      <w:bookmarkStart w:id="66" w:name="_Toc505934414"/>
      <w:bookmarkStart w:id="67" w:name="_Toc507142209"/>
      <w:bookmarkStart w:id="68" w:name="_Toc507145464"/>
      <w:r w:rsidRPr="00523F47">
        <w:rPr>
          <w:rStyle w:val="Heading3Char1"/>
        </w:rPr>
        <w:t xml:space="preserve">Model numbers for products </w:t>
      </w:r>
      <w:bookmarkEnd w:id="63"/>
      <w:r w:rsidR="00DE1AA3" w:rsidRPr="00523F47">
        <w:rPr>
          <w:rStyle w:val="Heading3Char1"/>
        </w:rPr>
        <w:t>devised only for GEMS</w:t>
      </w:r>
      <w:bookmarkEnd w:id="64"/>
      <w:bookmarkEnd w:id="65"/>
      <w:bookmarkEnd w:id="66"/>
      <w:bookmarkEnd w:id="67"/>
      <w:bookmarkEnd w:id="68"/>
    </w:p>
    <w:p w:rsidR="00961E5D" w:rsidRPr="008C5F1C" w:rsidRDefault="004279F2" w:rsidP="008C5F1C">
      <w:pPr>
        <w:suppressAutoHyphens/>
        <w:spacing w:after="200" w:line="288" w:lineRule="auto"/>
        <w:ind w:left="567"/>
        <w:rPr>
          <w:rFonts w:eastAsia="Calibri" w:cs="Arial"/>
          <w:color w:val="333333"/>
          <w:sz w:val="24"/>
          <w:szCs w:val="22"/>
        </w:rPr>
      </w:pPr>
      <w:r w:rsidRPr="008C5F1C">
        <w:rPr>
          <w:rFonts w:eastAsia="Calibri" w:cs="Arial"/>
          <w:color w:val="333333"/>
          <w:sz w:val="24"/>
          <w:szCs w:val="22"/>
        </w:rPr>
        <w:t>The GEMS registration system requires a unique model identifier (usually a model number) to be provide</w:t>
      </w:r>
      <w:r w:rsidR="00785329" w:rsidRPr="00785329">
        <w:rPr>
          <w:rFonts w:eastAsia="Calibri" w:cs="Arial"/>
          <w:color w:val="333333"/>
          <w:sz w:val="24"/>
          <w:szCs w:val="22"/>
        </w:rPr>
        <w:t>d in a registration application.</w:t>
      </w:r>
      <w:r w:rsidRPr="008C5F1C">
        <w:rPr>
          <w:rFonts w:eastAsia="Calibri" w:cs="Arial"/>
          <w:color w:val="333333"/>
          <w:sz w:val="24"/>
          <w:szCs w:val="22"/>
        </w:rPr>
        <w:t xml:space="preserve"> </w:t>
      </w:r>
      <w:r w:rsidR="00785329">
        <w:rPr>
          <w:rFonts w:eastAsia="Calibri" w:cs="Arial"/>
          <w:color w:val="333333"/>
          <w:sz w:val="24"/>
          <w:szCs w:val="22"/>
        </w:rPr>
        <w:t>F</w:t>
      </w:r>
      <w:r w:rsidRPr="008C5F1C">
        <w:rPr>
          <w:rFonts w:eastAsia="Calibri" w:cs="Arial"/>
          <w:color w:val="333333"/>
          <w:sz w:val="24"/>
          <w:szCs w:val="22"/>
        </w:rPr>
        <w:t>or some regulated products</w:t>
      </w:r>
      <w:r w:rsidR="0034422D">
        <w:rPr>
          <w:rFonts w:eastAsia="Calibri" w:cs="Arial"/>
          <w:color w:val="333333"/>
          <w:sz w:val="24"/>
          <w:szCs w:val="22"/>
        </w:rPr>
        <w:t>,</w:t>
      </w:r>
      <w:r w:rsidRPr="008C5F1C">
        <w:rPr>
          <w:rFonts w:eastAsia="Calibri" w:cs="Arial"/>
          <w:color w:val="333333"/>
          <w:sz w:val="24"/>
          <w:szCs w:val="22"/>
        </w:rPr>
        <w:t xml:space="preserve"> model numbers are typically not used in offering the prod</w:t>
      </w:r>
      <w:r w:rsidR="00785329">
        <w:rPr>
          <w:rFonts w:eastAsia="Calibri" w:cs="Arial"/>
          <w:color w:val="333333"/>
          <w:sz w:val="24"/>
          <w:szCs w:val="22"/>
        </w:rPr>
        <w:t>ucts to consumers in the market and i</w:t>
      </w:r>
      <w:r w:rsidR="00785329" w:rsidRPr="009E1CEB">
        <w:rPr>
          <w:rFonts w:eastAsia="Calibri" w:cs="Arial"/>
          <w:color w:val="333333"/>
          <w:sz w:val="24"/>
          <w:szCs w:val="22"/>
        </w:rPr>
        <w:t>n many cases model numbers for these products are created for the purposes of a GEMS registration (usually based on c</w:t>
      </w:r>
      <w:r w:rsidR="00785329">
        <w:rPr>
          <w:rFonts w:eastAsia="Calibri" w:cs="Arial"/>
          <w:color w:val="333333"/>
          <w:sz w:val="24"/>
          <w:szCs w:val="22"/>
        </w:rPr>
        <w:t>ommon features of the products). As a consequence,</w:t>
      </w:r>
      <w:r w:rsidR="00785329" w:rsidRPr="009E1CEB">
        <w:rPr>
          <w:rFonts w:eastAsia="Calibri" w:cs="Arial"/>
          <w:color w:val="333333"/>
          <w:sz w:val="24"/>
          <w:szCs w:val="22"/>
        </w:rPr>
        <w:t xml:space="preserve"> the formats </w:t>
      </w:r>
      <w:r w:rsidR="00785329">
        <w:rPr>
          <w:rFonts w:eastAsia="Calibri" w:cs="Arial"/>
          <w:color w:val="333333"/>
          <w:sz w:val="24"/>
          <w:szCs w:val="22"/>
        </w:rPr>
        <w:t>might</w:t>
      </w:r>
      <w:r w:rsidR="00785329" w:rsidRPr="009E1CEB">
        <w:rPr>
          <w:rFonts w:eastAsia="Calibri" w:cs="Arial"/>
          <w:color w:val="333333"/>
          <w:sz w:val="24"/>
          <w:szCs w:val="22"/>
        </w:rPr>
        <w:t xml:space="preserve"> not </w:t>
      </w:r>
      <w:r w:rsidR="00785329">
        <w:rPr>
          <w:rFonts w:eastAsia="Calibri" w:cs="Arial"/>
          <w:color w:val="333333"/>
          <w:sz w:val="24"/>
          <w:szCs w:val="22"/>
        </w:rPr>
        <w:t xml:space="preserve">be </w:t>
      </w:r>
      <w:r w:rsidR="00785329" w:rsidRPr="009E1CEB">
        <w:rPr>
          <w:rFonts w:eastAsia="Calibri" w:cs="Arial"/>
          <w:color w:val="333333"/>
          <w:sz w:val="24"/>
          <w:szCs w:val="22"/>
        </w:rPr>
        <w:t>consistent from registrant to registrant, making it difficult to match individual units in the field to a registration in the GEMS Registe</w:t>
      </w:r>
      <w:r w:rsidR="00785329">
        <w:rPr>
          <w:rFonts w:eastAsia="Calibri" w:cs="Arial"/>
          <w:color w:val="333333"/>
          <w:sz w:val="24"/>
          <w:szCs w:val="22"/>
        </w:rPr>
        <w:t xml:space="preserve">r. </w:t>
      </w:r>
      <w:r w:rsidR="007947A7" w:rsidRPr="008C5F1C">
        <w:rPr>
          <w:rFonts w:eastAsia="Calibri" w:cs="Arial"/>
          <w:color w:val="333333"/>
          <w:sz w:val="24"/>
          <w:szCs w:val="22"/>
        </w:rPr>
        <w:t>Examples of products this issue applies to include</w:t>
      </w:r>
      <w:r w:rsidR="006A0D53" w:rsidRPr="008C5F1C">
        <w:rPr>
          <w:rFonts w:eastAsia="Calibri" w:cs="Arial"/>
          <w:color w:val="333333"/>
          <w:sz w:val="24"/>
          <w:szCs w:val="22"/>
        </w:rPr>
        <w:t xml:space="preserve"> electric motors and some lighting products</w:t>
      </w:r>
      <w:r w:rsidR="000F778B">
        <w:rPr>
          <w:rFonts w:eastAsia="Calibri" w:cs="Arial"/>
          <w:color w:val="333333"/>
          <w:sz w:val="24"/>
          <w:szCs w:val="22"/>
        </w:rPr>
        <w:t>.</w:t>
      </w:r>
      <w:r w:rsidR="00523F47">
        <w:rPr>
          <w:rFonts w:eastAsia="Calibri" w:cs="Arial"/>
          <w:color w:val="333333"/>
          <w:sz w:val="24"/>
          <w:szCs w:val="22"/>
        </w:rPr>
        <w:t xml:space="preserve"> </w:t>
      </w:r>
    </w:p>
    <w:p w:rsidR="00C06BA1" w:rsidRDefault="00893B34" w:rsidP="00FC65A6">
      <w:pPr>
        <w:suppressAutoHyphens/>
        <w:spacing w:after="200" w:line="288" w:lineRule="auto"/>
        <w:ind w:left="567"/>
        <w:rPr>
          <w:rStyle w:val="Heading3Char1"/>
        </w:rPr>
      </w:pPr>
      <w:bookmarkStart w:id="69" w:name="_Toc503791301"/>
      <w:bookmarkStart w:id="70" w:name="_Toc505072875"/>
      <w:bookmarkStart w:id="71" w:name="_Toc505599606"/>
      <w:bookmarkStart w:id="72" w:name="_Toc505934415"/>
      <w:bookmarkStart w:id="73" w:name="_Toc507142210"/>
      <w:bookmarkStart w:id="74" w:name="_Toc507145465"/>
      <w:r>
        <w:rPr>
          <w:rStyle w:val="Heading3Char1"/>
        </w:rPr>
        <w:t>R</w:t>
      </w:r>
      <w:r w:rsidR="00961E5D" w:rsidRPr="00830ECF">
        <w:rPr>
          <w:rStyle w:val="Heading3Char1"/>
        </w:rPr>
        <w:t>egistration obligation for customised products</w:t>
      </w:r>
      <w:bookmarkEnd w:id="69"/>
      <w:bookmarkEnd w:id="70"/>
      <w:bookmarkEnd w:id="71"/>
      <w:bookmarkEnd w:id="72"/>
      <w:bookmarkEnd w:id="73"/>
      <w:bookmarkEnd w:id="74"/>
    </w:p>
    <w:p w:rsidR="004279F2" w:rsidRDefault="004279F2" w:rsidP="004279F2">
      <w:pPr>
        <w:suppressAutoHyphens/>
        <w:spacing w:after="200" w:line="288" w:lineRule="auto"/>
        <w:ind w:left="567"/>
        <w:rPr>
          <w:rFonts w:eastAsia="Calibri" w:cs="Arial"/>
          <w:color w:val="333333"/>
          <w:sz w:val="24"/>
          <w:szCs w:val="22"/>
        </w:rPr>
      </w:pPr>
      <w:r>
        <w:rPr>
          <w:rFonts w:eastAsia="Calibri" w:cs="Arial"/>
          <w:color w:val="333333"/>
          <w:sz w:val="24"/>
          <w:szCs w:val="22"/>
        </w:rPr>
        <w:t xml:space="preserve">A product must </w:t>
      </w:r>
      <w:r w:rsidR="00405864">
        <w:rPr>
          <w:rFonts w:eastAsia="Calibri" w:cs="Arial"/>
          <w:color w:val="333333"/>
          <w:sz w:val="24"/>
          <w:szCs w:val="22"/>
        </w:rPr>
        <w:t xml:space="preserve">be </w:t>
      </w:r>
      <w:r>
        <w:rPr>
          <w:rFonts w:eastAsia="Calibri" w:cs="Arial"/>
          <w:color w:val="333333"/>
          <w:sz w:val="24"/>
          <w:szCs w:val="22"/>
        </w:rPr>
        <w:t>registered before it can be offered for su</w:t>
      </w:r>
      <w:r w:rsidR="00183C74">
        <w:rPr>
          <w:rFonts w:eastAsia="Calibri" w:cs="Arial"/>
          <w:color w:val="333333"/>
          <w:sz w:val="24"/>
          <w:szCs w:val="22"/>
        </w:rPr>
        <w:t xml:space="preserve">pply in the Australian market. </w:t>
      </w:r>
      <w:r>
        <w:rPr>
          <w:rFonts w:eastAsia="Calibri" w:cs="Arial"/>
          <w:color w:val="333333"/>
          <w:sz w:val="24"/>
          <w:szCs w:val="22"/>
        </w:rPr>
        <w:t>For standardised consumer products, what constitutes an offer to supply is generally very clear. However, for customised products, whose specifications are often settled through conversation between the supplier and the customer, this is not necessarily the case</w:t>
      </w:r>
      <w:r w:rsidR="001C32E2">
        <w:rPr>
          <w:rFonts w:eastAsia="Calibri" w:cs="Arial"/>
          <w:color w:val="333333"/>
          <w:sz w:val="24"/>
          <w:szCs w:val="22"/>
        </w:rPr>
        <w:t xml:space="preserve">. </w:t>
      </w:r>
    </w:p>
    <w:p w:rsidR="00961E5D" w:rsidRDefault="004B0D98" w:rsidP="00FC65A6">
      <w:pPr>
        <w:suppressAutoHyphens/>
        <w:spacing w:after="200" w:line="288" w:lineRule="auto"/>
        <w:ind w:left="567"/>
        <w:rPr>
          <w:rFonts w:eastAsia="Calibri" w:cs="Arial"/>
          <w:color w:val="333333"/>
          <w:sz w:val="24"/>
          <w:szCs w:val="22"/>
        </w:rPr>
      </w:pPr>
      <w:r w:rsidRPr="00DC08FC">
        <w:rPr>
          <w:rFonts w:eastAsia="Calibri" w:cs="Arial"/>
          <w:color w:val="333333"/>
          <w:sz w:val="24"/>
          <w:szCs w:val="22"/>
        </w:rPr>
        <w:t xml:space="preserve">Stakeholders have expressed </w:t>
      </w:r>
      <w:r w:rsidR="00325512" w:rsidRPr="00DC08FC">
        <w:rPr>
          <w:rFonts w:eastAsia="Calibri" w:cs="Arial"/>
          <w:color w:val="333333"/>
          <w:sz w:val="24"/>
          <w:szCs w:val="22"/>
        </w:rPr>
        <w:t>some confusion a</w:t>
      </w:r>
      <w:r w:rsidR="00961E5D" w:rsidRPr="00DC08FC">
        <w:rPr>
          <w:rFonts w:eastAsia="Calibri" w:cs="Arial"/>
          <w:color w:val="333333"/>
          <w:sz w:val="24"/>
          <w:szCs w:val="22"/>
        </w:rPr>
        <w:t>t what point in the back-and-forth process between the supplier and customer the obligation to register</w:t>
      </w:r>
      <w:r w:rsidR="00DE1AA3" w:rsidRPr="00DC08FC">
        <w:rPr>
          <w:rFonts w:eastAsia="Calibri" w:cs="Arial"/>
          <w:color w:val="333333"/>
          <w:sz w:val="24"/>
          <w:szCs w:val="22"/>
        </w:rPr>
        <w:t xml:space="preserve"> or the “offer to supply” is</w:t>
      </w:r>
      <w:r w:rsidR="00961E5D" w:rsidRPr="00DC08FC">
        <w:rPr>
          <w:rFonts w:eastAsia="Calibri" w:cs="Arial"/>
          <w:color w:val="333333"/>
          <w:sz w:val="24"/>
          <w:szCs w:val="22"/>
        </w:rPr>
        <w:t xml:space="preserve"> triggered</w:t>
      </w:r>
      <w:r w:rsidR="00325512" w:rsidRPr="00DC08FC">
        <w:rPr>
          <w:rFonts w:eastAsia="Calibri" w:cs="Arial"/>
          <w:color w:val="333333"/>
          <w:sz w:val="24"/>
          <w:szCs w:val="22"/>
        </w:rPr>
        <w:t>. Additionally there are practical concerns raised by industry in that the GEMS Act requires a registration when a sale may never be made.</w:t>
      </w:r>
      <w:r w:rsidR="00325512">
        <w:rPr>
          <w:rFonts w:eastAsia="Calibri" w:cs="Arial"/>
          <w:color w:val="333333"/>
          <w:sz w:val="24"/>
          <w:szCs w:val="22"/>
        </w:rPr>
        <w:t xml:space="preserve"> </w:t>
      </w:r>
    </w:p>
    <w:p w:rsidR="00405864" w:rsidRDefault="00405864">
      <w:pPr>
        <w:suppressAutoHyphens/>
        <w:spacing w:after="200" w:line="288" w:lineRule="auto"/>
        <w:ind w:left="567"/>
        <w:rPr>
          <w:rFonts w:eastAsia="Calibri" w:cs="Arial"/>
          <w:color w:val="333333"/>
          <w:sz w:val="24"/>
          <w:szCs w:val="22"/>
        </w:rPr>
      </w:pPr>
      <w:r w:rsidRPr="00830ECF">
        <w:rPr>
          <w:rFonts w:eastAsia="Calibri" w:cs="Arial"/>
          <w:color w:val="333333"/>
          <w:sz w:val="24"/>
          <w:szCs w:val="22"/>
        </w:rPr>
        <w:t>Examples of products this issue applies to include low-volume/bespoke refrigerated display cabinets</w:t>
      </w:r>
      <w:r>
        <w:rPr>
          <w:rFonts w:eastAsia="Calibri" w:cs="Arial"/>
          <w:color w:val="333333"/>
          <w:sz w:val="24"/>
          <w:szCs w:val="22"/>
        </w:rPr>
        <w:t xml:space="preserve">, </w:t>
      </w:r>
      <w:r w:rsidRPr="00830ECF">
        <w:rPr>
          <w:rFonts w:eastAsia="Calibri" w:cs="Arial"/>
          <w:color w:val="333333"/>
          <w:sz w:val="24"/>
          <w:szCs w:val="22"/>
        </w:rPr>
        <w:t>customised air conditioners</w:t>
      </w:r>
      <w:r>
        <w:rPr>
          <w:rFonts w:eastAsia="Calibri" w:cs="Arial"/>
          <w:color w:val="333333"/>
          <w:sz w:val="24"/>
          <w:szCs w:val="22"/>
        </w:rPr>
        <w:t xml:space="preserve"> and chillers. </w:t>
      </w:r>
      <w:r w:rsidR="001C32E2">
        <w:rPr>
          <w:rFonts w:eastAsia="Calibri" w:cs="Arial"/>
          <w:color w:val="333333"/>
          <w:sz w:val="24"/>
          <w:szCs w:val="22"/>
        </w:rPr>
        <w:t xml:space="preserve">(See </w:t>
      </w:r>
      <w:r w:rsidR="001C32E2" w:rsidRPr="00586F84">
        <w:rPr>
          <w:rFonts w:eastAsia="Calibri" w:cs="Arial"/>
          <w:b/>
          <w:color w:val="333333"/>
          <w:sz w:val="24"/>
          <w:szCs w:val="22"/>
        </w:rPr>
        <w:t>Box 5</w:t>
      </w:r>
      <w:r w:rsidR="001C32E2">
        <w:rPr>
          <w:rFonts w:eastAsia="Calibri" w:cs="Arial"/>
          <w:color w:val="333333"/>
          <w:sz w:val="24"/>
          <w:szCs w:val="22"/>
        </w:rPr>
        <w:t xml:space="preserve"> for an example). </w:t>
      </w:r>
    </w:p>
    <w:p w:rsidR="00642358" w:rsidRPr="00830ECF" w:rsidRDefault="00405864" w:rsidP="00FC65A6">
      <w:pPr>
        <w:suppressAutoHyphens/>
        <w:spacing w:after="200" w:line="288" w:lineRule="auto"/>
        <w:ind w:left="567"/>
        <w:rPr>
          <w:rStyle w:val="Heading3Char1"/>
        </w:rPr>
      </w:pPr>
      <w:bookmarkStart w:id="75" w:name="_Toc505599607"/>
      <w:bookmarkStart w:id="76" w:name="_Toc505934416"/>
      <w:bookmarkStart w:id="77" w:name="_Toc507142211"/>
      <w:bookmarkStart w:id="78" w:name="_Toc507145466"/>
      <w:r>
        <w:rPr>
          <w:rStyle w:val="Heading3Char1"/>
        </w:rPr>
        <w:t>Multiple registration requirements</w:t>
      </w:r>
      <w:bookmarkEnd w:id="75"/>
      <w:bookmarkEnd w:id="76"/>
      <w:bookmarkEnd w:id="77"/>
      <w:bookmarkEnd w:id="78"/>
    </w:p>
    <w:p w:rsidR="00F84B85" w:rsidRDefault="00405864" w:rsidP="0018382B">
      <w:pPr>
        <w:suppressAutoHyphens/>
        <w:spacing w:after="200" w:line="288" w:lineRule="auto"/>
        <w:ind w:left="567"/>
        <w:rPr>
          <w:rFonts w:eastAsia="Calibri"/>
          <w:b/>
          <w:i/>
          <w:sz w:val="24"/>
          <w:szCs w:val="22"/>
        </w:rPr>
      </w:pPr>
      <w:r>
        <w:rPr>
          <w:rFonts w:eastAsia="Calibri"/>
          <w:sz w:val="24"/>
          <w:szCs w:val="22"/>
        </w:rPr>
        <w:t xml:space="preserve">Some GEMS products are required to be registered under other sets of regulations, which </w:t>
      </w:r>
      <w:r w:rsidR="0018382B">
        <w:rPr>
          <w:rFonts w:eastAsia="Calibri"/>
          <w:sz w:val="24"/>
          <w:szCs w:val="22"/>
        </w:rPr>
        <w:t>increases</w:t>
      </w:r>
      <w:r>
        <w:rPr>
          <w:rFonts w:eastAsia="Calibri"/>
          <w:sz w:val="24"/>
          <w:szCs w:val="22"/>
        </w:rPr>
        <w:t xml:space="preserve"> costs </w:t>
      </w:r>
      <w:r w:rsidR="0018382B">
        <w:rPr>
          <w:rFonts w:eastAsia="Calibri"/>
          <w:sz w:val="24"/>
          <w:szCs w:val="22"/>
        </w:rPr>
        <w:t xml:space="preserve">for industry. </w:t>
      </w:r>
      <w:r w:rsidR="00642358" w:rsidRPr="00830ECF">
        <w:rPr>
          <w:rFonts w:eastAsia="Calibri"/>
          <w:sz w:val="24"/>
          <w:szCs w:val="22"/>
        </w:rPr>
        <w:t xml:space="preserve">The GEMS Regulator has fairly broad discretion in regard to the manner and form in which registration applications are made, so there is sufficient flexibility </w:t>
      </w:r>
      <w:r w:rsidR="00642358" w:rsidRPr="00586F84">
        <w:rPr>
          <w:rFonts w:eastAsia="Calibri"/>
          <w:sz w:val="24"/>
          <w:szCs w:val="22"/>
        </w:rPr>
        <w:t>from a legislative perspective</w:t>
      </w:r>
      <w:r w:rsidR="00642358" w:rsidRPr="00830ECF">
        <w:rPr>
          <w:rFonts w:eastAsia="Calibri"/>
          <w:sz w:val="24"/>
          <w:szCs w:val="22"/>
        </w:rPr>
        <w:t xml:space="preserve"> to explore </w:t>
      </w:r>
      <w:r w:rsidR="0018382B">
        <w:rPr>
          <w:rFonts w:eastAsia="Calibri"/>
          <w:sz w:val="24"/>
          <w:szCs w:val="22"/>
        </w:rPr>
        <w:t>streamlining with other registration systems as suggested by some stakeholders</w:t>
      </w:r>
      <w:r w:rsidR="00FE176A">
        <w:rPr>
          <w:rFonts w:eastAsia="Calibri"/>
          <w:sz w:val="24"/>
          <w:szCs w:val="22"/>
        </w:rPr>
        <w:t>.</w:t>
      </w:r>
      <w:r w:rsidR="00AA6776">
        <w:rPr>
          <w:rFonts w:eastAsia="Calibri"/>
          <w:sz w:val="24"/>
          <w:szCs w:val="22"/>
        </w:rPr>
        <w:t xml:space="preserve"> </w:t>
      </w:r>
    </w:p>
    <w:p w:rsidR="00F84B85" w:rsidRDefault="00C30EE4" w:rsidP="0018382B">
      <w:pPr>
        <w:suppressAutoHyphens/>
        <w:spacing w:after="200" w:line="288" w:lineRule="auto"/>
        <w:ind w:left="567"/>
        <w:rPr>
          <w:rFonts w:eastAsia="Calibri"/>
          <w:b/>
          <w:sz w:val="24"/>
          <w:szCs w:val="22"/>
        </w:rPr>
      </w:pPr>
      <w:r>
        <w:rPr>
          <w:rFonts w:eastAsia="Calibri"/>
          <w:b/>
          <w:sz w:val="24"/>
          <w:szCs w:val="22"/>
        </w:rPr>
        <w:t>‘</w:t>
      </w:r>
      <w:r w:rsidR="00F84B85">
        <w:rPr>
          <w:rFonts w:eastAsia="Calibri"/>
          <w:b/>
          <w:sz w:val="24"/>
          <w:szCs w:val="22"/>
        </w:rPr>
        <w:t>Grandfathering</w:t>
      </w:r>
      <w:r>
        <w:rPr>
          <w:rFonts w:eastAsia="Calibri"/>
          <w:b/>
          <w:sz w:val="24"/>
          <w:szCs w:val="22"/>
        </w:rPr>
        <w:t>’</w:t>
      </w:r>
      <w:r w:rsidR="00F84B85">
        <w:rPr>
          <w:rFonts w:eastAsia="Calibri"/>
          <w:b/>
          <w:sz w:val="24"/>
          <w:szCs w:val="22"/>
        </w:rPr>
        <w:t xml:space="preserve"> and the registration of newly regulated products</w:t>
      </w:r>
    </w:p>
    <w:p w:rsidR="00C30EE4" w:rsidRPr="00586F84" w:rsidRDefault="00C30EE4" w:rsidP="00C30EE4">
      <w:pPr>
        <w:suppressAutoHyphens/>
        <w:spacing w:after="200" w:line="288" w:lineRule="auto"/>
        <w:ind w:left="567"/>
        <w:rPr>
          <w:rFonts w:eastAsia="Calibri" w:cs="Arial"/>
          <w:color w:val="333333"/>
          <w:sz w:val="24"/>
          <w:szCs w:val="22"/>
        </w:rPr>
      </w:pPr>
      <w:r>
        <w:rPr>
          <w:rFonts w:eastAsia="Calibri" w:cs="Arial"/>
          <w:color w:val="333333"/>
          <w:sz w:val="24"/>
          <w:szCs w:val="22"/>
        </w:rPr>
        <w:t>T</w:t>
      </w:r>
      <w:r w:rsidRPr="00586F84">
        <w:rPr>
          <w:rFonts w:eastAsia="Calibri" w:cs="Arial"/>
          <w:color w:val="333333"/>
          <w:sz w:val="24"/>
          <w:szCs w:val="22"/>
        </w:rPr>
        <w:t>he approach to grandfathering under the GEMS Act is different to the approach that was taken under the previous state and territory legislative frameworks.  Broadly speaking, state and territory regulators generally took the position that no product which was in Australia prior to new requirements taking effect needed to comply with those requirements (though there were differences between jurisdictions around the period for which this was the case).  In practice, this was applied to both MEPS/labelling requirements and registration requirements.</w:t>
      </w:r>
    </w:p>
    <w:p w:rsidR="001C32E2" w:rsidRPr="00586F84" w:rsidRDefault="00C30EE4">
      <w:pPr>
        <w:suppressAutoHyphens/>
        <w:spacing w:after="200" w:line="288" w:lineRule="auto"/>
        <w:ind w:left="567"/>
        <w:rPr>
          <w:rFonts w:eastAsia="Calibri" w:cs="Arial"/>
          <w:color w:val="333333"/>
          <w:sz w:val="24"/>
          <w:szCs w:val="22"/>
        </w:rPr>
      </w:pPr>
      <w:r w:rsidRPr="00586F84">
        <w:rPr>
          <w:rFonts w:eastAsia="Calibri" w:cs="Arial"/>
          <w:color w:val="333333"/>
          <w:sz w:val="24"/>
          <w:szCs w:val="22"/>
        </w:rPr>
        <w:t xml:space="preserve">Under the GEMS Act grandfathering arrangements are only made for products that cannot comply with new or revised requirements.  Products covered by these arrangements are allowed to be supplied unregistered because the Act does not allow a non-compliant product to be registered.  Aside from this, the general presumption in the Act is that a regulated product must be registered – for newly regulated products that can comply with the requirements of a GEMS determination, no distinction is made between stock that was in the country prior to the requirements taking effect and stock that arrives afterward for the purposes of the registration obligation. Therefore all products that can comply with the new MEPS/labelling requirements must be registered/labelled by the effective date regardless of </w:t>
      </w:r>
      <w:r w:rsidR="001C32E2" w:rsidRPr="00674732">
        <w:rPr>
          <w:rFonts w:eastAsia="Calibri" w:cs="Arial"/>
          <w:noProof/>
          <w:color w:val="333333"/>
          <w:sz w:val="24"/>
          <w:szCs w:val="22"/>
          <w:lang w:eastAsia="en-AU"/>
        </w:rPr>
        <mc:AlternateContent>
          <mc:Choice Requires="wps">
            <w:drawing>
              <wp:anchor distT="45720" distB="45720" distL="114300" distR="114300" simplePos="0" relativeHeight="251699200" behindDoc="0" locked="0" layoutInCell="1" allowOverlap="1" wp14:anchorId="0BEBBB4F" wp14:editId="7B1A1ED8">
                <wp:simplePos x="0" y="0"/>
                <wp:positionH relativeFrom="page">
                  <wp:posOffset>799092</wp:posOffset>
                </wp:positionH>
                <wp:positionV relativeFrom="paragraph">
                  <wp:posOffset>1568209</wp:posOffset>
                </wp:positionV>
                <wp:extent cx="6153785" cy="1404620"/>
                <wp:effectExtent l="0" t="0" r="18415" b="2603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404620"/>
                        </a:xfrm>
                        <a:prstGeom prst="rect">
                          <a:avLst/>
                        </a:prstGeom>
                        <a:solidFill>
                          <a:srgbClr val="FFFFFF"/>
                        </a:solidFill>
                        <a:ln w="9525">
                          <a:solidFill>
                            <a:srgbClr val="000000"/>
                          </a:solidFill>
                          <a:miter lim="800000"/>
                          <a:headEnd/>
                          <a:tailEnd/>
                        </a:ln>
                      </wps:spPr>
                      <wps:txbx>
                        <w:txbxContent>
                          <w:p w:rsidR="00E12B40" w:rsidRPr="00A74619" w:rsidRDefault="00E12B40" w:rsidP="00586F84">
                            <w:pPr>
                              <w:spacing w:before="120" w:after="120" w:line="288" w:lineRule="auto"/>
                              <w:rPr>
                                <w:b/>
                                <w:sz w:val="24"/>
                              </w:rPr>
                            </w:pPr>
                            <w:r w:rsidRPr="00217A00">
                              <w:rPr>
                                <w:b/>
                                <w:sz w:val="24"/>
                              </w:rPr>
                              <w:t>Box 5</w:t>
                            </w:r>
                            <w:r w:rsidRPr="002F0046">
                              <w:rPr>
                                <w:b/>
                                <w:sz w:val="24"/>
                              </w:rPr>
                              <w:t xml:space="preserve">: </w:t>
                            </w:r>
                            <w:r w:rsidRPr="006421AA">
                              <w:rPr>
                                <w:b/>
                                <w:sz w:val="24"/>
                              </w:rPr>
                              <w:t>Problems with registering chillers</w:t>
                            </w:r>
                          </w:p>
                          <w:p w:rsidR="00E12B40" w:rsidRPr="00586F84" w:rsidRDefault="00E12B40" w:rsidP="00586F84">
                            <w:pPr>
                              <w:suppressAutoHyphens/>
                              <w:spacing w:after="120" w:line="288" w:lineRule="auto"/>
                              <w:ind w:left="142"/>
                              <w:rPr>
                                <w:rFonts w:eastAsia="Calibri"/>
                                <w:sz w:val="24"/>
                                <w:szCs w:val="24"/>
                              </w:rPr>
                            </w:pPr>
                            <w:r w:rsidRPr="00586F84">
                              <w:rPr>
                                <w:rFonts w:eastAsia="Calibri"/>
                                <w:sz w:val="24"/>
                                <w:szCs w:val="24"/>
                              </w:rPr>
                              <w:t>Chillers are large refrigeration units designed to chill water for circulation through the air handling units of a building’s heating, ventilating and air conditioning system.</w:t>
                            </w:r>
                          </w:p>
                          <w:p w:rsidR="00E12B40" w:rsidRPr="00586F84" w:rsidRDefault="00E12B40" w:rsidP="00586F84">
                            <w:pPr>
                              <w:suppressAutoHyphens/>
                              <w:spacing w:after="120" w:line="288" w:lineRule="auto"/>
                              <w:ind w:left="142"/>
                              <w:rPr>
                                <w:rFonts w:eastAsia="Calibri"/>
                                <w:sz w:val="24"/>
                                <w:szCs w:val="24"/>
                              </w:rPr>
                            </w:pPr>
                            <w:r w:rsidRPr="00586F84">
                              <w:rPr>
                                <w:rFonts w:eastAsia="Calibri"/>
                                <w:sz w:val="24"/>
                                <w:szCs w:val="24"/>
                              </w:rPr>
                              <w:t xml:space="preserve">The capacity (cooling power output) of a single large chiller can be varied according to the application for which it is being sold. For instance, two physically identical chillers could be rated at 1,200 kilowatts (kW) and 1,400 kW (or anything in between). </w:t>
                            </w:r>
                          </w:p>
                          <w:p w:rsidR="00E12B40" w:rsidRPr="00586F84" w:rsidRDefault="00E12B40" w:rsidP="00586F84">
                            <w:pPr>
                              <w:suppressAutoHyphens/>
                              <w:spacing w:after="120" w:line="288" w:lineRule="auto"/>
                              <w:ind w:left="142"/>
                              <w:rPr>
                                <w:rFonts w:eastAsia="Calibri"/>
                                <w:sz w:val="24"/>
                                <w:szCs w:val="24"/>
                              </w:rPr>
                            </w:pPr>
                            <w:r w:rsidRPr="00586F84">
                              <w:rPr>
                                <w:rFonts w:eastAsia="Calibri"/>
                                <w:sz w:val="24"/>
                                <w:szCs w:val="24"/>
                              </w:rPr>
                              <w:t>There is confusion as to whether a catalogue of nominal models constitutes an offer to supply, triggering the requirement to register them all. These ‘nominal models’ generally only represent indicative performance of what the range can do; they may not actually ever be built or supplied.</w:t>
                            </w:r>
                          </w:p>
                          <w:p w:rsidR="00E12B40" w:rsidRPr="00586F84" w:rsidRDefault="00E12B40" w:rsidP="00586F84">
                            <w:pPr>
                              <w:suppressAutoHyphens/>
                              <w:spacing w:after="120" w:line="288" w:lineRule="auto"/>
                              <w:ind w:left="142"/>
                              <w:rPr>
                                <w:rFonts w:eastAsia="Calibri"/>
                                <w:sz w:val="24"/>
                                <w:szCs w:val="24"/>
                              </w:rPr>
                            </w:pPr>
                            <w:r>
                              <w:rPr>
                                <w:rFonts w:eastAsia="Calibri"/>
                                <w:sz w:val="24"/>
                                <w:szCs w:val="24"/>
                              </w:rPr>
                              <w:t>E</w:t>
                            </w:r>
                            <w:r w:rsidRPr="00586F84">
                              <w:rPr>
                                <w:rFonts w:eastAsia="Calibri"/>
                                <w:sz w:val="24"/>
                                <w:szCs w:val="24"/>
                              </w:rPr>
                              <w:t>xact model numbers and capacities for large chillers are often not finalised until a customised product is ordered by a customer. For instance, the rated capacity (in kW) generally forms part of the model number string. However, the exact capacity is specified by the buyer based on their building’s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BBB4F" id="_x0000_s1030" type="#_x0000_t202" style="position:absolute;left:0;text-align:left;margin-left:62.9pt;margin-top:123.5pt;width:484.55pt;height:110.6pt;z-index:2516992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h0JwIAAE0EAAAOAAAAZHJzL2Uyb0RvYy54bWysVNtu2zAMfR+wfxD0vtjJnDQ14hRdugwD&#10;ugvQ7gNoWY6F6TZJid19fSk5yYJuexnmB0EUqSPyHNKrm0FJcuDOC6MrOp3klHDNTCP0rqLfHrdv&#10;lpT4ALoBaTSv6BP39Gb9+tWqtyWfmc7IhjuCINqXva1oF4Its8yzjivwE2O5RmdrnIKApttljYMe&#10;0ZXMZnm+yHrjGusM497j6d3opOuE37achS9t63kgsqKYW0irS2sd12y9gnLnwHaCHdOAf8hCgdD4&#10;6BnqDgKQvRO/QSnBnPGmDRNmVGbaVjCeasBqpvmLah46sDzVguR4e6bJ/z9Y9vnw1RHRoHYFJRoU&#10;avTIh0DemYHMIj299SVGPViMCwMeY2gq1dt7w757os2mA73jt86ZvuPQYHrTeDO7uDri+AhS959M&#10;g8/APpgENLRORe6QDYLoKNPTWZqYCsPDxXT+9mo5p4Shb1rkxWKWxMugPF23zocP3CgSNxV1qH2C&#10;h8O9DzEdKE8h8TVvpGi2QspkuF29kY4cAPtkm75UwYswqUlf0ev5bD4y8FeIPH1/glAiYMNLoSq6&#10;PAdBGXl7r5vUjgGEHPeYstRHIiN3I4thqIckWXHSpzbNEzLrzNjfOI+46Yz7SUmPvV1R/2MPjlMi&#10;P2pU53paFHEYklHMr5BK4i499aUHNEOoigZKxu0mpAFKvNlbVHErEr9R7jGTY8rYs4n243zFobi0&#10;U9Svv8D6GQAA//8DAFBLAwQUAAYACAAAACEAy56hauAAAAAMAQAADwAAAGRycy9kb3ducmV2Lnht&#10;bEyPQU/CQBSE7yT+h80z8UJka20r1G6JknDiRMX70n22jd23tbtA+fc+TnqczGTmm2I92V6ccfSd&#10;IwVPiwgEUu1MR42Cw8f2cQnCB01G945QwRU9rMu7WaFz4y60x3MVGsEl5HOtoA1hyKX0dYtW+4Ub&#10;kNj7cqPVgeXYSDPqC5fbXsZRlEmrO+KFVg+4abH+rk5WQfZTPc93n2ZO++v2faxtajaHVKmH++nt&#10;FUTAKfyF4YbP6FAy09GdyHjRs45TRg8K4uSFT90S0SpZgTgqSLJlDLIs5P8T5S8AAAD//wMAUEsB&#10;Ai0AFAAGAAgAAAAhALaDOJL+AAAA4QEAABMAAAAAAAAAAAAAAAAAAAAAAFtDb250ZW50X1R5cGVz&#10;XS54bWxQSwECLQAUAAYACAAAACEAOP0h/9YAAACUAQAACwAAAAAAAAAAAAAAAAAvAQAAX3JlbHMv&#10;LnJlbHNQSwECLQAUAAYACAAAACEA4zWodCcCAABNBAAADgAAAAAAAAAAAAAAAAAuAgAAZHJzL2Uy&#10;b0RvYy54bWxQSwECLQAUAAYACAAAACEAy56hauAAAAAMAQAADwAAAAAAAAAAAAAAAACBBAAAZHJz&#10;L2Rvd25yZXYueG1sUEsFBgAAAAAEAAQA8wAAAI4FAAAAAA==&#10;">
                <v:textbox style="mso-fit-shape-to-text:t">
                  <w:txbxContent>
                    <w:p w:rsidR="00E12B40" w:rsidRPr="00A74619" w:rsidRDefault="00E12B40" w:rsidP="00586F84">
                      <w:pPr>
                        <w:spacing w:before="120" w:after="120" w:line="288" w:lineRule="auto"/>
                        <w:rPr>
                          <w:b/>
                          <w:sz w:val="24"/>
                        </w:rPr>
                      </w:pPr>
                      <w:r w:rsidRPr="00217A00">
                        <w:rPr>
                          <w:b/>
                          <w:sz w:val="24"/>
                        </w:rPr>
                        <w:t>Box 5</w:t>
                      </w:r>
                      <w:r w:rsidRPr="002F0046">
                        <w:rPr>
                          <w:b/>
                          <w:sz w:val="24"/>
                        </w:rPr>
                        <w:t xml:space="preserve">: </w:t>
                      </w:r>
                      <w:r w:rsidRPr="006421AA">
                        <w:rPr>
                          <w:b/>
                          <w:sz w:val="24"/>
                        </w:rPr>
                        <w:t>Problems with registering chillers</w:t>
                      </w:r>
                    </w:p>
                    <w:p w:rsidR="00E12B40" w:rsidRPr="00586F84" w:rsidRDefault="00E12B40" w:rsidP="00586F84">
                      <w:pPr>
                        <w:suppressAutoHyphens/>
                        <w:spacing w:after="120" w:line="288" w:lineRule="auto"/>
                        <w:ind w:left="142"/>
                        <w:rPr>
                          <w:rFonts w:eastAsia="Calibri"/>
                          <w:sz w:val="24"/>
                          <w:szCs w:val="24"/>
                        </w:rPr>
                      </w:pPr>
                      <w:r w:rsidRPr="00586F84">
                        <w:rPr>
                          <w:rFonts w:eastAsia="Calibri"/>
                          <w:sz w:val="24"/>
                          <w:szCs w:val="24"/>
                        </w:rPr>
                        <w:t>Chillers are large refrigeration units designed to chill water for circulation through the air handling units of a building’s heating, ventilating and air conditioning system.</w:t>
                      </w:r>
                    </w:p>
                    <w:p w:rsidR="00E12B40" w:rsidRPr="00586F84" w:rsidRDefault="00E12B40" w:rsidP="00586F84">
                      <w:pPr>
                        <w:suppressAutoHyphens/>
                        <w:spacing w:after="120" w:line="288" w:lineRule="auto"/>
                        <w:ind w:left="142"/>
                        <w:rPr>
                          <w:rFonts w:eastAsia="Calibri"/>
                          <w:sz w:val="24"/>
                          <w:szCs w:val="24"/>
                        </w:rPr>
                      </w:pPr>
                      <w:r w:rsidRPr="00586F84">
                        <w:rPr>
                          <w:rFonts w:eastAsia="Calibri"/>
                          <w:sz w:val="24"/>
                          <w:szCs w:val="24"/>
                        </w:rPr>
                        <w:t xml:space="preserve">The capacity (cooling power output) of a single large chiller can be varied according to the application for which it is being sold. For instance, two physically identical chillers could be rated at 1,200 kilowatts (kW) and 1,400 kW (or anything in between). </w:t>
                      </w:r>
                    </w:p>
                    <w:p w:rsidR="00E12B40" w:rsidRPr="00586F84" w:rsidRDefault="00E12B40" w:rsidP="00586F84">
                      <w:pPr>
                        <w:suppressAutoHyphens/>
                        <w:spacing w:after="120" w:line="288" w:lineRule="auto"/>
                        <w:ind w:left="142"/>
                        <w:rPr>
                          <w:rFonts w:eastAsia="Calibri"/>
                          <w:sz w:val="24"/>
                          <w:szCs w:val="24"/>
                        </w:rPr>
                      </w:pPr>
                      <w:r w:rsidRPr="00586F84">
                        <w:rPr>
                          <w:rFonts w:eastAsia="Calibri"/>
                          <w:sz w:val="24"/>
                          <w:szCs w:val="24"/>
                        </w:rPr>
                        <w:t>There is confusion as to whether a catalogue of nominal models constitutes an offer to supply, triggering the requirement to register them all. These ‘nominal models’ generally only represent indicative performance of what the range can do; they may not actually ever be built or supplied.</w:t>
                      </w:r>
                    </w:p>
                    <w:p w:rsidR="00E12B40" w:rsidRPr="00586F84" w:rsidRDefault="00E12B40" w:rsidP="00586F84">
                      <w:pPr>
                        <w:suppressAutoHyphens/>
                        <w:spacing w:after="120" w:line="288" w:lineRule="auto"/>
                        <w:ind w:left="142"/>
                        <w:rPr>
                          <w:rFonts w:eastAsia="Calibri"/>
                          <w:sz w:val="24"/>
                          <w:szCs w:val="24"/>
                        </w:rPr>
                      </w:pPr>
                      <w:r>
                        <w:rPr>
                          <w:rFonts w:eastAsia="Calibri"/>
                          <w:sz w:val="24"/>
                          <w:szCs w:val="24"/>
                        </w:rPr>
                        <w:t>E</w:t>
                      </w:r>
                      <w:r w:rsidRPr="00586F84">
                        <w:rPr>
                          <w:rFonts w:eastAsia="Calibri"/>
                          <w:sz w:val="24"/>
                          <w:szCs w:val="24"/>
                        </w:rPr>
                        <w:t>xact model numbers and capacities for large chillers are often not finalised until a customised product is ordered by a customer. For instance, the rated capacity (in kW) generally forms part of the model number string. However, the exact capacity is specified by the buyer based on their building’s requirements.</w:t>
                      </w:r>
                    </w:p>
                  </w:txbxContent>
                </v:textbox>
                <w10:wrap type="topAndBottom" anchorx="page"/>
              </v:shape>
            </w:pict>
          </mc:Fallback>
        </mc:AlternateContent>
      </w:r>
      <w:r w:rsidRPr="00586F84">
        <w:rPr>
          <w:rFonts w:eastAsia="Calibri" w:cs="Arial"/>
          <w:color w:val="333333"/>
          <w:sz w:val="24"/>
          <w:szCs w:val="22"/>
        </w:rPr>
        <w:t>the date of importation of the product.</w:t>
      </w:r>
    </w:p>
    <w:p w:rsidR="0057203E" w:rsidRPr="00B36882" w:rsidRDefault="0057203E" w:rsidP="0032529E">
      <w:pPr>
        <w:pStyle w:val="Heading2"/>
      </w:pPr>
      <w:bookmarkStart w:id="79" w:name="_Toc507145467"/>
      <w:proofErr w:type="gramStart"/>
      <w:r w:rsidRPr="00B36882">
        <w:t>5.3  Consultation</w:t>
      </w:r>
      <w:proofErr w:type="gramEnd"/>
      <w:r w:rsidRPr="00B36882">
        <w:t xml:space="preserve"> questions specific to this section</w:t>
      </w:r>
      <w:bookmarkEnd w:id="79"/>
    </w:p>
    <w:p w:rsidR="00132282" w:rsidRPr="00B36882" w:rsidRDefault="00132282" w:rsidP="00165CC2">
      <w:pPr>
        <w:numPr>
          <w:ilvl w:val="0"/>
          <w:numId w:val="3"/>
        </w:numPr>
        <w:suppressAutoHyphens/>
        <w:spacing w:after="120" w:line="288" w:lineRule="auto"/>
        <w:ind w:left="993" w:hanging="426"/>
        <w:rPr>
          <w:rFonts w:eastAsia="Calibri"/>
          <w:sz w:val="24"/>
          <w:szCs w:val="22"/>
        </w:rPr>
      </w:pPr>
      <w:r w:rsidRPr="00B36882">
        <w:rPr>
          <w:rFonts w:eastAsia="Calibri"/>
          <w:sz w:val="24"/>
          <w:szCs w:val="22"/>
        </w:rPr>
        <w:t xml:space="preserve">Is the balance between flexibility and risk set at the appropriate point for family registrations where a large number of models </w:t>
      </w:r>
      <w:r w:rsidR="00D3461B" w:rsidRPr="00B36882">
        <w:rPr>
          <w:rFonts w:eastAsia="Calibri"/>
          <w:sz w:val="24"/>
          <w:szCs w:val="22"/>
        </w:rPr>
        <w:t>are</w:t>
      </w:r>
      <w:r w:rsidRPr="00B36882">
        <w:rPr>
          <w:rFonts w:eastAsia="Calibri"/>
          <w:sz w:val="24"/>
          <w:szCs w:val="22"/>
        </w:rPr>
        <w:t xml:space="preserve"> allowed in the family? </w:t>
      </w:r>
    </w:p>
    <w:p w:rsidR="0057203E" w:rsidRPr="00B36882" w:rsidRDefault="0057203E" w:rsidP="0032529E">
      <w:pPr>
        <w:numPr>
          <w:ilvl w:val="0"/>
          <w:numId w:val="3"/>
        </w:numPr>
        <w:suppressAutoHyphens/>
        <w:spacing w:after="120" w:line="288" w:lineRule="auto"/>
        <w:ind w:left="993" w:hanging="426"/>
        <w:rPr>
          <w:rFonts w:eastAsia="Calibri"/>
          <w:sz w:val="24"/>
          <w:szCs w:val="22"/>
        </w:rPr>
      </w:pPr>
      <w:r w:rsidRPr="00B36882">
        <w:rPr>
          <w:rFonts w:eastAsia="Calibri"/>
          <w:sz w:val="24"/>
          <w:szCs w:val="22"/>
        </w:rPr>
        <w:t xml:space="preserve">Are there improvements that should be made to the GEMS registration system (in addition to those summarised in </w:t>
      </w:r>
      <w:r w:rsidRPr="00B36882">
        <w:rPr>
          <w:rFonts w:eastAsia="Calibri"/>
          <w:b/>
          <w:sz w:val="24"/>
          <w:szCs w:val="22"/>
        </w:rPr>
        <w:t>Box 4</w:t>
      </w:r>
      <w:r w:rsidRPr="00B36882">
        <w:rPr>
          <w:rFonts w:eastAsia="Calibri"/>
          <w:sz w:val="24"/>
          <w:szCs w:val="22"/>
        </w:rPr>
        <w:t>)?</w:t>
      </w:r>
    </w:p>
    <w:p w:rsidR="00132282" w:rsidRPr="00B36882" w:rsidRDefault="00132282" w:rsidP="00165CC2">
      <w:pPr>
        <w:numPr>
          <w:ilvl w:val="0"/>
          <w:numId w:val="3"/>
        </w:numPr>
        <w:suppressAutoHyphens/>
        <w:spacing w:after="120" w:line="288" w:lineRule="auto"/>
        <w:ind w:left="993" w:hanging="426"/>
        <w:rPr>
          <w:rFonts w:eastAsia="Calibri"/>
          <w:sz w:val="24"/>
          <w:szCs w:val="22"/>
        </w:rPr>
      </w:pPr>
      <w:r w:rsidRPr="00B36882">
        <w:rPr>
          <w:rFonts w:eastAsia="Calibri"/>
          <w:sz w:val="24"/>
          <w:szCs w:val="22"/>
        </w:rPr>
        <w:t>Are there changes that could be made which would make the link between the model number provided at registration and the product offered in the market more clear?</w:t>
      </w:r>
    </w:p>
    <w:p w:rsidR="00165CC2" w:rsidRPr="00B36882" w:rsidRDefault="00165CC2" w:rsidP="007108BF">
      <w:pPr>
        <w:numPr>
          <w:ilvl w:val="0"/>
          <w:numId w:val="3"/>
        </w:numPr>
        <w:suppressAutoHyphens/>
        <w:spacing w:after="120" w:line="288" w:lineRule="auto"/>
        <w:ind w:left="993" w:hanging="426"/>
        <w:rPr>
          <w:rFonts w:eastAsia="Calibri"/>
          <w:sz w:val="24"/>
          <w:szCs w:val="22"/>
        </w:rPr>
      </w:pPr>
      <w:r w:rsidRPr="00B36882">
        <w:rPr>
          <w:rFonts w:eastAsia="Calibri"/>
          <w:sz w:val="24"/>
          <w:szCs w:val="22"/>
        </w:rPr>
        <w:t>Is there a more practical point for the registration obliga</w:t>
      </w:r>
      <w:r w:rsidR="00063682" w:rsidRPr="00B36882">
        <w:rPr>
          <w:rFonts w:eastAsia="Calibri"/>
          <w:sz w:val="24"/>
          <w:szCs w:val="22"/>
        </w:rPr>
        <w:t>tion to be triggered for customised</w:t>
      </w:r>
      <w:r w:rsidRPr="00B36882">
        <w:rPr>
          <w:rFonts w:eastAsia="Calibri"/>
          <w:sz w:val="24"/>
          <w:szCs w:val="22"/>
        </w:rPr>
        <w:t xml:space="preserve"> products, which would still provide some assurance for consumers at the point they make the purchasing decision that the product meets MEPS requirements?</w:t>
      </w:r>
    </w:p>
    <w:p w:rsidR="003E4F38" w:rsidRPr="00B36882" w:rsidRDefault="003E4F38" w:rsidP="007108BF">
      <w:pPr>
        <w:numPr>
          <w:ilvl w:val="0"/>
          <w:numId w:val="3"/>
        </w:numPr>
        <w:suppressAutoHyphens/>
        <w:spacing w:after="120" w:line="288" w:lineRule="auto"/>
        <w:ind w:left="993" w:hanging="426"/>
        <w:rPr>
          <w:rFonts w:eastAsia="Calibri"/>
          <w:sz w:val="24"/>
          <w:szCs w:val="22"/>
        </w:rPr>
      </w:pPr>
      <w:r w:rsidRPr="00B36882">
        <w:rPr>
          <w:rFonts w:eastAsia="Calibri"/>
          <w:sz w:val="24"/>
          <w:szCs w:val="22"/>
        </w:rPr>
        <w:t>What are the pros and cons of seeking to harmonise the GEMS registration system?</w:t>
      </w:r>
    </w:p>
    <w:p w:rsidR="00132282" w:rsidRPr="00B36882" w:rsidRDefault="0057203E">
      <w:pPr>
        <w:numPr>
          <w:ilvl w:val="0"/>
          <w:numId w:val="3"/>
        </w:numPr>
        <w:suppressAutoHyphens/>
        <w:spacing w:after="120" w:line="288" w:lineRule="auto"/>
        <w:ind w:left="993" w:hanging="426"/>
        <w:rPr>
          <w:rFonts w:eastAsia="Calibri"/>
          <w:sz w:val="24"/>
          <w:szCs w:val="22"/>
        </w:rPr>
      </w:pPr>
      <w:r w:rsidRPr="00B36882">
        <w:rPr>
          <w:rFonts w:eastAsia="Calibri"/>
          <w:sz w:val="24"/>
          <w:szCs w:val="22"/>
        </w:rPr>
        <w:t>Are the ‘grandfathering</w:t>
      </w:r>
      <w:r w:rsidR="00DB0FD8" w:rsidRPr="00B36882">
        <w:rPr>
          <w:rFonts w:eastAsia="Calibri"/>
          <w:sz w:val="24"/>
          <w:szCs w:val="22"/>
        </w:rPr>
        <w:t>’</w:t>
      </w:r>
      <w:r w:rsidRPr="00B36882">
        <w:rPr>
          <w:rFonts w:eastAsia="Calibri"/>
          <w:sz w:val="24"/>
          <w:szCs w:val="22"/>
        </w:rPr>
        <w:t xml:space="preserve"> provisions under the GEMS Act appropriate?</w:t>
      </w:r>
    </w:p>
    <w:p w:rsidR="00BD4333" w:rsidRDefault="00BD4333" w:rsidP="00894221">
      <w:pPr>
        <w:suppressAutoHyphens/>
        <w:spacing w:after="200" w:line="288" w:lineRule="auto"/>
        <w:ind w:left="567"/>
        <w:rPr>
          <w:rFonts w:cs="MyriadPro-Regular"/>
          <w:color w:val="000000"/>
          <w:sz w:val="52"/>
          <w:szCs w:val="52"/>
          <w:lang w:val="en-US"/>
        </w:rPr>
      </w:pPr>
      <w:r>
        <w:br w:type="page"/>
      </w:r>
    </w:p>
    <w:p w:rsidR="00ED2CF5" w:rsidRDefault="00707A0D" w:rsidP="00F962E4">
      <w:pPr>
        <w:pStyle w:val="Heading1"/>
      </w:pPr>
      <w:bookmarkStart w:id="80" w:name="_Toc501610438"/>
      <w:bookmarkStart w:id="81" w:name="_Toc507145468"/>
      <w:r>
        <w:t>6</w:t>
      </w:r>
      <w:r w:rsidR="00C45CBC">
        <w:t>.</w:t>
      </w:r>
      <w:r w:rsidR="00FC17F9">
        <w:tab/>
      </w:r>
      <w:bookmarkEnd w:id="80"/>
      <w:r w:rsidR="0065033A">
        <w:t>Compliance</w:t>
      </w:r>
      <w:bookmarkEnd w:id="81"/>
    </w:p>
    <w:p w:rsidR="00A62484" w:rsidRDefault="00A62484" w:rsidP="00E1619A">
      <w:pPr>
        <w:suppressAutoHyphens/>
        <w:textAlignment w:val="baseline"/>
        <w:rPr>
          <w:rFonts w:cs="Arial"/>
          <w:color w:val="333333"/>
          <w:sz w:val="24"/>
          <w:szCs w:val="21"/>
          <w:lang w:eastAsia="en-AU"/>
        </w:rPr>
      </w:pPr>
      <w:r w:rsidRPr="001812CC">
        <w:rPr>
          <w:rFonts w:cs="Arial"/>
          <w:color w:val="333333"/>
          <w:sz w:val="24"/>
          <w:szCs w:val="21"/>
          <w:lang w:eastAsia="en-AU"/>
        </w:rPr>
        <w:t>Under the GEMS Act, the GEMS Regulator is responsible for monitoring and enforcing compliance with the Act</w:t>
      </w:r>
      <w:r>
        <w:rPr>
          <w:rFonts w:cs="Arial"/>
          <w:color w:val="333333"/>
          <w:sz w:val="24"/>
          <w:szCs w:val="21"/>
          <w:lang w:eastAsia="en-AU"/>
        </w:rPr>
        <w:t xml:space="preserve"> and does so </w:t>
      </w:r>
      <w:r w:rsidR="00AC679C">
        <w:rPr>
          <w:rFonts w:cs="Arial"/>
          <w:color w:val="333333"/>
          <w:sz w:val="24"/>
          <w:szCs w:val="21"/>
          <w:lang w:eastAsia="en-AU"/>
        </w:rPr>
        <w:t>by</w:t>
      </w:r>
      <w:r>
        <w:rPr>
          <w:rFonts w:cs="Arial"/>
          <w:color w:val="333333"/>
          <w:sz w:val="24"/>
          <w:szCs w:val="21"/>
          <w:lang w:eastAsia="en-AU"/>
        </w:rPr>
        <w:t>:</w:t>
      </w:r>
      <w:r w:rsidRPr="001812CC">
        <w:rPr>
          <w:rFonts w:cs="Arial"/>
          <w:color w:val="333333"/>
          <w:sz w:val="24"/>
          <w:szCs w:val="21"/>
          <w:lang w:eastAsia="en-AU"/>
        </w:rPr>
        <w:t xml:space="preserve"> </w:t>
      </w:r>
    </w:p>
    <w:p w:rsidR="00A62484" w:rsidRDefault="00A62484">
      <w:pPr>
        <w:suppressAutoHyphens/>
        <w:textAlignment w:val="baseline"/>
        <w:rPr>
          <w:rFonts w:cs="Arial"/>
          <w:color w:val="333333"/>
          <w:sz w:val="24"/>
          <w:szCs w:val="21"/>
          <w:lang w:eastAsia="en-AU"/>
        </w:rPr>
      </w:pPr>
    </w:p>
    <w:p w:rsidR="00A62484" w:rsidRPr="00E54700" w:rsidRDefault="00A62484" w:rsidP="00E54700">
      <w:pPr>
        <w:pStyle w:val="ListBullet"/>
        <w:tabs>
          <w:tab w:val="clear" w:pos="360"/>
          <w:tab w:val="num" w:pos="426"/>
        </w:tabs>
        <w:suppressAutoHyphens/>
        <w:spacing w:after="120"/>
        <w:ind w:left="425" w:hanging="425"/>
        <w:contextualSpacing w:val="0"/>
        <w:rPr>
          <w:sz w:val="24"/>
          <w:szCs w:val="24"/>
          <w:lang w:eastAsia="en-AU"/>
        </w:rPr>
      </w:pPr>
      <w:r w:rsidRPr="00915584">
        <w:rPr>
          <w:sz w:val="24"/>
          <w:szCs w:val="24"/>
          <w:lang w:eastAsia="en-AU"/>
        </w:rPr>
        <w:t xml:space="preserve">check testing selected models of products in accredited laboratories to ensure energy efficiency levels and claims are met </w:t>
      </w:r>
    </w:p>
    <w:p w:rsidR="00A62484" w:rsidRPr="00E54700" w:rsidRDefault="00A62484" w:rsidP="00E54700">
      <w:pPr>
        <w:pStyle w:val="ListBullet"/>
        <w:tabs>
          <w:tab w:val="clear" w:pos="360"/>
          <w:tab w:val="num" w:pos="426"/>
        </w:tabs>
        <w:suppressAutoHyphens/>
        <w:spacing w:after="120"/>
        <w:ind w:left="425" w:hanging="425"/>
        <w:contextualSpacing w:val="0"/>
        <w:rPr>
          <w:sz w:val="24"/>
          <w:szCs w:val="24"/>
          <w:lang w:eastAsia="en-AU"/>
        </w:rPr>
      </w:pPr>
      <w:r w:rsidRPr="00915584">
        <w:rPr>
          <w:sz w:val="24"/>
          <w:szCs w:val="24"/>
          <w:lang w:eastAsia="en-AU"/>
        </w:rPr>
        <w:t>market surveillance conducted by GEMS inspectors in the field to ensure registration and labelling requirements are met</w:t>
      </w:r>
    </w:p>
    <w:p w:rsidR="00FC65A6" w:rsidRPr="002142D3" w:rsidRDefault="00A62484" w:rsidP="002142D3">
      <w:pPr>
        <w:pStyle w:val="ListBullet"/>
        <w:tabs>
          <w:tab w:val="clear" w:pos="360"/>
          <w:tab w:val="num" w:pos="426"/>
        </w:tabs>
        <w:suppressAutoHyphens/>
        <w:spacing w:after="120"/>
        <w:ind w:left="425" w:hanging="425"/>
        <w:contextualSpacing w:val="0"/>
        <w:rPr>
          <w:sz w:val="24"/>
          <w:szCs w:val="24"/>
          <w:lang w:eastAsia="en-AU"/>
        </w:rPr>
      </w:pPr>
      <w:proofErr w:type="gramStart"/>
      <w:r w:rsidRPr="00915584">
        <w:rPr>
          <w:sz w:val="24"/>
          <w:szCs w:val="24"/>
          <w:lang w:eastAsia="en-AU"/>
        </w:rPr>
        <w:t>the</w:t>
      </w:r>
      <w:proofErr w:type="gramEnd"/>
      <w:r w:rsidRPr="00915584">
        <w:rPr>
          <w:sz w:val="24"/>
          <w:szCs w:val="24"/>
          <w:lang w:eastAsia="en-AU"/>
        </w:rPr>
        <w:t xml:space="preserve"> receipt, assessment, and investigation of allegations of non-compliance received from a range of entities, but most notably, the industry itself</w:t>
      </w:r>
      <w:r w:rsidR="00E1619A">
        <w:rPr>
          <w:sz w:val="24"/>
          <w:szCs w:val="24"/>
          <w:lang w:eastAsia="en-AU"/>
        </w:rPr>
        <w:t>.</w:t>
      </w:r>
    </w:p>
    <w:p w:rsidR="008A3815" w:rsidRDefault="00DF32E9" w:rsidP="00E1619A">
      <w:pPr>
        <w:suppressAutoHyphens/>
        <w:textAlignment w:val="baseline"/>
        <w:rPr>
          <w:rFonts w:cs="Arial"/>
          <w:color w:val="333333"/>
          <w:sz w:val="24"/>
          <w:szCs w:val="21"/>
          <w:lang w:eastAsia="en-AU"/>
        </w:rPr>
      </w:pPr>
      <w:r w:rsidRPr="00DF32E9">
        <w:rPr>
          <w:rFonts w:cs="Arial"/>
          <w:color w:val="333333"/>
          <w:sz w:val="24"/>
          <w:szCs w:val="21"/>
          <w:lang w:eastAsia="en-AU"/>
        </w:rPr>
        <w:t xml:space="preserve">There are penalties for suppliers who do not comply with the energy efficiency regulations. </w:t>
      </w:r>
      <w:r w:rsidR="008A3815">
        <w:rPr>
          <w:rFonts w:cs="Arial"/>
          <w:color w:val="333333"/>
          <w:sz w:val="24"/>
          <w:szCs w:val="21"/>
          <w:lang w:eastAsia="en-AU"/>
        </w:rPr>
        <w:t>The</w:t>
      </w:r>
      <w:r w:rsidR="00F962E4">
        <w:rPr>
          <w:rFonts w:cs="Arial"/>
          <w:color w:val="333333"/>
          <w:sz w:val="24"/>
          <w:szCs w:val="21"/>
          <w:lang w:eastAsia="en-AU"/>
        </w:rPr>
        <w:t> </w:t>
      </w:r>
      <w:r w:rsidR="008A3815">
        <w:rPr>
          <w:rFonts w:cs="Arial"/>
          <w:color w:val="333333"/>
          <w:sz w:val="24"/>
          <w:szCs w:val="21"/>
          <w:lang w:eastAsia="en-AU"/>
        </w:rPr>
        <w:t>GEMS regulator may:</w:t>
      </w:r>
    </w:p>
    <w:p w:rsidR="00A62484" w:rsidRDefault="00A62484">
      <w:pPr>
        <w:suppressAutoHyphens/>
        <w:textAlignment w:val="baseline"/>
        <w:rPr>
          <w:rFonts w:cs="Arial"/>
          <w:color w:val="333333"/>
          <w:sz w:val="24"/>
          <w:szCs w:val="21"/>
          <w:lang w:eastAsia="en-AU"/>
        </w:rPr>
      </w:pPr>
    </w:p>
    <w:p w:rsidR="008A3815" w:rsidRPr="00F962E4" w:rsidRDefault="008A3815" w:rsidP="009A3738">
      <w:pPr>
        <w:numPr>
          <w:ilvl w:val="0"/>
          <w:numId w:val="3"/>
        </w:numPr>
        <w:suppressAutoHyphens/>
        <w:spacing w:after="120" w:line="288" w:lineRule="auto"/>
        <w:ind w:left="426" w:hanging="426"/>
        <w:rPr>
          <w:rFonts w:eastAsia="Calibri"/>
          <w:sz w:val="24"/>
          <w:szCs w:val="22"/>
        </w:rPr>
      </w:pPr>
      <w:r w:rsidRPr="00F962E4">
        <w:rPr>
          <w:rFonts w:eastAsia="Calibri"/>
          <w:sz w:val="24"/>
          <w:szCs w:val="22"/>
        </w:rPr>
        <w:t>suspend a model</w:t>
      </w:r>
      <w:r w:rsidR="00F962E4">
        <w:rPr>
          <w:rFonts w:eastAsia="Calibri"/>
          <w:sz w:val="24"/>
          <w:szCs w:val="22"/>
        </w:rPr>
        <w:t>’</w:t>
      </w:r>
      <w:r w:rsidRPr="00F962E4">
        <w:rPr>
          <w:rFonts w:eastAsia="Calibri"/>
          <w:sz w:val="24"/>
          <w:szCs w:val="22"/>
        </w:rPr>
        <w:t>s registration</w:t>
      </w:r>
    </w:p>
    <w:p w:rsidR="008A3815" w:rsidRPr="00F962E4" w:rsidRDefault="008A3815" w:rsidP="009A3738">
      <w:pPr>
        <w:numPr>
          <w:ilvl w:val="0"/>
          <w:numId w:val="3"/>
        </w:numPr>
        <w:suppressAutoHyphens/>
        <w:spacing w:after="120" w:line="288" w:lineRule="auto"/>
        <w:ind w:left="426" w:hanging="426"/>
        <w:rPr>
          <w:rFonts w:eastAsia="Calibri"/>
          <w:sz w:val="24"/>
          <w:szCs w:val="22"/>
        </w:rPr>
      </w:pPr>
      <w:r w:rsidRPr="00F962E4">
        <w:rPr>
          <w:rFonts w:eastAsia="Calibri"/>
          <w:sz w:val="24"/>
          <w:szCs w:val="22"/>
        </w:rPr>
        <w:t>cancel a model</w:t>
      </w:r>
      <w:r w:rsidR="00F962E4">
        <w:rPr>
          <w:rFonts w:eastAsia="Calibri"/>
          <w:sz w:val="24"/>
          <w:szCs w:val="22"/>
        </w:rPr>
        <w:t>’</w:t>
      </w:r>
      <w:r w:rsidRPr="00F962E4">
        <w:rPr>
          <w:rFonts w:eastAsia="Calibri"/>
          <w:sz w:val="24"/>
          <w:szCs w:val="22"/>
        </w:rPr>
        <w:t>s registration</w:t>
      </w:r>
    </w:p>
    <w:p w:rsidR="008A3815" w:rsidRPr="00F962E4" w:rsidRDefault="008A3815" w:rsidP="009A3738">
      <w:pPr>
        <w:numPr>
          <w:ilvl w:val="0"/>
          <w:numId w:val="3"/>
        </w:numPr>
        <w:suppressAutoHyphens/>
        <w:spacing w:after="120" w:line="288" w:lineRule="auto"/>
        <w:ind w:left="426" w:hanging="426"/>
        <w:rPr>
          <w:rFonts w:eastAsia="Calibri"/>
          <w:sz w:val="24"/>
          <w:szCs w:val="22"/>
        </w:rPr>
      </w:pPr>
      <w:r w:rsidRPr="00F962E4">
        <w:rPr>
          <w:rFonts w:eastAsia="Calibri"/>
          <w:sz w:val="24"/>
          <w:szCs w:val="22"/>
        </w:rPr>
        <w:t>issue an enforceable undertaking</w:t>
      </w:r>
    </w:p>
    <w:p w:rsidR="008A3815" w:rsidRPr="00F962E4" w:rsidRDefault="008A3815" w:rsidP="009A3738">
      <w:pPr>
        <w:numPr>
          <w:ilvl w:val="0"/>
          <w:numId w:val="3"/>
        </w:numPr>
        <w:suppressAutoHyphens/>
        <w:spacing w:after="120" w:line="288" w:lineRule="auto"/>
        <w:ind w:left="426" w:hanging="426"/>
        <w:rPr>
          <w:rFonts w:eastAsia="Calibri"/>
          <w:sz w:val="24"/>
          <w:szCs w:val="22"/>
        </w:rPr>
      </w:pPr>
      <w:r w:rsidRPr="00F962E4">
        <w:rPr>
          <w:rFonts w:eastAsia="Calibri"/>
          <w:sz w:val="24"/>
          <w:szCs w:val="22"/>
        </w:rPr>
        <w:t>issue an infringement notice</w:t>
      </w:r>
    </w:p>
    <w:p w:rsidR="008A3815" w:rsidRPr="00F962E4" w:rsidRDefault="008A3815" w:rsidP="009A3738">
      <w:pPr>
        <w:numPr>
          <w:ilvl w:val="0"/>
          <w:numId w:val="3"/>
        </w:numPr>
        <w:suppressAutoHyphens/>
        <w:spacing w:after="120" w:line="288" w:lineRule="auto"/>
        <w:ind w:left="426" w:hanging="426"/>
        <w:rPr>
          <w:rFonts w:eastAsia="Calibri"/>
          <w:sz w:val="24"/>
          <w:szCs w:val="22"/>
        </w:rPr>
      </w:pPr>
      <w:r w:rsidRPr="00F962E4">
        <w:rPr>
          <w:rFonts w:eastAsia="Calibri"/>
          <w:sz w:val="24"/>
          <w:szCs w:val="22"/>
        </w:rPr>
        <w:t>impose a civil penalty order</w:t>
      </w:r>
    </w:p>
    <w:p w:rsidR="008A3815" w:rsidRPr="00F962E4" w:rsidRDefault="008A3815" w:rsidP="009A3738">
      <w:pPr>
        <w:numPr>
          <w:ilvl w:val="0"/>
          <w:numId w:val="3"/>
        </w:numPr>
        <w:suppressAutoHyphens/>
        <w:spacing w:after="300" w:line="288" w:lineRule="auto"/>
        <w:ind w:left="426" w:hanging="426"/>
        <w:rPr>
          <w:rFonts w:eastAsia="Calibri"/>
          <w:sz w:val="24"/>
          <w:szCs w:val="22"/>
        </w:rPr>
      </w:pPr>
      <w:proofErr w:type="gramStart"/>
      <w:r w:rsidRPr="00F962E4">
        <w:rPr>
          <w:rFonts w:eastAsia="Calibri"/>
          <w:sz w:val="24"/>
          <w:szCs w:val="22"/>
        </w:rPr>
        <w:t>impose</w:t>
      </w:r>
      <w:proofErr w:type="gramEnd"/>
      <w:r w:rsidRPr="00F962E4">
        <w:rPr>
          <w:rFonts w:eastAsia="Calibri"/>
          <w:sz w:val="24"/>
          <w:szCs w:val="22"/>
        </w:rPr>
        <w:t xml:space="preserve"> an injunction.</w:t>
      </w:r>
    </w:p>
    <w:p w:rsidR="008A3815" w:rsidRDefault="008A3815">
      <w:pPr>
        <w:suppressAutoHyphens/>
        <w:spacing w:after="300" w:line="288" w:lineRule="auto"/>
        <w:textAlignment w:val="baseline"/>
        <w:rPr>
          <w:rFonts w:cs="Arial"/>
          <w:color w:val="333333"/>
          <w:sz w:val="24"/>
          <w:szCs w:val="21"/>
          <w:lang w:eastAsia="en-AU"/>
        </w:rPr>
      </w:pPr>
      <w:r w:rsidRPr="00F962E4">
        <w:rPr>
          <w:rFonts w:cs="Arial"/>
          <w:color w:val="333333"/>
          <w:sz w:val="24"/>
          <w:szCs w:val="21"/>
          <w:lang w:eastAsia="en-AU"/>
        </w:rPr>
        <w:t>The GEMS Act also allows the GEMS Regulator to publicise details relating to enforcement responses including the names of registrants and the model numbers of GEMS products.</w:t>
      </w:r>
    </w:p>
    <w:p w:rsidR="00354426" w:rsidRDefault="00354426">
      <w:pPr>
        <w:suppressAutoHyphens/>
        <w:spacing w:after="300" w:line="288" w:lineRule="auto"/>
        <w:textAlignment w:val="baseline"/>
        <w:rPr>
          <w:rFonts w:cs="Arial"/>
          <w:color w:val="333333"/>
          <w:sz w:val="24"/>
          <w:szCs w:val="21"/>
          <w:lang w:eastAsia="en-AU"/>
        </w:rPr>
      </w:pPr>
      <w:r w:rsidRPr="00354426">
        <w:rPr>
          <w:rFonts w:cs="Arial"/>
          <w:color w:val="333333"/>
          <w:sz w:val="24"/>
          <w:szCs w:val="21"/>
          <w:lang w:eastAsia="en-AU"/>
        </w:rPr>
        <w:t xml:space="preserve">The results from recent compliance activities can be found at </w:t>
      </w:r>
      <w:hyperlink r:id="rId24" w:history="1">
        <w:r w:rsidRPr="00354426">
          <w:rPr>
            <w:rStyle w:val="Hyperlink"/>
            <w:rFonts w:cs="Arial"/>
            <w:sz w:val="24"/>
            <w:szCs w:val="21"/>
            <w:lang w:eastAsia="en-AU"/>
          </w:rPr>
          <w:t>http://www.energyrating.gov.au/suppliers/compliance</w:t>
        </w:r>
      </w:hyperlink>
      <w:r>
        <w:rPr>
          <w:rFonts w:cs="Arial"/>
          <w:color w:val="333333"/>
          <w:sz w:val="24"/>
          <w:szCs w:val="21"/>
          <w:lang w:eastAsia="en-AU"/>
        </w:rPr>
        <w:t>.</w:t>
      </w:r>
    </w:p>
    <w:p w:rsidR="00BF0A48" w:rsidRDefault="00BF0A48">
      <w:pPr>
        <w:suppressAutoHyphens/>
        <w:spacing w:after="300" w:line="288" w:lineRule="auto"/>
        <w:textAlignment w:val="baseline"/>
        <w:rPr>
          <w:rFonts w:cs="Arial"/>
          <w:color w:val="333333"/>
          <w:sz w:val="24"/>
          <w:szCs w:val="21"/>
          <w:lang w:eastAsia="en-AU"/>
        </w:rPr>
      </w:pPr>
      <w:r w:rsidRPr="00BF0A48">
        <w:rPr>
          <w:rFonts w:cs="Arial"/>
          <w:noProof/>
          <w:color w:val="333333"/>
          <w:sz w:val="24"/>
          <w:szCs w:val="21"/>
          <w:lang w:eastAsia="en-AU"/>
        </w:rPr>
        <mc:AlternateContent>
          <mc:Choice Requires="wps">
            <w:drawing>
              <wp:anchor distT="45720" distB="45720" distL="114300" distR="114300" simplePos="0" relativeHeight="251707392" behindDoc="0" locked="0" layoutInCell="1" allowOverlap="1">
                <wp:simplePos x="0" y="0"/>
                <wp:positionH relativeFrom="column">
                  <wp:posOffset>15240</wp:posOffset>
                </wp:positionH>
                <wp:positionV relativeFrom="paragraph">
                  <wp:posOffset>66675</wp:posOffset>
                </wp:positionV>
                <wp:extent cx="6163945" cy="2663825"/>
                <wp:effectExtent l="0" t="0" r="2730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2663825"/>
                        </a:xfrm>
                        <a:prstGeom prst="rect">
                          <a:avLst/>
                        </a:prstGeom>
                        <a:solidFill>
                          <a:srgbClr val="FFFFFF"/>
                        </a:solidFill>
                        <a:ln w="9525">
                          <a:solidFill>
                            <a:srgbClr val="000000"/>
                          </a:solidFill>
                          <a:miter lim="800000"/>
                          <a:headEnd/>
                          <a:tailEnd/>
                        </a:ln>
                      </wps:spPr>
                      <wps:txbx>
                        <w:txbxContent>
                          <w:p w:rsidR="00E12B40" w:rsidRPr="00B36882" w:rsidRDefault="00E12B40" w:rsidP="00DC47B6">
                            <w:pPr>
                              <w:suppressAutoHyphens/>
                              <w:spacing w:after="120" w:line="288" w:lineRule="auto"/>
                              <w:ind w:left="142"/>
                              <w:rPr>
                                <w:rFonts w:eastAsia="Calibri"/>
                                <w:b/>
                                <w:sz w:val="24"/>
                                <w:szCs w:val="24"/>
                              </w:rPr>
                            </w:pPr>
                            <w:r w:rsidRPr="00B36882">
                              <w:rPr>
                                <w:rFonts w:eastAsia="Calibri"/>
                                <w:b/>
                                <w:sz w:val="24"/>
                                <w:szCs w:val="24"/>
                              </w:rPr>
                              <w:t>Box 6: GEMS compliance approach</w:t>
                            </w:r>
                          </w:p>
                          <w:p w:rsidR="00E12B40" w:rsidRPr="00B36882" w:rsidRDefault="00E12B40" w:rsidP="00DC47B6">
                            <w:pPr>
                              <w:suppressAutoHyphens/>
                              <w:spacing w:after="120" w:line="288" w:lineRule="auto"/>
                              <w:ind w:left="142"/>
                              <w:rPr>
                                <w:rFonts w:eastAsia="Calibri"/>
                                <w:sz w:val="24"/>
                                <w:szCs w:val="24"/>
                              </w:rPr>
                            </w:pPr>
                            <w:r w:rsidRPr="00B36882">
                              <w:rPr>
                                <w:rFonts w:eastAsia="Calibri"/>
                                <w:sz w:val="24"/>
                                <w:szCs w:val="24"/>
                              </w:rPr>
                              <w:t xml:space="preserve">The GEMS Regulator’s compliance objective is to maximise the number of responsible parties who choose to voluntarily comply with the Act, whilst implementing strategies and responses to identify, and then deter, non-compliance. To achieve this, the Regulator takes an intelligence led, risk based approach to compliance. Compliance activities are targeted strategically, as the regulator’s activities are limited by staffing and resources. </w:t>
                            </w:r>
                          </w:p>
                          <w:p w:rsidR="00E12B40" w:rsidRPr="00DC47B6" w:rsidRDefault="00E12B40" w:rsidP="00DC47B6">
                            <w:pPr>
                              <w:suppressAutoHyphens/>
                              <w:spacing w:after="120" w:line="288" w:lineRule="auto"/>
                              <w:ind w:left="142"/>
                              <w:rPr>
                                <w:rFonts w:eastAsia="Calibri"/>
                                <w:sz w:val="24"/>
                                <w:szCs w:val="24"/>
                              </w:rPr>
                            </w:pPr>
                            <w:r w:rsidRPr="00B36882">
                              <w:rPr>
                                <w:rFonts w:eastAsia="Calibri"/>
                                <w:sz w:val="24"/>
                                <w:szCs w:val="24"/>
                              </w:rPr>
                              <w:t>In cases of non-compliance, the GEMS Act provides the GEMS Regulator with educative, administrative, civil, and criminal response options. Each response considers a responsible party’s history, behaviour, motivation, and intention; and, is proportionate to the risk posed by the non-compliance.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pt;margin-top:5.25pt;width:485.35pt;height:209.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nFJwIAAE4EAAAOAAAAZHJzL2Uyb0RvYy54bWysVNtu2zAMfR+wfxD0vjh2kzQx4hRdugwD&#10;ugvQ7gNkWY6FSaImKbGzry+lpGl2wR6G+UEgReqQPCS9vBm0InvhvART0Xw0pkQYDo0024p+fdy8&#10;mVPiAzMNU2BERQ/C05vV61fL3paigA5UIxxBEOPL3la0C8GWWeZ5JzTzI7DCoLEFp1lA1W2zxrEe&#10;0bXKivF4lvXgGuuAC+/x9u5opKuE37aCh89t60UgqqKYW0inS2cdz2y1ZOXWMdtJfkqD/UMWmkmD&#10;Qc9QdywwsnPyNygtuQMPbRhx0Bm0reQi1YDV5ONfqnnomBWpFiTH2zNN/v/B8k/7L47IpqJFfk2J&#10;YRqb9CiGQN7CQIrIT299iW4PFh3DgNfY51Srt/fAv3liYN0xsxW3zkHfCdZgfnl8mV08PeL4CFL3&#10;H6HBMGwXIAENrdORPKSDIDr26XDuTUyF4+Usn10tJlNKONqK2exqXkxTDFY+P7fOh/cCNIlCRR02&#10;P8Gz/b0PMR1WPrvEaB6UbDZSqaS4bb1WjuwZDsomfSf0n9yUIX1FF1OM/XeIcfr+BKFlwIlXUld0&#10;fnZiZeTtnWnSPAYm1VHGlJU5ERm5O7IYhnpIPUsMRJJraA7IrIPjgONCotCB+0FJj8NdUf99x5yg&#10;RH0w2J1FPpnEbUjKZHpdoOIuLfWlhRmOUBUNlBzFdUgbFBkwcItdbGXi9yWTU8o4tIn204LFrbjU&#10;k9fLb2D1BAAA//8DAFBLAwQUAAYACAAAACEAccRXpd8AAAAIAQAADwAAAGRycy9kb3ducmV2Lnht&#10;bEyPzU7DMBCE70i8g7VIXFBrtwn9CXEqhASiN2gRXN14m0TY62C7aXh7zAmOszOa+bbcjNawAX3o&#10;HEmYTQUwpNrpjhoJb/vHyQpYiIq0Mo5QwjcG2FSXF6UqtDvTKw672LBUQqFQEtoY+4LzULdoVZi6&#10;Hil5R+etikn6hmuvzqncGj4XYsGt6igttKrHhxbrz93JSljlz8NH2GYv7/XiaNbxZjk8fXkpr6/G&#10;+ztgEcf4F4Zf/IQOVWI6uBPpwIyEeZ6C6SxugSV7vcxmwA4S8kwI4FXJ/z9Q/QAAAP//AwBQSwEC&#10;LQAUAAYACAAAACEAtoM4kv4AAADhAQAAEwAAAAAAAAAAAAAAAAAAAAAAW0NvbnRlbnRfVHlwZXNd&#10;LnhtbFBLAQItABQABgAIAAAAIQA4/SH/1gAAAJQBAAALAAAAAAAAAAAAAAAAAC8BAABfcmVscy8u&#10;cmVsc1BLAQItABQABgAIAAAAIQBMVRnFJwIAAE4EAAAOAAAAAAAAAAAAAAAAAC4CAABkcnMvZTJv&#10;RG9jLnhtbFBLAQItABQABgAIAAAAIQBxxFel3wAAAAgBAAAPAAAAAAAAAAAAAAAAAIEEAABkcnMv&#10;ZG93bnJldi54bWxQSwUGAAAAAAQABADzAAAAjQUAAAAA&#10;">
                <v:textbox>
                  <w:txbxContent>
                    <w:p w:rsidR="00E12B40" w:rsidRPr="00B36882" w:rsidRDefault="00E12B40" w:rsidP="00DC47B6">
                      <w:pPr>
                        <w:suppressAutoHyphens/>
                        <w:spacing w:after="120" w:line="288" w:lineRule="auto"/>
                        <w:ind w:left="142"/>
                        <w:rPr>
                          <w:rFonts w:eastAsia="Calibri"/>
                          <w:b/>
                          <w:sz w:val="24"/>
                          <w:szCs w:val="24"/>
                        </w:rPr>
                      </w:pPr>
                      <w:r w:rsidRPr="00B36882">
                        <w:rPr>
                          <w:rFonts w:eastAsia="Calibri"/>
                          <w:b/>
                          <w:sz w:val="24"/>
                          <w:szCs w:val="24"/>
                        </w:rPr>
                        <w:t>Box 6: GEMS compliance approach</w:t>
                      </w:r>
                    </w:p>
                    <w:p w:rsidR="00E12B40" w:rsidRPr="00B36882" w:rsidRDefault="00E12B40" w:rsidP="00DC47B6">
                      <w:pPr>
                        <w:suppressAutoHyphens/>
                        <w:spacing w:after="120" w:line="288" w:lineRule="auto"/>
                        <w:ind w:left="142"/>
                        <w:rPr>
                          <w:rFonts w:eastAsia="Calibri"/>
                          <w:sz w:val="24"/>
                          <w:szCs w:val="24"/>
                        </w:rPr>
                      </w:pPr>
                      <w:r w:rsidRPr="00B36882">
                        <w:rPr>
                          <w:rFonts w:eastAsia="Calibri"/>
                          <w:sz w:val="24"/>
                          <w:szCs w:val="24"/>
                        </w:rPr>
                        <w:t xml:space="preserve">The GEMS Regulator’s compliance objective is to maximise the number of responsible parties who choose to voluntarily comply with the Act, whilst implementing strategies and responses to identify, and then deter, non-compliance. To achieve this, the Regulator takes an intelligence led, risk based approach to compliance. Compliance activities are targeted strategically, as the regulator’s activities are limited by staffing and resources. </w:t>
                      </w:r>
                    </w:p>
                    <w:p w:rsidR="00E12B40" w:rsidRPr="00DC47B6" w:rsidRDefault="00E12B40" w:rsidP="00DC47B6">
                      <w:pPr>
                        <w:suppressAutoHyphens/>
                        <w:spacing w:after="120" w:line="288" w:lineRule="auto"/>
                        <w:ind w:left="142"/>
                        <w:rPr>
                          <w:rFonts w:eastAsia="Calibri"/>
                          <w:sz w:val="24"/>
                          <w:szCs w:val="24"/>
                        </w:rPr>
                      </w:pPr>
                      <w:r w:rsidRPr="00B36882">
                        <w:rPr>
                          <w:rFonts w:eastAsia="Calibri"/>
                          <w:sz w:val="24"/>
                          <w:szCs w:val="24"/>
                        </w:rPr>
                        <w:t>In cases of non-compliance, the GEMS Act provides the GEMS Regulator with educative, administrative, civil, and criminal response options. Each response considers a responsible party’s history, behaviour, motivation, and intention; and, is proportionate to the risk posed by the non-compliance.</w:t>
                      </w:r>
                    </w:p>
                  </w:txbxContent>
                </v:textbox>
                <w10:wrap type="square"/>
              </v:shape>
            </w:pict>
          </mc:Fallback>
        </mc:AlternateContent>
      </w:r>
    </w:p>
    <w:p w:rsidR="00BF0A48" w:rsidRDefault="00BF0A48">
      <w:pPr>
        <w:suppressAutoHyphens/>
        <w:spacing w:after="300" w:line="288" w:lineRule="auto"/>
        <w:textAlignment w:val="baseline"/>
        <w:rPr>
          <w:rFonts w:cs="Arial"/>
          <w:color w:val="333333"/>
          <w:sz w:val="24"/>
          <w:szCs w:val="21"/>
          <w:lang w:eastAsia="en-AU"/>
        </w:rPr>
      </w:pPr>
    </w:p>
    <w:p w:rsidR="00BF0A48" w:rsidRDefault="00BF0A48">
      <w:pPr>
        <w:suppressAutoHyphens/>
        <w:spacing w:after="300" w:line="288" w:lineRule="auto"/>
        <w:textAlignment w:val="baseline"/>
        <w:rPr>
          <w:rFonts w:cs="Arial"/>
          <w:color w:val="333333"/>
          <w:sz w:val="24"/>
          <w:szCs w:val="21"/>
          <w:lang w:eastAsia="en-AU"/>
        </w:rPr>
      </w:pPr>
    </w:p>
    <w:p w:rsidR="00BF0A48" w:rsidRDefault="00BF0A48">
      <w:pPr>
        <w:suppressAutoHyphens/>
        <w:spacing w:after="300" w:line="288" w:lineRule="auto"/>
        <w:textAlignment w:val="baseline"/>
        <w:rPr>
          <w:rFonts w:cs="Arial"/>
          <w:color w:val="333333"/>
          <w:sz w:val="24"/>
          <w:szCs w:val="21"/>
          <w:lang w:eastAsia="en-AU"/>
        </w:rPr>
      </w:pPr>
    </w:p>
    <w:p w:rsidR="00BF0A48" w:rsidRDefault="00BF0A48">
      <w:pPr>
        <w:suppressAutoHyphens/>
        <w:spacing w:after="300" w:line="288" w:lineRule="auto"/>
        <w:textAlignment w:val="baseline"/>
        <w:rPr>
          <w:rFonts w:cs="Arial"/>
          <w:color w:val="333333"/>
          <w:sz w:val="24"/>
          <w:szCs w:val="21"/>
          <w:lang w:eastAsia="en-AU"/>
        </w:rPr>
      </w:pPr>
    </w:p>
    <w:p w:rsidR="00BF0A48" w:rsidRDefault="00BF0A48">
      <w:pPr>
        <w:suppressAutoHyphens/>
        <w:spacing w:after="300" w:line="288" w:lineRule="auto"/>
        <w:textAlignment w:val="baseline"/>
        <w:rPr>
          <w:rFonts w:cs="Arial"/>
          <w:color w:val="333333"/>
          <w:sz w:val="24"/>
          <w:szCs w:val="21"/>
          <w:lang w:eastAsia="en-AU"/>
        </w:rPr>
      </w:pPr>
    </w:p>
    <w:p w:rsidR="00BF0A48" w:rsidRDefault="00BF0A48">
      <w:pPr>
        <w:suppressAutoHyphens/>
        <w:spacing w:after="300" w:line="288" w:lineRule="auto"/>
        <w:textAlignment w:val="baseline"/>
        <w:rPr>
          <w:rFonts w:cs="Arial"/>
          <w:color w:val="333333"/>
          <w:sz w:val="24"/>
          <w:szCs w:val="21"/>
          <w:lang w:eastAsia="en-AU"/>
        </w:rPr>
      </w:pPr>
    </w:p>
    <w:p w:rsidR="00BF0A48" w:rsidRPr="00F962E4" w:rsidRDefault="00BF0A48">
      <w:pPr>
        <w:suppressAutoHyphens/>
        <w:spacing w:after="300" w:line="288" w:lineRule="auto"/>
        <w:textAlignment w:val="baseline"/>
        <w:rPr>
          <w:rFonts w:cs="Arial"/>
          <w:color w:val="333333"/>
          <w:sz w:val="24"/>
          <w:szCs w:val="21"/>
          <w:lang w:eastAsia="en-AU"/>
        </w:rPr>
      </w:pPr>
    </w:p>
    <w:p w:rsidR="00DF32E9" w:rsidRPr="00DF32E9" w:rsidRDefault="001232A3" w:rsidP="00F962E4">
      <w:pPr>
        <w:pStyle w:val="Heading2"/>
        <w:rPr>
          <w:rFonts w:eastAsia="Calibri"/>
        </w:rPr>
      </w:pPr>
      <w:bookmarkStart w:id="82" w:name="_Toc507145469"/>
      <w:proofErr w:type="gramStart"/>
      <w:r>
        <w:rPr>
          <w:rFonts w:eastAsia="Calibri"/>
        </w:rPr>
        <w:t>6</w:t>
      </w:r>
      <w:r w:rsidR="00820FBD" w:rsidRPr="00820FBD">
        <w:rPr>
          <w:rFonts w:eastAsia="Calibri"/>
        </w:rPr>
        <w:t>.1</w:t>
      </w:r>
      <w:r w:rsidR="000F032B">
        <w:rPr>
          <w:rFonts w:eastAsia="Calibri"/>
        </w:rPr>
        <w:t xml:space="preserve"> </w:t>
      </w:r>
      <w:r w:rsidR="00820FBD" w:rsidRPr="00820FBD">
        <w:rPr>
          <w:rFonts w:eastAsia="Calibri"/>
        </w:rPr>
        <w:t xml:space="preserve"> </w:t>
      </w:r>
      <w:r w:rsidR="00DF32E9" w:rsidRPr="00DF32E9">
        <w:rPr>
          <w:rFonts w:eastAsia="Calibri"/>
        </w:rPr>
        <w:t>Summary</w:t>
      </w:r>
      <w:proofErr w:type="gramEnd"/>
      <w:r w:rsidR="00DF32E9" w:rsidRPr="00DF32E9">
        <w:rPr>
          <w:rFonts w:eastAsia="Calibri"/>
        </w:rPr>
        <w:t xml:space="preserve"> of key parts of the GEMS Act relating to compliance</w:t>
      </w:r>
      <w:bookmarkEnd w:id="82"/>
    </w:p>
    <w:p w:rsidR="003576B2" w:rsidRDefault="003576B2" w:rsidP="009A3738">
      <w:pPr>
        <w:numPr>
          <w:ilvl w:val="0"/>
          <w:numId w:val="6"/>
        </w:numPr>
        <w:suppressAutoHyphens/>
        <w:spacing w:after="120" w:line="288" w:lineRule="auto"/>
        <w:ind w:left="993" w:hanging="426"/>
        <w:rPr>
          <w:rFonts w:eastAsia="Calibri"/>
          <w:i/>
          <w:sz w:val="24"/>
          <w:szCs w:val="22"/>
        </w:rPr>
      </w:pPr>
      <w:r w:rsidRPr="003576B2">
        <w:rPr>
          <w:rFonts w:eastAsia="Calibri"/>
          <w:i/>
          <w:sz w:val="24"/>
          <w:szCs w:val="22"/>
        </w:rPr>
        <w:t xml:space="preserve">Part 5 Division 7 of the GEMS Act </w:t>
      </w:r>
      <w:r w:rsidRPr="008839D4">
        <w:rPr>
          <w:rFonts w:eastAsia="Calibri"/>
          <w:i/>
          <w:sz w:val="24"/>
          <w:szCs w:val="22"/>
        </w:rPr>
        <w:t>sets out a number of requirements for registrants, including requirements to give information and to have products tested.</w:t>
      </w:r>
    </w:p>
    <w:p w:rsidR="003576B2" w:rsidRDefault="003576B2" w:rsidP="009A3738">
      <w:pPr>
        <w:numPr>
          <w:ilvl w:val="0"/>
          <w:numId w:val="6"/>
        </w:numPr>
        <w:suppressAutoHyphens/>
        <w:spacing w:after="120" w:line="288" w:lineRule="auto"/>
        <w:ind w:left="993" w:hanging="426"/>
        <w:rPr>
          <w:rFonts w:eastAsia="Calibri"/>
          <w:i/>
          <w:sz w:val="24"/>
          <w:szCs w:val="22"/>
        </w:rPr>
      </w:pPr>
      <w:r w:rsidRPr="008839D4">
        <w:rPr>
          <w:rFonts w:eastAsia="Calibri"/>
          <w:i/>
          <w:sz w:val="24"/>
          <w:szCs w:val="22"/>
        </w:rPr>
        <w:t>Section 57 relates to the requirement for a registrant to give product to the GEMS regulator to determine whether a model complies with the GEMS determination against which the model is registered.</w:t>
      </w:r>
    </w:p>
    <w:p w:rsidR="003576B2" w:rsidRPr="008839D4" w:rsidRDefault="003576B2" w:rsidP="009A3738">
      <w:pPr>
        <w:numPr>
          <w:ilvl w:val="0"/>
          <w:numId w:val="6"/>
        </w:numPr>
        <w:suppressAutoHyphens/>
        <w:spacing w:after="120" w:line="288" w:lineRule="auto"/>
        <w:ind w:left="993" w:hanging="426"/>
        <w:rPr>
          <w:rFonts w:eastAsia="Calibri"/>
          <w:i/>
          <w:sz w:val="24"/>
          <w:szCs w:val="22"/>
        </w:rPr>
      </w:pPr>
      <w:r w:rsidRPr="008839D4">
        <w:rPr>
          <w:rFonts w:eastAsia="Calibri"/>
          <w:i/>
          <w:sz w:val="24"/>
          <w:szCs w:val="22"/>
        </w:rPr>
        <w:t xml:space="preserve">Section 61 relates to the requirement for a registrant </w:t>
      </w:r>
      <w:r w:rsidR="00BF3595">
        <w:rPr>
          <w:rFonts w:eastAsia="Calibri"/>
          <w:i/>
          <w:sz w:val="24"/>
          <w:szCs w:val="22"/>
        </w:rPr>
        <w:t>to have products tested in certain circumstances, or cancel the product’s registration</w:t>
      </w:r>
      <w:r w:rsidRPr="008839D4">
        <w:rPr>
          <w:rFonts w:eastAsia="Calibri"/>
          <w:i/>
          <w:sz w:val="24"/>
          <w:szCs w:val="22"/>
        </w:rPr>
        <w:t>.</w:t>
      </w:r>
    </w:p>
    <w:p w:rsidR="00DF32E9" w:rsidRPr="00820FBD" w:rsidRDefault="0078496A" w:rsidP="009A3738">
      <w:pPr>
        <w:numPr>
          <w:ilvl w:val="0"/>
          <w:numId w:val="6"/>
        </w:numPr>
        <w:suppressAutoHyphens/>
        <w:spacing w:after="120" w:line="288" w:lineRule="auto"/>
        <w:ind w:left="993" w:hanging="426"/>
        <w:rPr>
          <w:rFonts w:eastAsia="Calibri"/>
          <w:i/>
          <w:sz w:val="24"/>
          <w:szCs w:val="22"/>
        </w:rPr>
      </w:pPr>
      <w:r>
        <w:rPr>
          <w:rFonts w:eastAsia="Calibri"/>
          <w:i/>
          <w:sz w:val="24"/>
          <w:szCs w:val="22"/>
        </w:rPr>
        <w:t xml:space="preserve">Section </w:t>
      </w:r>
      <w:r w:rsidR="00DF32E9" w:rsidRPr="00820FBD">
        <w:rPr>
          <w:rFonts w:eastAsia="Calibri"/>
          <w:i/>
          <w:sz w:val="24"/>
          <w:szCs w:val="22"/>
        </w:rPr>
        <w:t xml:space="preserve">81 – Part 7 of the GEMS Act </w:t>
      </w:r>
      <w:r>
        <w:rPr>
          <w:rFonts w:eastAsia="Calibri"/>
          <w:i/>
          <w:sz w:val="24"/>
          <w:szCs w:val="22"/>
        </w:rPr>
        <w:t>relates to</w:t>
      </w:r>
      <w:r w:rsidR="00DF32E9" w:rsidRPr="00820FBD">
        <w:rPr>
          <w:rFonts w:eastAsia="Calibri"/>
          <w:i/>
          <w:sz w:val="24"/>
          <w:szCs w:val="22"/>
        </w:rPr>
        <w:t xml:space="preserve"> ensuring compliance with this Act </w:t>
      </w:r>
      <w:r>
        <w:rPr>
          <w:rFonts w:eastAsia="Calibri"/>
          <w:i/>
          <w:sz w:val="24"/>
          <w:szCs w:val="22"/>
        </w:rPr>
        <w:br/>
      </w:r>
      <w:r w:rsidR="00DF32E9" w:rsidRPr="00820FBD">
        <w:rPr>
          <w:rFonts w:eastAsia="Calibri"/>
          <w:i/>
          <w:sz w:val="24"/>
          <w:szCs w:val="22"/>
        </w:rPr>
        <w:t>(</w:t>
      </w:r>
      <w:r>
        <w:rPr>
          <w:rFonts w:eastAsia="Calibri"/>
          <w:i/>
          <w:sz w:val="24"/>
          <w:szCs w:val="22"/>
        </w:rPr>
        <w:t>N</w:t>
      </w:r>
      <w:r w:rsidR="00DF32E9" w:rsidRPr="00820FBD">
        <w:rPr>
          <w:rFonts w:eastAsia="Calibri"/>
          <w:i/>
          <w:sz w:val="24"/>
          <w:szCs w:val="22"/>
        </w:rPr>
        <w:t>ote</w:t>
      </w:r>
      <w:r>
        <w:rPr>
          <w:rFonts w:eastAsia="Calibri"/>
          <w:i/>
          <w:sz w:val="24"/>
          <w:szCs w:val="22"/>
        </w:rPr>
        <w:t>:</w:t>
      </w:r>
      <w:r w:rsidR="00DF32E9" w:rsidRPr="00820FBD">
        <w:rPr>
          <w:rFonts w:eastAsia="Calibri"/>
          <w:i/>
          <w:sz w:val="24"/>
          <w:szCs w:val="22"/>
        </w:rPr>
        <w:t xml:space="preserve"> that much of the content of Part 7 and Part 8 of the GEMS Act will be moved to the Regulatory Powers (Standard Provisions) Act 2014 on 6 November 2018 (commencement of Schedule 7 of the Regulatory Powers (Standardisation Reform) Act 2017)). </w:t>
      </w:r>
    </w:p>
    <w:p w:rsidR="00DF32E9" w:rsidRPr="00C5730F" w:rsidRDefault="00DF32E9" w:rsidP="00C5730F">
      <w:pPr>
        <w:pStyle w:val="ListBullet"/>
        <w:tabs>
          <w:tab w:val="clear" w:pos="360"/>
          <w:tab w:val="num" w:pos="993"/>
        </w:tabs>
        <w:spacing w:after="120"/>
        <w:ind w:left="993" w:hanging="426"/>
        <w:rPr>
          <w:rFonts w:eastAsia="Calibri"/>
          <w:i/>
          <w:sz w:val="22"/>
        </w:rPr>
      </w:pPr>
      <w:r w:rsidRPr="00C5730F">
        <w:rPr>
          <w:rFonts w:eastAsia="Calibri"/>
          <w:i/>
          <w:sz w:val="22"/>
        </w:rPr>
        <w:t>Division 2 provides</w:t>
      </w:r>
      <w:r w:rsidR="0034422D">
        <w:rPr>
          <w:rFonts w:eastAsia="Calibri"/>
          <w:i/>
          <w:sz w:val="22"/>
        </w:rPr>
        <w:t xml:space="preserve"> for officers of Commonwealth, s</w:t>
      </w:r>
      <w:r w:rsidRPr="00C5730F">
        <w:rPr>
          <w:rFonts w:eastAsia="Calibri"/>
          <w:i/>
          <w:sz w:val="22"/>
        </w:rPr>
        <w:t>t</w:t>
      </w:r>
      <w:r w:rsidR="0034422D">
        <w:rPr>
          <w:rFonts w:eastAsia="Calibri"/>
          <w:i/>
          <w:sz w:val="22"/>
        </w:rPr>
        <w:t>ate or t</w:t>
      </w:r>
      <w:r w:rsidRPr="00C5730F">
        <w:rPr>
          <w:rFonts w:eastAsia="Calibri"/>
          <w:i/>
          <w:sz w:val="22"/>
        </w:rPr>
        <w:t>erritory agencies to be appointed as GEMS inspectors.</w:t>
      </w:r>
    </w:p>
    <w:p w:rsidR="00DF32E9" w:rsidRPr="00820FBD" w:rsidRDefault="00DF32E9" w:rsidP="009A3738">
      <w:pPr>
        <w:numPr>
          <w:ilvl w:val="0"/>
          <w:numId w:val="6"/>
        </w:numPr>
        <w:suppressAutoHyphens/>
        <w:spacing w:after="120" w:line="288" w:lineRule="auto"/>
        <w:ind w:left="993" w:hanging="426"/>
        <w:rPr>
          <w:rFonts w:eastAsia="Calibri"/>
          <w:i/>
          <w:sz w:val="24"/>
          <w:szCs w:val="22"/>
        </w:rPr>
      </w:pPr>
      <w:r w:rsidRPr="00820FBD">
        <w:rPr>
          <w:rFonts w:eastAsia="Calibri"/>
          <w:i/>
          <w:sz w:val="24"/>
          <w:szCs w:val="22"/>
        </w:rPr>
        <w:t xml:space="preserve">Division 3 authorises GEMS inspectors to enter public areas of premises used in connection with the supply of GEMS products. Inspectors may purchase GEMS products there (and exercise certain other powers) in order to investigate compliance with </w:t>
      </w:r>
      <w:r w:rsidR="0078496A">
        <w:rPr>
          <w:rFonts w:eastAsia="Calibri"/>
          <w:i/>
          <w:sz w:val="24"/>
          <w:szCs w:val="22"/>
        </w:rPr>
        <w:t>the</w:t>
      </w:r>
      <w:r w:rsidR="0078496A" w:rsidRPr="00820FBD">
        <w:rPr>
          <w:rFonts w:eastAsia="Calibri"/>
          <w:i/>
          <w:sz w:val="24"/>
          <w:szCs w:val="22"/>
        </w:rPr>
        <w:t xml:space="preserve"> </w:t>
      </w:r>
      <w:r w:rsidRPr="00820FBD">
        <w:rPr>
          <w:rFonts w:eastAsia="Calibri"/>
          <w:i/>
          <w:sz w:val="24"/>
          <w:szCs w:val="22"/>
        </w:rPr>
        <w:t>Act.</w:t>
      </w:r>
    </w:p>
    <w:p w:rsidR="00DF32E9" w:rsidRPr="00820FBD" w:rsidRDefault="00DF32E9" w:rsidP="009A3738">
      <w:pPr>
        <w:numPr>
          <w:ilvl w:val="0"/>
          <w:numId w:val="6"/>
        </w:numPr>
        <w:suppressAutoHyphens/>
        <w:spacing w:after="120" w:line="288" w:lineRule="auto"/>
        <w:ind w:left="993" w:hanging="426"/>
        <w:rPr>
          <w:rFonts w:eastAsia="Calibri"/>
          <w:i/>
          <w:sz w:val="24"/>
          <w:szCs w:val="22"/>
        </w:rPr>
      </w:pPr>
      <w:r w:rsidRPr="00820FBD">
        <w:rPr>
          <w:rFonts w:eastAsia="Calibri"/>
          <w:i/>
          <w:sz w:val="24"/>
          <w:szCs w:val="22"/>
        </w:rPr>
        <w:t xml:space="preserve">Division 4 (monitoring) authorises a GEMS inspector to enter premises and exercise a range of monitoring powers for the purposes of monitoring compliance with </w:t>
      </w:r>
      <w:r w:rsidR="0078496A">
        <w:rPr>
          <w:rFonts w:eastAsia="Calibri"/>
          <w:i/>
          <w:sz w:val="24"/>
          <w:szCs w:val="22"/>
        </w:rPr>
        <w:t>the</w:t>
      </w:r>
      <w:r w:rsidR="0078496A" w:rsidRPr="00820FBD">
        <w:rPr>
          <w:rFonts w:eastAsia="Calibri"/>
          <w:i/>
          <w:sz w:val="24"/>
          <w:szCs w:val="22"/>
        </w:rPr>
        <w:t xml:space="preserve"> </w:t>
      </w:r>
      <w:r w:rsidRPr="00820FBD">
        <w:rPr>
          <w:rFonts w:eastAsia="Calibri"/>
          <w:i/>
          <w:sz w:val="24"/>
          <w:szCs w:val="22"/>
        </w:rPr>
        <w:t xml:space="preserve">Act. An inspector may do so with the occupier’s consent or under a monitoring warrant. If evidence of a contravention of </w:t>
      </w:r>
      <w:r w:rsidR="0078496A">
        <w:rPr>
          <w:rFonts w:eastAsia="Calibri"/>
          <w:i/>
          <w:sz w:val="24"/>
          <w:szCs w:val="22"/>
        </w:rPr>
        <w:t>the</w:t>
      </w:r>
      <w:r w:rsidR="0078496A" w:rsidRPr="00820FBD">
        <w:rPr>
          <w:rFonts w:eastAsia="Calibri"/>
          <w:i/>
          <w:sz w:val="24"/>
          <w:szCs w:val="22"/>
        </w:rPr>
        <w:t xml:space="preserve"> </w:t>
      </w:r>
      <w:r w:rsidRPr="00820FBD">
        <w:rPr>
          <w:rFonts w:eastAsia="Calibri"/>
          <w:i/>
          <w:sz w:val="24"/>
          <w:szCs w:val="22"/>
        </w:rPr>
        <w:t>Act is found, the inspector may secure the evidence for up to 24</w:t>
      </w:r>
      <w:r w:rsidR="0078496A">
        <w:rPr>
          <w:rFonts w:eastAsia="Calibri"/>
          <w:i/>
          <w:sz w:val="24"/>
          <w:szCs w:val="22"/>
        </w:rPr>
        <w:t> </w:t>
      </w:r>
      <w:r w:rsidRPr="00820FBD">
        <w:rPr>
          <w:rFonts w:eastAsia="Calibri"/>
          <w:i/>
          <w:sz w:val="24"/>
          <w:szCs w:val="22"/>
        </w:rPr>
        <w:t>hours (or for an extended period authorised by an issuing officer).</w:t>
      </w:r>
    </w:p>
    <w:p w:rsidR="00DF32E9" w:rsidRPr="00820FBD" w:rsidRDefault="00DF32E9" w:rsidP="009A3738">
      <w:pPr>
        <w:numPr>
          <w:ilvl w:val="0"/>
          <w:numId w:val="6"/>
        </w:numPr>
        <w:suppressAutoHyphens/>
        <w:spacing w:after="120" w:line="288" w:lineRule="auto"/>
        <w:ind w:left="993" w:hanging="426"/>
        <w:rPr>
          <w:rFonts w:eastAsia="Calibri"/>
          <w:i/>
          <w:sz w:val="24"/>
          <w:szCs w:val="22"/>
        </w:rPr>
      </w:pPr>
      <w:r w:rsidRPr="00820FBD">
        <w:rPr>
          <w:rFonts w:eastAsia="Calibri"/>
          <w:i/>
          <w:sz w:val="24"/>
          <w:szCs w:val="22"/>
        </w:rPr>
        <w:t>Division 5 (investigation) authorises a GEMS inspector to enter premises and exercise a range of investigation powers</w:t>
      </w:r>
      <w:r w:rsidR="0078496A">
        <w:rPr>
          <w:rFonts w:eastAsia="Calibri"/>
          <w:i/>
          <w:sz w:val="24"/>
          <w:szCs w:val="22"/>
        </w:rPr>
        <w:t>,</w:t>
      </w:r>
      <w:r w:rsidRPr="00820FBD">
        <w:rPr>
          <w:rFonts w:eastAsia="Calibri"/>
          <w:i/>
          <w:sz w:val="24"/>
          <w:szCs w:val="22"/>
        </w:rPr>
        <w:t xml:space="preserve"> if the inspector has reasonable grounds for suspecting that there is something on the premises that is connected with a contravention of </w:t>
      </w:r>
      <w:r w:rsidR="0078496A">
        <w:rPr>
          <w:rFonts w:eastAsia="Calibri"/>
          <w:i/>
          <w:sz w:val="24"/>
          <w:szCs w:val="22"/>
        </w:rPr>
        <w:t>the</w:t>
      </w:r>
      <w:r w:rsidR="0078496A" w:rsidRPr="00820FBD">
        <w:rPr>
          <w:rFonts w:eastAsia="Calibri"/>
          <w:i/>
          <w:sz w:val="24"/>
          <w:szCs w:val="22"/>
        </w:rPr>
        <w:t xml:space="preserve"> </w:t>
      </w:r>
      <w:r w:rsidRPr="00820FBD">
        <w:rPr>
          <w:rFonts w:eastAsia="Calibri"/>
          <w:i/>
          <w:sz w:val="24"/>
          <w:szCs w:val="22"/>
        </w:rPr>
        <w:t xml:space="preserve">Act. An inspector may enter the premises with the occupier’s consent or under an investigation warrant. </w:t>
      </w:r>
    </w:p>
    <w:p w:rsidR="00DF32E9" w:rsidRPr="00820FBD" w:rsidRDefault="00DF32E9" w:rsidP="009A3738">
      <w:pPr>
        <w:numPr>
          <w:ilvl w:val="0"/>
          <w:numId w:val="6"/>
        </w:numPr>
        <w:suppressAutoHyphens/>
        <w:spacing w:after="120" w:line="288" w:lineRule="auto"/>
        <w:ind w:left="993" w:hanging="426"/>
        <w:rPr>
          <w:rFonts w:eastAsia="Calibri"/>
          <w:i/>
          <w:sz w:val="24"/>
          <w:szCs w:val="22"/>
        </w:rPr>
      </w:pPr>
      <w:r w:rsidRPr="00820FBD">
        <w:rPr>
          <w:rFonts w:eastAsia="Calibri"/>
          <w:i/>
          <w:sz w:val="24"/>
          <w:szCs w:val="22"/>
        </w:rPr>
        <w:t>Division 6 contains rules relevant to both monitoring and investigation, such as the obligations and other powers of GEMS inspectors when entering premises, and the rights and responsibilities of occupiers.</w:t>
      </w:r>
    </w:p>
    <w:p w:rsidR="00DF32E9" w:rsidRPr="00820FBD" w:rsidRDefault="00DF32E9" w:rsidP="009A3738">
      <w:pPr>
        <w:numPr>
          <w:ilvl w:val="0"/>
          <w:numId w:val="6"/>
        </w:numPr>
        <w:suppressAutoHyphens/>
        <w:spacing w:after="120" w:line="288" w:lineRule="auto"/>
        <w:ind w:left="993" w:hanging="426"/>
        <w:rPr>
          <w:rFonts w:eastAsia="Calibri"/>
          <w:i/>
          <w:sz w:val="24"/>
          <w:szCs w:val="22"/>
        </w:rPr>
      </w:pPr>
      <w:r w:rsidRPr="00820FBD">
        <w:rPr>
          <w:rFonts w:eastAsia="Calibri"/>
          <w:i/>
          <w:sz w:val="24"/>
          <w:szCs w:val="22"/>
        </w:rPr>
        <w:t xml:space="preserve">Division 7 requires a person, on demand, to give a GEMS inspector information, or to appear for an examination, in relation to an investigation, or to prevent a contravention of </w:t>
      </w:r>
      <w:r w:rsidR="0078496A">
        <w:rPr>
          <w:rFonts w:eastAsia="Calibri"/>
          <w:i/>
          <w:sz w:val="24"/>
          <w:szCs w:val="22"/>
        </w:rPr>
        <w:t>the</w:t>
      </w:r>
      <w:r w:rsidR="0078496A" w:rsidRPr="00820FBD">
        <w:rPr>
          <w:rFonts w:eastAsia="Calibri"/>
          <w:i/>
          <w:sz w:val="24"/>
          <w:szCs w:val="22"/>
        </w:rPr>
        <w:t xml:space="preserve"> </w:t>
      </w:r>
      <w:r w:rsidRPr="00820FBD">
        <w:rPr>
          <w:rFonts w:eastAsia="Calibri"/>
          <w:i/>
          <w:sz w:val="24"/>
          <w:szCs w:val="22"/>
        </w:rPr>
        <w:t>Act.</w:t>
      </w:r>
    </w:p>
    <w:p w:rsidR="00DF32E9" w:rsidRPr="00820FBD" w:rsidRDefault="00DF32E9" w:rsidP="009A3738">
      <w:pPr>
        <w:numPr>
          <w:ilvl w:val="0"/>
          <w:numId w:val="6"/>
        </w:numPr>
        <w:suppressAutoHyphens/>
        <w:spacing w:after="120" w:line="288" w:lineRule="auto"/>
        <w:ind w:left="993" w:hanging="426"/>
        <w:rPr>
          <w:rFonts w:eastAsia="Calibri"/>
          <w:i/>
          <w:sz w:val="24"/>
          <w:szCs w:val="22"/>
        </w:rPr>
      </w:pPr>
      <w:r w:rsidRPr="00820FBD">
        <w:rPr>
          <w:rFonts w:eastAsia="Calibri"/>
          <w:i/>
          <w:sz w:val="24"/>
          <w:szCs w:val="22"/>
        </w:rPr>
        <w:t xml:space="preserve">Division 8 deals with the powers of a GEMS inspector to test, examine or sample GEMS products to determine whether the products, or models of the products, comply with </w:t>
      </w:r>
      <w:r w:rsidR="0078496A">
        <w:rPr>
          <w:rFonts w:eastAsia="Calibri"/>
          <w:i/>
          <w:sz w:val="24"/>
          <w:szCs w:val="22"/>
        </w:rPr>
        <w:t>the</w:t>
      </w:r>
      <w:r w:rsidR="0078496A" w:rsidRPr="00820FBD">
        <w:rPr>
          <w:rFonts w:eastAsia="Calibri"/>
          <w:i/>
          <w:sz w:val="24"/>
          <w:szCs w:val="22"/>
        </w:rPr>
        <w:t xml:space="preserve"> </w:t>
      </w:r>
      <w:r w:rsidRPr="00820FBD">
        <w:rPr>
          <w:rFonts w:eastAsia="Calibri"/>
          <w:i/>
          <w:sz w:val="24"/>
          <w:szCs w:val="22"/>
        </w:rPr>
        <w:t>Act (including any relevant GEMS determination).</w:t>
      </w:r>
    </w:p>
    <w:p w:rsidR="00DF32E9" w:rsidRPr="00820FBD" w:rsidRDefault="00DF32E9" w:rsidP="009A3738">
      <w:pPr>
        <w:numPr>
          <w:ilvl w:val="0"/>
          <w:numId w:val="6"/>
        </w:numPr>
        <w:suppressAutoHyphens/>
        <w:spacing w:after="120" w:line="288" w:lineRule="auto"/>
        <w:ind w:left="993" w:hanging="426"/>
        <w:rPr>
          <w:rFonts w:eastAsia="Calibri"/>
          <w:i/>
          <w:sz w:val="24"/>
          <w:szCs w:val="22"/>
        </w:rPr>
      </w:pPr>
      <w:r w:rsidRPr="00820FBD">
        <w:rPr>
          <w:rFonts w:eastAsia="Calibri"/>
          <w:i/>
          <w:sz w:val="24"/>
          <w:szCs w:val="22"/>
        </w:rPr>
        <w:t>Division 9 deals with the powers of issuing officers in relation to the issue of warrants.</w:t>
      </w:r>
    </w:p>
    <w:p w:rsidR="00DF32E9" w:rsidRPr="00820FBD" w:rsidRDefault="001232A3" w:rsidP="00F962E4">
      <w:pPr>
        <w:pStyle w:val="Heading2"/>
      </w:pPr>
      <w:bookmarkStart w:id="83" w:name="_Toc507145470"/>
      <w:proofErr w:type="gramStart"/>
      <w:r>
        <w:rPr>
          <w:rFonts w:eastAsia="Calibri"/>
        </w:rPr>
        <w:t>6</w:t>
      </w:r>
      <w:r w:rsidR="00820FBD" w:rsidRPr="00820FBD">
        <w:rPr>
          <w:rFonts w:eastAsia="Calibri"/>
        </w:rPr>
        <w:t xml:space="preserve">.2 </w:t>
      </w:r>
      <w:r w:rsidR="000F032B">
        <w:rPr>
          <w:rFonts w:eastAsia="Calibri"/>
        </w:rPr>
        <w:t xml:space="preserve"> </w:t>
      </w:r>
      <w:r w:rsidR="00DF32E9" w:rsidRPr="00820FBD">
        <w:t>Issues</w:t>
      </w:r>
      <w:proofErr w:type="gramEnd"/>
      <w:r w:rsidR="00DF32E9" w:rsidRPr="00820FBD">
        <w:t xml:space="preserve"> for discussion</w:t>
      </w:r>
      <w:bookmarkEnd w:id="83"/>
    </w:p>
    <w:p w:rsidR="002254A5" w:rsidRPr="00FC65A6" w:rsidRDefault="002254A5" w:rsidP="002254A5">
      <w:pPr>
        <w:pStyle w:val="Heading3"/>
        <w:rPr>
          <w:b w:val="0"/>
          <w:szCs w:val="24"/>
        </w:rPr>
      </w:pPr>
      <w:bookmarkStart w:id="84" w:name="_Toc505599611"/>
      <w:bookmarkStart w:id="85" w:name="_Toc505934420"/>
      <w:bookmarkStart w:id="86" w:name="_Toc507142216"/>
      <w:bookmarkStart w:id="87" w:name="_Toc507145471"/>
      <w:bookmarkStart w:id="88" w:name="_Toc503791307"/>
      <w:bookmarkStart w:id="89" w:name="_Toc505072881"/>
      <w:r w:rsidRPr="00FC65A6">
        <w:rPr>
          <w:szCs w:val="24"/>
        </w:rPr>
        <w:t>Short market life products</w:t>
      </w:r>
      <w:bookmarkEnd w:id="84"/>
      <w:bookmarkEnd w:id="85"/>
      <w:bookmarkEnd w:id="86"/>
      <w:bookmarkEnd w:id="87"/>
    </w:p>
    <w:p w:rsidR="000F7CDC" w:rsidRPr="000F7CDC" w:rsidRDefault="00EC27AB" w:rsidP="008839D4">
      <w:pPr>
        <w:suppressAutoHyphens/>
        <w:spacing w:after="200" w:line="288" w:lineRule="auto"/>
        <w:ind w:left="567"/>
        <w:rPr>
          <w:rFonts w:eastAsia="Calibri" w:cs="Arial"/>
          <w:b/>
          <w:i/>
          <w:color w:val="333333"/>
          <w:sz w:val="24"/>
          <w:szCs w:val="22"/>
        </w:rPr>
      </w:pPr>
      <w:r>
        <w:rPr>
          <w:rFonts w:eastAsia="Calibri"/>
          <w:sz w:val="24"/>
          <w:szCs w:val="24"/>
        </w:rPr>
        <w:t>The two stage check testing process can be lengthy</w:t>
      </w:r>
      <w:r w:rsidR="0034422D">
        <w:rPr>
          <w:rFonts w:eastAsia="Calibri"/>
          <w:sz w:val="24"/>
          <w:szCs w:val="24"/>
        </w:rPr>
        <w:t>,</w:t>
      </w:r>
      <w:r>
        <w:rPr>
          <w:rFonts w:eastAsia="Calibri"/>
          <w:sz w:val="24"/>
          <w:szCs w:val="24"/>
        </w:rPr>
        <w:t xml:space="preserve"> which can be problematic for GEMS products with a short market life. </w:t>
      </w:r>
      <w:r w:rsidR="00C14518" w:rsidRPr="00102CD9">
        <w:rPr>
          <w:rFonts w:eastAsia="Calibri" w:cs="Arial"/>
          <w:color w:val="333333"/>
          <w:sz w:val="24"/>
          <w:szCs w:val="22"/>
        </w:rPr>
        <w:t>Acquiring products, testing to the requirements mandated in determinations and standards, liaising with registrants, and ensuring procedural fairness necessarily takes time.</w:t>
      </w:r>
    </w:p>
    <w:p w:rsidR="00C14518" w:rsidRPr="00102CD9" w:rsidRDefault="00825A0D" w:rsidP="00825A0D">
      <w:pPr>
        <w:suppressAutoHyphens/>
        <w:spacing w:after="200" w:line="288" w:lineRule="auto"/>
        <w:ind w:left="567"/>
        <w:rPr>
          <w:rFonts w:eastAsia="Calibri" w:cs="Arial"/>
          <w:color w:val="333333"/>
          <w:sz w:val="24"/>
          <w:szCs w:val="22"/>
        </w:rPr>
      </w:pPr>
      <w:r w:rsidRPr="00FC65A6">
        <w:rPr>
          <w:rFonts w:eastAsia="Calibri"/>
          <w:sz w:val="24"/>
          <w:szCs w:val="24"/>
        </w:rPr>
        <w:t>If the product of the model fails, test results are reviewed and the registrant given an opportunity to respond before being given a section 61 GEMS Act notice requiring the model’s cancellation or “stage two” testing.</w:t>
      </w:r>
      <w:r w:rsidR="00081CA4">
        <w:rPr>
          <w:rFonts w:eastAsia="Calibri" w:cs="Arial"/>
          <w:color w:val="333333"/>
          <w:sz w:val="24"/>
          <w:szCs w:val="22"/>
        </w:rPr>
        <w:t xml:space="preserve"> </w:t>
      </w:r>
      <w:r w:rsidR="003576B2" w:rsidRPr="00586F84">
        <w:rPr>
          <w:rFonts w:eastAsia="Calibri" w:cs="Arial"/>
          <w:b/>
          <w:color w:val="333333"/>
          <w:sz w:val="24"/>
          <w:szCs w:val="22"/>
        </w:rPr>
        <w:t xml:space="preserve">Box </w:t>
      </w:r>
      <w:r w:rsidR="008C7B82">
        <w:rPr>
          <w:rFonts w:eastAsia="Calibri" w:cs="Arial"/>
          <w:b/>
          <w:color w:val="333333"/>
          <w:sz w:val="24"/>
          <w:szCs w:val="22"/>
        </w:rPr>
        <w:t>7</w:t>
      </w:r>
      <w:r w:rsidR="008C7B82">
        <w:rPr>
          <w:rFonts w:eastAsia="Calibri" w:cs="Arial"/>
          <w:color w:val="333333"/>
          <w:sz w:val="24"/>
          <w:szCs w:val="22"/>
        </w:rPr>
        <w:t xml:space="preserve"> </w:t>
      </w:r>
      <w:r w:rsidR="00DD0657">
        <w:rPr>
          <w:rFonts w:eastAsia="Calibri" w:cs="Arial"/>
          <w:color w:val="333333"/>
          <w:sz w:val="24"/>
          <w:szCs w:val="22"/>
        </w:rPr>
        <w:t>explains</w:t>
      </w:r>
      <w:r w:rsidR="003576B2">
        <w:rPr>
          <w:rFonts w:eastAsia="Calibri" w:cs="Arial"/>
          <w:color w:val="333333"/>
          <w:sz w:val="24"/>
          <w:szCs w:val="22"/>
        </w:rPr>
        <w:t xml:space="preserve"> the two stage check testing </w:t>
      </w:r>
      <w:r w:rsidR="00DD0657">
        <w:rPr>
          <w:rFonts w:eastAsia="Calibri" w:cs="Arial"/>
          <w:color w:val="333333"/>
          <w:sz w:val="24"/>
          <w:szCs w:val="22"/>
        </w:rPr>
        <w:t>process</w:t>
      </w:r>
      <w:r w:rsidR="003576B2">
        <w:rPr>
          <w:rFonts w:eastAsia="Calibri" w:cs="Arial"/>
          <w:color w:val="333333"/>
          <w:sz w:val="24"/>
          <w:szCs w:val="22"/>
        </w:rPr>
        <w:t xml:space="preserve">. </w:t>
      </w:r>
    </w:p>
    <w:p w:rsidR="009A380E" w:rsidRPr="00FC65A6" w:rsidRDefault="009A380E" w:rsidP="00752B91">
      <w:pPr>
        <w:pStyle w:val="Heading3"/>
        <w:rPr>
          <w:b w:val="0"/>
          <w:szCs w:val="24"/>
        </w:rPr>
      </w:pPr>
      <w:bookmarkStart w:id="90" w:name="_Toc505599612"/>
      <w:bookmarkStart w:id="91" w:name="_Toc505934421"/>
      <w:bookmarkStart w:id="92" w:name="_Toc507142217"/>
      <w:bookmarkStart w:id="93" w:name="_Toc507145472"/>
      <w:r w:rsidRPr="00183C74">
        <w:rPr>
          <w:szCs w:val="24"/>
        </w:rPr>
        <w:t>Unique and bespoke products</w:t>
      </w:r>
      <w:bookmarkEnd w:id="88"/>
      <w:bookmarkEnd w:id="89"/>
      <w:bookmarkEnd w:id="90"/>
      <w:bookmarkEnd w:id="91"/>
      <w:bookmarkEnd w:id="92"/>
      <w:bookmarkEnd w:id="93"/>
    </w:p>
    <w:p w:rsidR="009A380E" w:rsidRPr="00FC65A6" w:rsidRDefault="0013777A" w:rsidP="00FC65A6">
      <w:pPr>
        <w:pStyle w:val="ListBullet"/>
        <w:numPr>
          <w:ilvl w:val="0"/>
          <w:numId w:val="0"/>
        </w:numPr>
        <w:suppressAutoHyphens/>
        <w:spacing w:after="120" w:line="288" w:lineRule="auto"/>
        <w:ind w:left="567"/>
        <w:rPr>
          <w:rFonts w:eastAsia="Calibri"/>
          <w:sz w:val="24"/>
          <w:szCs w:val="24"/>
        </w:rPr>
      </w:pPr>
      <w:r>
        <w:rPr>
          <w:rFonts w:eastAsia="Calibri"/>
          <w:sz w:val="24"/>
          <w:szCs w:val="24"/>
        </w:rPr>
        <w:t>S</w:t>
      </w:r>
      <w:r w:rsidR="009A380E" w:rsidRPr="00FC65A6">
        <w:rPr>
          <w:rFonts w:eastAsia="Calibri"/>
          <w:sz w:val="24"/>
          <w:szCs w:val="24"/>
        </w:rPr>
        <w:t xml:space="preserve">ince the mid-2000s, the scope of appliance and equipment </w:t>
      </w:r>
      <w:r>
        <w:rPr>
          <w:rFonts w:eastAsia="Calibri"/>
          <w:sz w:val="24"/>
          <w:szCs w:val="24"/>
        </w:rPr>
        <w:t xml:space="preserve">under </w:t>
      </w:r>
      <w:r w:rsidR="009A380E" w:rsidRPr="00FC65A6">
        <w:rPr>
          <w:rFonts w:eastAsia="Calibri"/>
          <w:sz w:val="24"/>
          <w:szCs w:val="24"/>
        </w:rPr>
        <w:t>energy efficiency regulation has expanded</w:t>
      </w:r>
      <w:r w:rsidR="008F582C" w:rsidRPr="00FC65A6">
        <w:rPr>
          <w:rFonts w:eastAsia="Calibri"/>
          <w:sz w:val="24"/>
          <w:szCs w:val="24"/>
        </w:rPr>
        <w:t>. T</w:t>
      </w:r>
      <w:r w:rsidR="009A380E" w:rsidRPr="00FC65A6">
        <w:rPr>
          <w:rFonts w:eastAsia="Calibri"/>
          <w:sz w:val="24"/>
          <w:szCs w:val="24"/>
        </w:rPr>
        <w:t>he GEMS</w:t>
      </w:r>
      <w:r w:rsidR="008F6C21">
        <w:rPr>
          <w:rFonts w:eastAsia="Calibri"/>
          <w:sz w:val="24"/>
          <w:szCs w:val="24"/>
        </w:rPr>
        <w:t> </w:t>
      </w:r>
      <w:r w:rsidR="009A380E" w:rsidRPr="00FC65A6">
        <w:rPr>
          <w:rFonts w:eastAsia="Calibri"/>
          <w:sz w:val="24"/>
          <w:szCs w:val="24"/>
        </w:rPr>
        <w:t>Act now regulat</w:t>
      </w:r>
      <w:r w:rsidR="008F582C" w:rsidRPr="00FC65A6">
        <w:rPr>
          <w:rFonts w:eastAsia="Calibri"/>
          <w:sz w:val="24"/>
          <w:szCs w:val="24"/>
        </w:rPr>
        <w:t>es</w:t>
      </w:r>
      <w:r w:rsidR="009A380E" w:rsidRPr="00FC65A6">
        <w:rPr>
          <w:rFonts w:eastAsia="Calibri"/>
          <w:sz w:val="24"/>
          <w:szCs w:val="24"/>
        </w:rPr>
        <w:t xml:space="preserve"> 22</w:t>
      </w:r>
      <w:r w:rsidR="008F582C" w:rsidRPr="00FC65A6">
        <w:rPr>
          <w:rFonts w:eastAsia="Calibri"/>
          <w:sz w:val="24"/>
          <w:szCs w:val="24"/>
        </w:rPr>
        <w:t> different products, including l</w:t>
      </w:r>
      <w:r w:rsidR="009A380E" w:rsidRPr="00FC65A6">
        <w:rPr>
          <w:rFonts w:eastAsia="Calibri"/>
          <w:sz w:val="24"/>
          <w:szCs w:val="24"/>
        </w:rPr>
        <w:t xml:space="preserve">arger, commercial or industrial products </w:t>
      </w:r>
      <w:r>
        <w:rPr>
          <w:rFonts w:eastAsia="Calibri"/>
          <w:sz w:val="24"/>
          <w:szCs w:val="24"/>
        </w:rPr>
        <w:t>such as</w:t>
      </w:r>
      <w:r w:rsidR="008F582C" w:rsidRPr="00FC65A6">
        <w:rPr>
          <w:rFonts w:eastAsia="Calibri"/>
          <w:sz w:val="24"/>
          <w:szCs w:val="24"/>
        </w:rPr>
        <w:t>:</w:t>
      </w:r>
    </w:p>
    <w:p w:rsidR="009A380E" w:rsidRPr="00DC08FC" w:rsidRDefault="009A380E" w:rsidP="009A3738">
      <w:pPr>
        <w:numPr>
          <w:ilvl w:val="0"/>
          <w:numId w:val="3"/>
        </w:numPr>
        <w:suppressAutoHyphens/>
        <w:spacing w:after="120" w:line="288" w:lineRule="auto"/>
        <w:ind w:left="993" w:hanging="426"/>
        <w:rPr>
          <w:rFonts w:eastAsia="Calibri"/>
          <w:sz w:val="24"/>
          <w:szCs w:val="22"/>
        </w:rPr>
      </w:pPr>
      <w:r w:rsidRPr="00DC08FC">
        <w:rPr>
          <w:rFonts w:eastAsia="Calibri"/>
          <w:sz w:val="24"/>
          <w:szCs w:val="22"/>
        </w:rPr>
        <w:t>close control air conditioners</w:t>
      </w:r>
    </w:p>
    <w:p w:rsidR="009A380E" w:rsidRPr="00DC08FC" w:rsidRDefault="009A380E" w:rsidP="009A3738">
      <w:pPr>
        <w:numPr>
          <w:ilvl w:val="0"/>
          <w:numId w:val="3"/>
        </w:numPr>
        <w:suppressAutoHyphens/>
        <w:spacing w:after="120" w:line="288" w:lineRule="auto"/>
        <w:ind w:left="993" w:hanging="426"/>
        <w:rPr>
          <w:rFonts w:eastAsia="Calibri"/>
          <w:sz w:val="24"/>
          <w:szCs w:val="22"/>
        </w:rPr>
      </w:pPr>
      <w:r w:rsidRPr="00DC08FC">
        <w:rPr>
          <w:rFonts w:eastAsia="Calibri"/>
          <w:sz w:val="24"/>
          <w:szCs w:val="22"/>
        </w:rPr>
        <w:t>chillers</w:t>
      </w:r>
    </w:p>
    <w:p w:rsidR="009A380E" w:rsidRPr="00DC08FC" w:rsidRDefault="009A380E" w:rsidP="009A3738">
      <w:pPr>
        <w:numPr>
          <w:ilvl w:val="0"/>
          <w:numId w:val="3"/>
        </w:numPr>
        <w:suppressAutoHyphens/>
        <w:spacing w:after="120" w:line="288" w:lineRule="auto"/>
        <w:ind w:left="993" w:hanging="426"/>
        <w:rPr>
          <w:rFonts w:eastAsia="Calibri"/>
          <w:sz w:val="24"/>
          <w:szCs w:val="22"/>
        </w:rPr>
      </w:pPr>
      <w:r w:rsidRPr="00DC08FC">
        <w:rPr>
          <w:rFonts w:eastAsia="Calibri"/>
          <w:sz w:val="24"/>
          <w:szCs w:val="22"/>
        </w:rPr>
        <w:t>power transformers</w:t>
      </w:r>
    </w:p>
    <w:p w:rsidR="009A380E" w:rsidRDefault="009A380E" w:rsidP="009A3738">
      <w:pPr>
        <w:numPr>
          <w:ilvl w:val="0"/>
          <w:numId w:val="3"/>
        </w:numPr>
        <w:suppressAutoHyphens/>
        <w:spacing w:after="120" w:line="288" w:lineRule="auto"/>
        <w:ind w:left="993" w:hanging="426"/>
        <w:rPr>
          <w:rFonts w:eastAsia="Calibri"/>
          <w:sz w:val="24"/>
          <w:szCs w:val="22"/>
        </w:rPr>
      </w:pPr>
      <w:proofErr w:type="gramStart"/>
      <w:r w:rsidRPr="00183C74">
        <w:rPr>
          <w:rFonts w:eastAsia="Calibri"/>
          <w:sz w:val="24"/>
          <w:szCs w:val="22"/>
        </w:rPr>
        <w:t>refrigerated</w:t>
      </w:r>
      <w:proofErr w:type="gramEnd"/>
      <w:r w:rsidRPr="00183C74">
        <w:rPr>
          <w:rFonts w:eastAsia="Calibri"/>
          <w:sz w:val="24"/>
          <w:szCs w:val="22"/>
        </w:rPr>
        <w:t xml:space="preserve"> display cabinets</w:t>
      </w:r>
      <w:r w:rsidR="004E0950" w:rsidRPr="00183C74">
        <w:rPr>
          <w:rFonts w:eastAsia="Calibri"/>
          <w:sz w:val="24"/>
          <w:szCs w:val="22"/>
        </w:rPr>
        <w:t xml:space="preserve">. </w:t>
      </w:r>
    </w:p>
    <w:p w:rsidR="00DA712B" w:rsidRDefault="00E6187E">
      <w:pPr>
        <w:pStyle w:val="ListBullet"/>
        <w:numPr>
          <w:ilvl w:val="0"/>
          <w:numId w:val="0"/>
        </w:numPr>
        <w:suppressAutoHyphens/>
        <w:spacing w:after="120" w:line="288" w:lineRule="auto"/>
        <w:ind w:left="567"/>
        <w:rPr>
          <w:rFonts w:eastAsia="Calibri"/>
          <w:sz w:val="24"/>
          <w:szCs w:val="24"/>
        </w:rPr>
      </w:pPr>
      <w:r w:rsidRPr="00586F84">
        <w:rPr>
          <w:rFonts w:eastAsia="Calibri"/>
          <w:sz w:val="24"/>
          <w:szCs w:val="24"/>
        </w:rPr>
        <w:t xml:space="preserve">Section 61 of the GEMS Act allows the GEMS Regulator to give a Registrant a notice requiring the Registrant to take specified action if he or she believes on reasonable grounds that a model does not comply.  The GEMS Act requires that the registrant either cancels the registration or arrange for further testing and examination and notify the GEMS Regulator of the results of the testing. This currently works well for products such as whitegoods which are readily available to purchase and there is sufficient laboratory capacity. It is more complicated for products that </w:t>
      </w:r>
      <w:r w:rsidR="00AA6776" w:rsidRPr="009327DB">
        <w:rPr>
          <w:rFonts w:eastAsia="Calibri"/>
          <w:sz w:val="24"/>
          <w:szCs w:val="24"/>
        </w:rPr>
        <w:t>are bespoke or where there is not</w:t>
      </w:r>
      <w:r w:rsidRPr="00586F84">
        <w:rPr>
          <w:rFonts w:eastAsia="Calibri"/>
          <w:sz w:val="24"/>
          <w:szCs w:val="24"/>
        </w:rPr>
        <w:t xml:space="preserve"> laboratory capacity in Australia.</w:t>
      </w:r>
    </w:p>
    <w:p w:rsidR="0057203E" w:rsidRPr="00B36882" w:rsidRDefault="0057203E" w:rsidP="0032529E">
      <w:pPr>
        <w:pStyle w:val="Heading2"/>
        <w:rPr>
          <w:rFonts w:eastAsia="Calibri"/>
        </w:rPr>
      </w:pPr>
      <w:bookmarkStart w:id="94" w:name="_Toc507145473"/>
      <w:proofErr w:type="gramStart"/>
      <w:r w:rsidRPr="00B36882">
        <w:rPr>
          <w:rFonts w:eastAsia="Calibri"/>
        </w:rPr>
        <w:t>6.3  Consultation</w:t>
      </w:r>
      <w:proofErr w:type="gramEnd"/>
      <w:r w:rsidRPr="00B36882">
        <w:rPr>
          <w:rFonts w:eastAsia="Calibri"/>
        </w:rPr>
        <w:t xml:space="preserve"> questions specific to this section</w:t>
      </w:r>
      <w:bookmarkEnd w:id="94"/>
    </w:p>
    <w:p w:rsidR="0057203E" w:rsidRPr="00B36882" w:rsidRDefault="00984D15" w:rsidP="0032529E">
      <w:pPr>
        <w:numPr>
          <w:ilvl w:val="0"/>
          <w:numId w:val="3"/>
        </w:numPr>
        <w:suppressAutoHyphens/>
        <w:spacing w:after="120" w:line="288" w:lineRule="auto"/>
        <w:ind w:left="993" w:hanging="426"/>
        <w:rPr>
          <w:rFonts w:eastAsia="Calibri"/>
        </w:rPr>
      </w:pPr>
      <w:r w:rsidRPr="00B36882">
        <w:rPr>
          <w:rFonts w:eastAsia="Calibri"/>
          <w:sz w:val="24"/>
          <w:szCs w:val="22"/>
        </w:rPr>
        <w:t>Is the current compliance regime delivering effective outcomes?</w:t>
      </w:r>
    </w:p>
    <w:p w:rsidR="00984D15" w:rsidRPr="00B36882" w:rsidRDefault="00B513B3" w:rsidP="0032529E">
      <w:pPr>
        <w:numPr>
          <w:ilvl w:val="0"/>
          <w:numId w:val="3"/>
        </w:numPr>
        <w:suppressAutoHyphens/>
        <w:spacing w:after="120" w:line="288" w:lineRule="auto"/>
        <w:ind w:left="993" w:hanging="426"/>
        <w:rPr>
          <w:rFonts w:eastAsia="Calibri"/>
        </w:rPr>
      </w:pPr>
      <w:r w:rsidRPr="00B36882">
        <w:rPr>
          <w:rFonts w:eastAsia="Calibri"/>
          <w:sz w:val="24"/>
          <w:szCs w:val="22"/>
        </w:rPr>
        <w:t>Is the two stage check testing process the most appropriate approach</w:t>
      </w:r>
      <w:r w:rsidR="0007134E" w:rsidRPr="00B36882">
        <w:rPr>
          <w:rFonts w:eastAsia="Calibri"/>
          <w:sz w:val="24"/>
          <w:szCs w:val="22"/>
        </w:rPr>
        <w:t xml:space="preserve"> for all GEMS products</w:t>
      </w:r>
      <w:r w:rsidR="00984D15" w:rsidRPr="00B36882">
        <w:rPr>
          <w:rFonts w:eastAsia="Calibri"/>
          <w:sz w:val="24"/>
          <w:szCs w:val="22"/>
        </w:rPr>
        <w:t>?</w:t>
      </w:r>
    </w:p>
    <w:p w:rsidR="00DA712B" w:rsidRDefault="00DA712B">
      <w:pPr>
        <w:rPr>
          <w:rFonts w:eastAsia="Calibri"/>
          <w:sz w:val="24"/>
          <w:szCs w:val="24"/>
        </w:rPr>
      </w:pPr>
      <w:r>
        <w:rPr>
          <w:rFonts w:eastAsia="Calibri"/>
          <w:sz w:val="24"/>
          <w:szCs w:val="24"/>
        </w:rPr>
        <w:br w:type="page"/>
      </w:r>
    </w:p>
    <w:p w:rsidR="00E6187E" w:rsidRPr="00586F84" w:rsidRDefault="00E6187E" w:rsidP="00586F84">
      <w:pPr>
        <w:pStyle w:val="ListBullet"/>
        <w:numPr>
          <w:ilvl w:val="0"/>
          <w:numId w:val="0"/>
        </w:numPr>
        <w:suppressAutoHyphens/>
        <w:spacing w:after="120" w:line="288" w:lineRule="auto"/>
        <w:ind w:left="567"/>
        <w:rPr>
          <w:rFonts w:eastAsia="Calibri"/>
          <w:sz w:val="24"/>
          <w:szCs w:val="24"/>
        </w:rPr>
      </w:pPr>
    </w:p>
    <w:p w:rsidR="003576B2" w:rsidRPr="00586F84" w:rsidRDefault="003576B2" w:rsidP="00586F84">
      <w:pPr>
        <w:pBdr>
          <w:top w:val="single" w:sz="4" w:space="1" w:color="auto"/>
          <w:left w:val="single" w:sz="4" w:space="4" w:color="auto"/>
          <w:bottom w:val="single" w:sz="4" w:space="1" w:color="auto"/>
          <w:right w:val="single" w:sz="4" w:space="4" w:color="auto"/>
        </w:pBdr>
        <w:suppressAutoHyphens/>
        <w:spacing w:after="120" w:line="288" w:lineRule="auto"/>
        <w:ind w:left="567"/>
        <w:rPr>
          <w:rFonts w:eastAsia="Calibri"/>
          <w:b/>
          <w:sz w:val="24"/>
          <w:szCs w:val="22"/>
        </w:rPr>
      </w:pPr>
      <w:r w:rsidRPr="00586F84">
        <w:rPr>
          <w:rFonts w:eastAsia="Calibri"/>
          <w:b/>
          <w:sz w:val="24"/>
          <w:szCs w:val="22"/>
        </w:rPr>
        <w:t xml:space="preserve">Box </w:t>
      </w:r>
      <w:r w:rsidR="00DC47B6">
        <w:rPr>
          <w:rFonts w:eastAsia="Calibri"/>
          <w:b/>
          <w:sz w:val="24"/>
          <w:szCs w:val="22"/>
        </w:rPr>
        <w:t>7</w:t>
      </w:r>
      <w:r w:rsidR="00437AA5" w:rsidRPr="00586F84">
        <w:rPr>
          <w:rFonts w:eastAsia="Calibri"/>
          <w:b/>
          <w:sz w:val="24"/>
          <w:szCs w:val="22"/>
        </w:rPr>
        <w:t>:</w:t>
      </w:r>
      <w:r w:rsidRPr="00586F84">
        <w:rPr>
          <w:rFonts w:eastAsia="Calibri"/>
          <w:b/>
          <w:sz w:val="24"/>
          <w:szCs w:val="22"/>
        </w:rPr>
        <w:t xml:space="preserve"> The two stage check testing process</w:t>
      </w:r>
    </w:p>
    <w:p w:rsidR="003576B2" w:rsidRPr="003576B2" w:rsidRDefault="003576B2" w:rsidP="00586F84">
      <w:pPr>
        <w:pBdr>
          <w:top w:val="single" w:sz="4" w:space="1" w:color="auto"/>
          <w:left w:val="single" w:sz="4" w:space="4" w:color="auto"/>
          <w:bottom w:val="single" w:sz="4" w:space="1" w:color="auto"/>
          <w:right w:val="single" w:sz="4" w:space="4" w:color="auto"/>
        </w:pBdr>
        <w:suppressAutoHyphens/>
        <w:spacing w:after="120" w:line="288" w:lineRule="auto"/>
        <w:ind w:left="567"/>
        <w:rPr>
          <w:rFonts w:eastAsia="Calibri"/>
          <w:sz w:val="24"/>
          <w:szCs w:val="22"/>
        </w:rPr>
      </w:pPr>
      <w:r w:rsidRPr="003576B2">
        <w:rPr>
          <w:rFonts w:eastAsia="Calibri"/>
          <w:sz w:val="24"/>
          <w:szCs w:val="22"/>
        </w:rPr>
        <w:t xml:space="preserve">Check testing refers to the activities undertaken by the GEMS Regulator to ensure that models meet the performance and labelling requirements set out in relevant GEMS determinations.  The following summarises the stage 1 and 2 process taken from the GEMS Check Testing Policy.  </w:t>
      </w:r>
    </w:p>
    <w:p w:rsidR="003576B2" w:rsidRPr="003576B2" w:rsidRDefault="003576B2" w:rsidP="00586F84">
      <w:pPr>
        <w:pBdr>
          <w:top w:val="single" w:sz="4" w:space="1" w:color="auto"/>
          <w:left w:val="single" w:sz="4" w:space="4" w:color="auto"/>
          <w:bottom w:val="single" w:sz="4" w:space="1" w:color="auto"/>
          <w:right w:val="single" w:sz="4" w:space="4" w:color="auto"/>
        </w:pBdr>
        <w:suppressAutoHyphens/>
        <w:spacing w:after="120" w:line="288" w:lineRule="auto"/>
        <w:ind w:left="567"/>
        <w:rPr>
          <w:rFonts w:eastAsia="Calibri"/>
          <w:sz w:val="24"/>
          <w:szCs w:val="22"/>
        </w:rPr>
      </w:pPr>
      <w:r w:rsidRPr="00586F84">
        <w:rPr>
          <w:rFonts w:eastAsia="Calibri"/>
          <w:b/>
          <w:sz w:val="24"/>
          <w:szCs w:val="22"/>
        </w:rPr>
        <w:t>Stage 1:</w:t>
      </w:r>
      <w:r w:rsidRPr="003576B2">
        <w:rPr>
          <w:rFonts w:eastAsia="Calibri"/>
          <w:sz w:val="24"/>
          <w:szCs w:val="22"/>
        </w:rPr>
        <w:t xml:space="preserve">  Usually a single product is tested to check it meets the requirements of the relevant GEMS determination. However, for some products (for example, lamps) a single product is not considered representative of the model. In these situations the relevant determination will specify how many products will be tested.</w:t>
      </w:r>
    </w:p>
    <w:p w:rsidR="008839D4" w:rsidRDefault="003576B2" w:rsidP="009A3738">
      <w:pPr>
        <w:numPr>
          <w:ilvl w:val="0"/>
          <w:numId w:val="3"/>
        </w:numPr>
        <w:pBdr>
          <w:top w:val="single" w:sz="4" w:space="1" w:color="auto"/>
          <w:left w:val="single" w:sz="4" w:space="4" w:color="auto"/>
          <w:bottom w:val="single" w:sz="4" w:space="1" w:color="auto"/>
          <w:right w:val="single" w:sz="4" w:space="4" w:color="auto"/>
        </w:pBdr>
        <w:suppressAutoHyphens/>
        <w:spacing w:after="120" w:line="288" w:lineRule="auto"/>
        <w:ind w:left="993" w:hanging="426"/>
        <w:rPr>
          <w:rFonts w:eastAsia="Calibri"/>
          <w:sz w:val="24"/>
          <w:szCs w:val="22"/>
        </w:rPr>
      </w:pPr>
      <w:r w:rsidRPr="00586F84">
        <w:rPr>
          <w:rFonts w:eastAsia="Calibri"/>
          <w:sz w:val="24"/>
          <w:szCs w:val="22"/>
        </w:rPr>
        <w:t xml:space="preserve">If the product meets the requirements of the GEMS determination, the GEMS Regulator notifies the registrant and no further action is taken. </w:t>
      </w:r>
    </w:p>
    <w:p w:rsidR="003576B2" w:rsidRPr="008839D4" w:rsidRDefault="003576B2" w:rsidP="009A3738">
      <w:pPr>
        <w:numPr>
          <w:ilvl w:val="0"/>
          <w:numId w:val="3"/>
        </w:numPr>
        <w:pBdr>
          <w:top w:val="single" w:sz="4" w:space="1" w:color="auto"/>
          <w:left w:val="single" w:sz="4" w:space="4" w:color="auto"/>
          <w:bottom w:val="single" w:sz="4" w:space="1" w:color="auto"/>
          <w:right w:val="single" w:sz="4" w:space="4" w:color="auto"/>
        </w:pBdr>
        <w:suppressAutoHyphens/>
        <w:spacing w:after="120" w:line="288" w:lineRule="auto"/>
        <w:ind w:left="993" w:hanging="426"/>
        <w:rPr>
          <w:rFonts w:eastAsia="Calibri"/>
          <w:sz w:val="24"/>
          <w:szCs w:val="22"/>
        </w:rPr>
      </w:pPr>
      <w:r w:rsidRPr="008839D4">
        <w:rPr>
          <w:rFonts w:eastAsia="Calibri"/>
          <w:sz w:val="24"/>
          <w:szCs w:val="22"/>
        </w:rPr>
        <w:t>If the product does not meet the requirements of the GEMS determination, the registrant will be notified; supplied with the check test results; and given an opportunity to provide information for the GEMS Regulator to consider in deciding whether to issue a notice under section 61 of the GEMS Act. A section 61 notice requires that the registrant either elect to cancel the registration of the model or arrange for Stage 2 check testing at the registrant’s expense.</w:t>
      </w:r>
    </w:p>
    <w:p w:rsidR="003576B2" w:rsidRPr="003576B2" w:rsidRDefault="003576B2" w:rsidP="00586F84">
      <w:pPr>
        <w:pBdr>
          <w:top w:val="single" w:sz="4" w:space="1" w:color="auto"/>
          <w:left w:val="single" w:sz="4" w:space="4" w:color="auto"/>
          <w:bottom w:val="single" w:sz="4" w:space="1" w:color="auto"/>
          <w:right w:val="single" w:sz="4" w:space="4" w:color="auto"/>
        </w:pBdr>
        <w:suppressAutoHyphens/>
        <w:spacing w:after="120" w:line="288" w:lineRule="auto"/>
        <w:ind w:left="567"/>
        <w:rPr>
          <w:rFonts w:eastAsia="Calibri"/>
          <w:sz w:val="24"/>
          <w:szCs w:val="22"/>
        </w:rPr>
      </w:pPr>
      <w:r w:rsidRPr="00586F84">
        <w:rPr>
          <w:rFonts w:eastAsia="Calibri"/>
          <w:b/>
          <w:sz w:val="24"/>
          <w:szCs w:val="22"/>
        </w:rPr>
        <w:t>Stage 2:</w:t>
      </w:r>
      <w:r w:rsidRPr="003576B2">
        <w:rPr>
          <w:rFonts w:eastAsia="Calibri"/>
          <w:sz w:val="24"/>
          <w:szCs w:val="22"/>
        </w:rPr>
        <w:t xml:space="preserve">  If the registrant believes that the results of the Stage 1 check test do not accurately reflect the model, then the registrant may arrange for Stage 2 check testing at the registrant’s expense in accordance with the section 61 notice. The notice details, amongst other requirements; how products will be selected, how many products will be selected, and where the products will be tested. For products such as lamps, two or three products are not considered representative of the model. In these situations, the GEMS Regulator will determine how many products will be tested.</w:t>
      </w:r>
    </w:p>
    <w:p w:rsidR="003576B2" w:rsidRPr="003576B2" w:rsidRDefault="003576B2" w:rsidP="009A3738">
      <w:pPr>
        <w:numPr>
          <w:ilvl w:val="0"/>
          <w:numId w:val="3"/>
        </w:numPr>
        <w:pBdr>
          <w:top w:val="single" w:sz="4" w:space="1" w:color="auto"/>
          <w:left w:val="single" w:sz="4" w:space="4" w:color="auto"/>
          <w:bottom w:val="single" w:sz="4" w:space="1" w:color="auto"/>
          <w:right w:val="single" w:sz="4" w:space="4" w:color="auto"/>
        </w:pBdr>
        <w:suppressAutoHyphens/>
        <w:spacing w:after="120" w:line="288" w:lineRule="auto"/>
        <w:ind w:left="993" w:hanging="426"/>
        <w:rPr>
          <w:rFonts w:eastAsia="Calibri"/>
          <w:sz w:val="24"/>
          <w:szCs w:val="22"/>
        </w:rPr>
      </w:pPr>
      <w:r w:rsidRPr="003576B2">
        <w:rPr>
          <w:rFonts w:eastAsia="Calibri"/>
          <w:sz w:val="24"/>
          <w:szCs w:val="22"/>
        </w:rPr>
        <w:t>If the test results reveal that the products meet the requirements of the GEMS determination, then the model passes. The GEMS Regulator notifies the registrant and no further action is taken.</w:t>
      </w:r>
    </w:p>
    <w:p w:rsidR="003576B2" w:rsidRDefault="003576B2" w:rsidP="009A3738">
      <w:pPr>
        <w:numPr>
          <w:ilvl w:val="0"/>
          <w:numId w:val="3"/>
        </w:numPr>
        <w:pBdr>
          <w:top w:val="single" w:sz="4" w:space="1" w:color="auto"/>
          <w:left w:val="single" w:sz="4" w:space="4" w:color="auto"/>
          <w:bottom w:val="single" w:sz="4" w:space="1" w:color="auto"/>
          <w:right w:val="single" w:sz="4" w:space="4" w:color="auto"/>
        </w:pBdr>
        <w:suppressAutoHyphens/>
        <w:spacing w:after="120" w:line="288" w:lineRule="auto"/>
        <w:ind w:left="993" w:hanging="426"/>
        <w:rPr>
          <w:rFonts w:eastAsia="Calibri"/>
          <w:sz w:val="24"/>
          <w:szCs w:val="22"/>
        </w:rPr>
      </w:pPr>
      <w:r w:rsidRPr="003576B2">
        <w:rPr>
          <w:rFonts w:eastAsia="Calibri"/>
          <w:sz w:val="24"/>
          <w:szCs w:val="22"/>
        </w:rPr>
        <w:t>If the test results reveal that the products do not meet the requirements of the GEMS determination, then the GEMS Regulator may suspend (under section 49 of the GEMS Act) or cancel (under section 54 of the GEMS Act) the model’s registration. The GEMS Regulator may also consider additional enforcement responses.</w:t>
      </w:r>
    </w:p>
    <w:p w:rsidR="003576B2" w:rsidRDefault="003576B2" w:rsidP="00183C74">
      <w:pPr>
        <w:suppressAutoHyphens/>
        <w:spacing w:after="120" w:line="288" w:lineRule="auto"/>
        <w:ind w:left="567"/>
        <w:rPr>
          <w:rFonts w:eastAsia="Calibri"/>
          <w:sz w:val="24"/>
          <w:szCs w:val="22"/>
        </w:rPr>
      </w:pPr>
    </w:p>
    <w:p w:rsidR="00183C74" w:rsidRDefault="00183C74">
      <w:pPr>
        <w:rPr>
          <w:rFonts w:cs="MyriadPro-Regular"/>
          <w:color w:val="000000"/>
          <w:sz w:val="52"/>
          <w:szCs w:val="52"/>
          <w:lang w:val="en-US"/>
        </w:rPr>
      </w:pPr>
      <w:bookmarkStart w:id="95" w:name="_Toc501610439"/>
      <w:r>
        <w:br w:type="page"/>
      </w:r>
    </w:p>
    <w:p w:rsidR="00ED2CF5" w:rsidRPr="00E604BD" w:rsidRDefault="00707A0D" w:rsidP="00F962E4">
      <w:pPr>
        <w:pStyle w:val="Heading1"/>
      </w:pPr>
      <w:bookmarkStart w:id="96" w:name="_Toc507145474"/>
      <w:r>
        <w:t>7</w:t>
      </w:r>
      <w:r w:rsidR="00FC17F9" w:rsidRPr="00E604BD">
        <w:t>.</w:t>
      </w:r>
      <w:r w:rsidR="00FC17F9" w:rsidRPr="00E604BD">
        <w:tab/>
        <w:t>Overarching i</w:t>
      </w:r>
      <w:r w:rsidR="00D50677" w:rsidRPr="00E604BD">
        <w:t>ssues</w:t>
      </w:r>
      <w:bookmarkEnd w:id="95"/>
      <w:bookmarkEnd w:id="96"/>
    </w:p>
    <w:p w:rsidR="002B74DA" w:rsidRDefault="001232A3" w:rsidP="002B74DA">
      <w:pPr>
        <w:pStyle w:val="Heading2"/>
        <w:spacing w:after="120"/>
        <w:ind w:left="993"/>
        <w:rPr>
          <w:rFonts w:eastAsia="Calibri"/>
        </w:rPr>
      </w:pPr>
      <w:bookmarkStart w:id="97" w:name="_Toc507145475"/>
      <w:proofErr w:type="gramStart"/>
      <w:r>
        <w:rPr>
          <w:rFonts w:eastAsia="Calibri"/>
        </w:rPr>
        <w:t>7</w:t>
      </w:r>
      <w:r w:rsidR="002B74DA">
        <w:rPr>
          <w:rFonts w:eastAsia="Calibri"/>
        </w:rPr>
        <w:t>.1</w:t>
      </w:r>
      <w:r w:rsidR="002B74DA" w:rsidRPr="00820FBD">
        <w:rPr>
          <w:rFonts w:eastAsia="Calibri"/>
        </w:rPr>
        <w:t xml:space="preserve"> </w:t>
      </w:r>
      <w:r w:rsidR="002B74DA">
        <w:rPr>
          <w:rFonts w:eastAsia="Calibri"/>
        </w:rPr>
        <w:t xml:space="preserve"> Mandatory</w:t>
      </w:r>
      <w:proofErr w:type="gramEnd"/>
      <w:r w:rsidR="002B74DA">
        <w:rPr>
          <w:rFonts w:eastAsia="Calibri"/>
        </w:rPr>
        <w:t xml:space="preserve"> versus voluntary standards and labelling</w:t>
      </w:r>
      <w:bookmarkEnd w:id="97"/>
    </w:p>
    <w:p w:rsidR="002B74DA" w:rsidRPr="00DB55E0" w:rsidRDefault="004F708A" w:rsidP="002B74DA">
      <w:pPr>
        <w:suppressAutoHyphens/>
        <w:spacing w:after="200" w:line="276" w:lineRule="auto"/>
        <w:ind w:left="567"/>
        <w:rPr>
          <w:rFonts w:eastAsia="Calibri"/>
          <w:sz w:val="24"/>
          <w:szCs w:val="22"/>
        </w:rPr>
      </w:pPr>
      <w:r>
        <w:rPr>
          <w:rFonts w:eastAsia="Calibri"/>
          <w:sz w:val="24"/>
          <w:szCs w:val="22"/>
        </w:rPr>
        <w:t xml:space="preserve">Almost all products currently </w:t>
      </w:r>
      <w:r w:rsidR="0072349F">
        <w:rPr>
          <w:rFonts w:eastAsia="Calibri"/>
          <w:sz w:val="24"/>
          <w:szCs w:val="22"/>
        </w:rPr>
        <w:t xml:space="preserve">regulated under the GEMS Act have mandatory standards and labelling regulations. </w:t>
      </w:r>
      <w:r w:rsidR="002B74DA" w:rsidRPr="00DB55E0">
        <w:rPr>
          <w:rFonts w:eastAsia="Calibri"/>
          <w:sz w:val="24"/>
          <w:szCs w:val="22"/>
        </w:rPr>
        <w:t>The 2015 GEMS Review examined the case for mandatory energy performance standards and energy labelling for equipment and appliances, and whether these government interventions should be mandatory or voluntary. It found that there was a strong case for intervention and that:</w:t>
      </w:r>
    </w:p>
    <w:p w:rsidR="002B74DA" w:rsidRPr="00DB55E0" w:rsidRDefault="002B74DA" w:rsidP="002B74DA">
      <w:pPr>
        <w:suppressAutoHyphens/>
        <w:spacing w:after="200" w:line="276" w:lineRule="auto"/>
        <w:ind w:left="851"/>
        <w:rPr>
          <w:rFonts w:eastAsia="Calibri" w:cs="Arial"/>
          <w:sz w:val="24"/>
          <w:szCs w:val="24"/>
          <w:lang w:eastAsia="en-AU"/>
        </w:rPr>
      </w:pPr>
      <w:r w:rsidRPr="00DB55E0">
        <w:rPr>
          <w:rFonts w:eastAsia="Calibri" w:cs="Arial"/>
          <w:sz w:val="24"/>
          <w:szCs w:val="24"/>
          <w:lang w:eastAsia="en-AU"/>
        </w:rPr>
        <w:t xml:space="preserve">“MEPS are generally mandatory because regulation, with good compliance, delivers certainty and consistent outcomes for businesses and consumers. Voluntary agreements… appear successful only in specific circumstances, such as when markets are dominated by a limited number of domestic manufacturers, with similar (high) technical competency and incentives to develop energy efficient product. These circumstances do not apply to the Australian and New Zealand markets.” </w:t>
      </w:r>
    </w:p>
    <w:p w:rsidR="002B74DA" w:rsidRPr="00DB55E0" w:rsidRDefault="002B74DA" w:rsidP="002B74DA">
      <w:pPr>
        <w:suppressAutoHyphens/>
        <w:spacing w:after="200" w:line="276" w:lineRule="auto"/>
        <w:ind w:left="851"/>
        <w:rPr>
          <w:rFonts w:eastAsia="Calibri" w:cs="Arial"/>
          <w:sz w:val="24"/>
          <w:szCs w:val="24"/>
          <w:lang w:eastAsia="en-AU"/>
        </w:rPr>
      </w:pPr>
      <w:r w:rsidRPr="00DB55E0">
        <w:rPr>
          <w:rFonts w:eastAsia="Calibri" w:cs="Arial"/>
          <w:sz w:val="24"/>
          <w:szCs w:val="24"/>
          <w:lang w:eastAsia="en-AU"/>
        </w:rPr>
        <w:t>“Mandatory comparison labels provide authoritative and trusted information for consumers and for this reason the large majority of stakeholders support their use.”</w:t>
      </w:r>
    </w:p>
    <w:p w:rsidR="002B74DA" w:rsidRDefault="002B74DA" w:rsidP="00C5730F">
      <w:pPr>
        <w:suppressAutoHyphens/>
        <w:spacing w:after="200" w:line="276" w:lineRule="auto"/>
        <w:ind w:left="567"/>
        <w:rPr>
          <w:rFonts w:eastAsia="Calibri" w:cs="Arial"/>
          <w:sz w:val="24"/>
          <w:szCs w:val="24"/>
          <w:lang w:eastAsia="en-AU"/>
        </w:rPr>
      </w:pPr>
      <w:r w:rsidRPr="00DB55E0">
        <w:rPr>
          <w:rFonts w:eastAsia="Calibri"/>
          <w:sz w:val="24"/>
          <w:szCs w:val="22"/>
        </w:rPr>
        <w:t xml:space="preserve">In 2017, research commissioned by the International Energy Agency’s (IEA) 4E Technology Collaboration Programme analysed 51 voluntary agreements between governments and industry since 2000. The study found that these agreements </w:t>
      </w:r>
      <w:r w:rsidRPr="00DB55E0">
        <w:rPr>
          <w:rFonts w:eastAsia="Calibri" w:cs="Arial"/>
          <w:sz w:val="24"/>
          <w:szCs w:val="24"/>
          <w:lang w:eastAsia="en-AU"/>
        </w:rPr>
        <w:t>are “best applied when policy action is desirable but regulation currently not feasible, for example when there are regulatory hurdles, unusual markets, lack of information or lack of government resources.”</w:t>
      </w:r>
      <w:r w:rsidRPr="00DB55E0">
        <w:rPr>
          <w:rFonts w:eastAsia="Calibri" w:cs="Arial"/>
          <w:sz w:val="24"/>
          <w:szCs w:val="24"/>
          <w:vertAlign w:val="superscript"/>
          <w:lang w:eastAsia="en-AU"/>
        </w:rPr>
        <w:footnoteReference w:id="8"/>
      </w:r>
    </w:p>
    <w:p w:rsidR="00894221" w:rsidRPr="00586F84" w:rsidRDefault="005B4073" w:rsidP="00C5730F">
      <w:pPr>
        <w:suppressAutoHyphens/>
        <w:spacing w:after="200" w:line="276" w:lineRule="auto"/>
        <w:ind w:left="567"/>
        <w:rPr>
          <w:rFonts w:eastAsia="Calibri" w:cs="Arial"/>
          <w:sz w:val="24"/>
          <w:szCs w:val="24"/>
          <w:lang w:eastAsia="en-AU"/>
        </w:rPr>
      </w:pPr>
      <w:r w:rsidRPr="00586F84">
        <w:rPr>
          <w:rFonts w:eastAsia="Calibri" w:cs="Arial"/>
          <w:sz w:val="24"/>
          <w:szCs w:val="24"/>
          <w:lang w:eastAsia="en-AU"/>
        </w:rPr>
        <w:t xml:space="preserve">The E3 Program has voluntary standard for demand response interfaces for some equipment and appliances (see </w:t>
      </w:r>
      <w:r w:rsidRPr="00586F84">
        <w:rPr>
          <w:rFonts w:eastAsia="Calibri" w:cs="Arial"/>
          <w:b/>
          <w:sz w:val="24"/>
          <w:szCs w:val="24"/>
          <w:lang w:eastAsia="en-AU"/>
        </w:rPr>
        <w:t>Section 7.3)</w:t>
      </w:r>
      <w:r w:rsidRPr="00586F84">
        <w:rPr>
          <w:rFonts w:eastAsia="Calibri" w:cs="Arial"/>
          <w:sz w:val="24"/>
          <w:szCs w:val="24"/>
          <w:lang w:eastAsia="en-AU"/>
        </w:rPr>
        <w:t xml:space="preserve"> and a voluntary Energy Rating Icon for online and print advertising (see </w:t>
      </w:r>
      <w:r w:rsidRPr="00586F84">
        <w:rPr>
          <w:rFonts w:eastAsia="Calibri" w:cs="Arial"/>
          <w:b/>
          <w:sz w:val="24"/>
          <w:szCs w:val="24"/>
          <w:lang w:eastAsia="en-AU"/>
        </w:rPr>
        <w:t>Section 7.2</w:t>
      </w:r>
      <w:r w:rsidRPr="00586F84">
        <w:rPr>
          <w:rFonts w:eastAsia="Calibri" w:cs="Arial"/>
          <w:sz w:val="24"/>
          <w:szCs w:val="24"/>
          <w:lang w:eastAsia="en-AU"/>
        </w:rPr>
        <w:t>).</w:t>
      </w:r>
    </w:p>
    <w:p w:rsidR="0071675A" w:rsidRDefault="001232A3" w:rsidP="00417FDB">
      <w:pPr>
        <w:pStyle w:val="Heading2"/>
        <w:spacing w:after="120"/>
        <w:ind w:left="993"/>
        <w:rPr>
          <w:rFonts w:eastAsia="Calibri"/>
        </w:rPr>
      </w:pPr>
      <w:bookmarkStart w:id="98" w:name="_Toc507145476"/>
      <w:proofErr w:type="gramStart"/>
      <w:r>
        <w:rPr>
          <w:rFonts w:eastAsia="Calibri"/>
        </w:rPr>
        <w:t>7</w:t>
      </w:r>
      <w:r w:rsidR="0071675A">
        <w:rPr>
          <w:rFonts w:eastAsia="Calibri"/>
        </w:rPr>
        <w:t>.</w:t>
      </w:r>
      <w:r w:rsidR="002B74DA">
        <w:rPr>
          <w:rFonts w:eastAsia="Calibri"/>
        </w:rPr>
        <w:t>2</w:t>
      </w:r>
      <w:r w:rsidR="0071675A" w:rsidRPr="00820FBD">
        <w:rPr>
          <w:rFonts w:eastAsia="Calibri"/>
        </w:rPr>
        <w:t xml:space="preserve"> </w:t>
      </w:r>
      <w:r w:rsidR="0071675A">
        <w:rPr>
          <w:rFonts w:eastAsia="Calibri"/>
        </w:rPr>
        <w:t xml:space="preserve"> Online</w:t>
      </w:r>
      <w:proofErr w:type="gramEnd"/>
      <w:r w:rsidR="0071675A">
        <w:rPr>
          <w:rFonts w:eastAsia="Calibri"/>
        </w:rPr>
        <w:t xml:space="preserve"> labelling and print advertising</w:t>
      </w:r>
      <w:bookmarkEnd w:id="98"/>
    </w:p>
    <w:p w:rsidR="0071675A" w:rsidRPr="00586F84" w:rsidRDefault="0071675A" w:rsidP="00586F84">
      <w:pPr>
        <w:suppressAutoHyphens/>
        <w:spacing w:after="120" w:line="288" w:lineRule="auto"/>
        <w:ind w:left="567"/>
        <w:rPr>
          <w:rFonts w:eastAsia="Calibri"/>
          <w:sz w:val="24"/>
          <w:szCs w:val="22"/>
        </w:rPr>
      </w:pPr>
      <w:r w:rsidRPr="00586F84">
        <w:rPr>
          <w:rFonts w:eastAsia="Calibri"/>
          <w:sz w:val="24"/>
          <w:szCs w:val="22"/>
        </w:rPr>
        <w:t xml:space="preserve">While the GEMS Act mandates the display of the Energy Rating Label in stores on some regulated products, the use of the Energy Rating Icon (a simpler version of the Energy Rating Label for use online and in print advertising) is voluntary. </w:t>
      </w:r>
    </w:p>
    <w:p w:rsidR="003620E7" w:rsidRPr="00586F84" w:rsidRDefault="003620E7" w:rsidP="00586F84">
      <w:pPr>
        <w:suppressAutoHyphens/>
        <w:spacing w:after="120" w:line="288" w:lineRule="auto"/>
        <w:ind w:left="567"/>
        <w:rPr>
          <w:rFonts w:eastAsia="Calibri"/>
          <w:sz w:val="24"/>
          <w:szCs w:val="22"/>
        </w:rPr>
      </w:pPr>
      <w:r w:rsidRPr="00586F84">
        <w:rPr>
          <w:rFonts w:eastAsia="Calibri"/>
          <w:sz w:val="24"/>
          <w:szCs w:val="22"/>
        </w:rPr>
        <w:t>Increasingly, consumers purchasing appliances online are provided with energy efficiency information (by a text description of the star rating and energy consumption).</w:t>
      </w:r>
      <w:r w:rsidR="003A15CE" w:rsidRPr="00586F84">
        <w:rPr>
          <w:rFonts w:eastAsia="Calibri"/>
          <w:sz w:val="24"/>
          <w:szCs w:val="22"/>
        </w:rPr>
        <w:t xml:space="preserve"> </w:t>
      </w:r>
      <w:r w:rsidR="0072349F" w:rsidRPr="00586F84">
        <w:rPr>
          <w:rFonts w:eastAsia="Calibri"/>
          <w:sz w:val="24"/>
          <w:szCs w:val="22"/>
        </w:rPr>
        <w:t>I</w:t>
      </w:r>
      <w:r w:rsidRPr="00586F84">
        <w:rPr>
          <w:rFonts w:eastAsia="Calibri"/>
          <w:sz w:val="24"/>
          <w:szCs w:val="22"/>
        </w:rPr>
        <w:t xml:space="preserve">ncreased use of the Icon would provide a </w:t>
      </w:r>
      <w:r w:rsidR="0072349F" w:rsidRPr="00586F84">
        <w:rPr>
          <w:rFonts w:eastAsia="Calibri"/>
          <w:sz w:val="24"/>
          <w:szCs w:val="22"/>
        </w:rPr>
        <w:t xml:space="preserve">more </w:t>
      </w:r>
      <w:r w:rsidRPr="00586F84">
        <w:rPr>
          <w:rFonts w:eastAsia="Calibri"/>
          <w:sz w:val="24"/>
          <w:szCs w:val="22"/>
        </w:rPr>
        <w:t>recognisable, consistent and credible source of energy efficiency information.</w:t>
      </w:r>
    </w:p>
    <w:p w:rsidR="0071675A" w:rsidRPr="00586F84" w:rsidRDefault="0071675A" w:rsidP="00586F84">
      <w:pPr>
        <w:suppressAutoHyphens/>
        <w:spacing w:after="120" w:line="288" w:lineRule="auto"/>
        <w:ind w:left="567"/>
        <w:rPr>
          <w:rFonts w:eastAsia="Calibri"/>
          <w:sz w:val="24"/>
          <w:szCs w:val="22"/>
        </w:rPr>
      </w:pPr>
      <w:r w:rsidRPr="00586F84">
        <w:rPr>
          <w:rFonts w:eastAsia="Calibri"/>
          <w:sz w:val="24"/>
          <w:szCs w:val="22"/>
        </w:rPr>
        <w:t>The COAG Energy Council considered mandatory online labelling and print advertising while developing the GEMS Act</w:t>
      </w:r>
      <w:r w:rsidR="0072349F" w:rsidRPr="00586F84">
        <w:rPr>
          <w:rFonts w:eastAsia="Calibri"/>
          <w:sz w:val="24"/>
          <w:szCs w:val="22"/>
        </w:rPr>
        <w:t xml:space="preserve"> and</w:t>
      </w:r>
      <w:r w:rsidRPr="00586F84">
        <w:rPr>
          <w:rFonts w:eastAsia="Calibri"/>
          <w:sz w:val="24"/>
          <w:szCs w:val="22"/>
        </w:rPr>
        <w:t xml:space="preserve"> decided further work was required </w:t>
      </w:r>
      <w:r w:rsidR="003620E7" w:rsidRPr="00586F84">
        <w:rPr>
          <w:rFonts w:eastAsia="Calibri"/>
          <w:sz w:val="24"/>
          <w:szCs w:val="22"/>
        </w:rPr>
        <w:t xml:space="preserve">with regard to the costs and benefits </w:t>
      </w:r>
      <w:r w:rsidRPr="00586F84">
        <w:rPr>
          <w:rFonts w:eastAsia="Calibri"/>
          <w:sz w:val="24"/>
          <w:szCs w:val="22"/>
        </w:rPr>
        <w:t xml:space="preserve">before introducing </w:t>
      </w:r>
      <w:r w:rsidR="00E1619A" w:rsidRPr="00586F84">
        <w:rPr>
          <w:rFonts w:eastAsia="Calibri"/>
          <w:sz w:val="24"/>
          <w:szCs w:val="22"/>
        </w:rPr>
        <w:t xml:space="preserve">mandatory </w:t>
      </w:r>
      <w:r w:rsidRPr="00586F84">
        <w:rPr>
          <w:rFonts w:eastAsia="Calibri"/>
          <w:sz w:val="24"/>
          <w:szCs w:val="22"/>
        </w:rPr>
        <w:t>regulation.</w:t>
      </w:r>
      <w:r w:rsidR="00082594" w:rsidRPr="00586F84">
        <w:rPr>
          <w:rFonts w:eastAsia="Calibri"/>
          <w:sz w:val="24"/>
          <w:szCs w:val="22"/>
        </w:rPr>
        <w:t xml:space="preserve"> </w:t>
      </w:r>
    </w:p>
    <w:p w:rsidR="00FC65A6" w:rsidRDefault="00C92500" w:rsidP="00586F84">
      <w:pPr>
        <w:suppressAutoHyphens/>
        <w:ind w:left="567"/>
        <w:rPr>
          <w:rFonts w:eastAsia="Calibri" w:cs="MyriadPro-Regular"/>
          <w:color w:val="000000"/>
          <w:sz w:val="32"/>
          <w:szCs w:val="28"/>
          <w:lang w:val="en-GB"/>
        </w:rPr>
      </w:pPr>
      <w:r w:rsidRPr="00586F84">
        <w:rPr>
          <w:rFonts w:eastAsia="Calibri"/>
          <w:sz w:val="24"/>
          <w:szCs w:val="22"/>
        </w:rPr>
        <w:t xml:space="preserve">The </w:t>
      </w:r>
      <w:r w:rsidR="003C6769">
        <w:rPr>
          <w:rFonts w:eastAsia="Calibri"/>
          <w:sz w:val="24"/>
          <w:szCs w:val="22"/>
        </w:rPr>
        <w:t>E3 Program</w:t>
      </w:r>
      <w:r w:rsidRPr="00586F84">
        <w:rPr>
          <w:rFonts w:eastAsia="Calibri"/>
          <w:sz w:val="24"/>
          <w:szCs w:val="22"/>
        </w:rPr>
        <w:t xml:space="preserve"> is</w:t>
      </w:r>
      <w:r w:rsidR="00F200DB" w:rsidRPr="00586F84">
        <w:rPr>
          <w:rFonts w:eastAsia="Calibri"/>
          <w:sz w:val="24"/>
          <w:szCs w:val="22"/>
        </w:rPr>
        <w:t xml:space="preserve"> currently</w:t>
      </w:r>
      <w:r w:rsidRPr="00586F84">
        <w:rPr>
          <w:rFonts w:eastAsia="Calibri"/>
          <w:sz w:val="24"/>
          <w:szCs w:val="22"/>
        </w:rPr>
        <w:t xml:space="preserve"> undertaking research into the effect online energy efficiency information, and the format of that information, has on purchasing decisions.</w:t>
      </w:r>
    </w:p>
    <w:p w:rsidR="009A380E" w:rsidRDefault="001232A3" w:rsidP="00417FDB">
      <w:pPr>
        <w:pStyle w:val="Heading2"/>
        <w:spacing w:after="120"/>
        <w:ind w:left="993"/>
        <w:rPr>
          <w:rFonts w:eastAsia="Calibri"/>
        </w:rPr>
      </w:pPr>
      <w:bookmarkStart w:id="99" w:name="_Toc507145477"/>
      <w:proofErr w:type="gramStart"/>
      <w:r>
        <w:rPr>
          <w:rFonts w:eastAsia="Calibri"/>
        </w:rPr>
        <w:t>7</w:t>
      </w:r>
      <w:r w:rsidR="009A380E">
        <w:rPr>
          <w:rFonts w:eastAsia="Calibri"/>
        </w:rPr>
        <w:t>.3</w:t>
      </w:r>
      <w:r w:rsidR="009A380E" w:rsidRPr="00820FBD">
        <w:rPr>
          <w:rFonts w:eastAsia="Calibri"/>
        </w:rPr>
        <w:t xml:space="preserve"> </w:t>
      </w:r>
      <w:r w:rsidR="009A380E">
        <w:rPr>
          <w:rFonts w:eastAsia="Calibri"/>
        </w:rPr>
        <w:t xml:space="preserve"> Demand</w:t>
      </w:r>
      <w:proofErr w:type="gramEnd"/>
      <w:r w:rsidR="009A380E">
        <w:rPr>
          <w:rFonts w:eastAsia="Calibri"/>
        </w:rPr>
        <w:t xml:space="preserve"> response</w:t>
      </w:r>
      <w:bookmarkEnd w:id="99"/>
    </w:p>
    <w:p w:rsidR="009A380E" w:rsidRPr="00065C2F" w:rsidRDefault="009A380E" w:rsidP="00586F84">
      <w:pPr>
        <w:suppressAutoHyphens/>
        <w:spacing w:after="120" w:line="288" w:lineRule="auto"/>
        <w:ind w:left="567"/>
        <w:rPr>
          <w:rFonts w:eastAsia="Calibri"/>
          <w:sz w:val="24"/>
          <w:szCs w:val="22"/>
        </w:rPr>
      </w:pPr>
      <w:r w:rsidRPr="00DC434E">
        <w:rPr>
          <w:rFonts w:eastAsia="Calibri"/>
          <w:sz w:val="24"/>
          <w:szCs w:val="22"/>
        </w:rPr>
        <w:t xml:space="preserve">Household appliances with demand response interfaces (smart appliances) give consumers the choice to allow their electricity provider to remotely control their </w:t>
      </w:r>
      <w:r w:rsidR="00BA482D" w:rsidRPr="00A26074">
        <w:rPr>
          <w:rFonts w:eastAsia="Calibri"/>
          <w:sz w:val="24"/>
          <w:szCs w:val="22"/>
        </w:rPr>
        <w:t>appliances during peak periods.</w:t>
      </w:r>
      <w:r w:rsidR="00124196">
        <w:rPr>
          <w:rFonts w:eastAsia="Calibri"/>
          <w:sz w:val="24"/>
          <w:szCs w:val="22"/>
        </w:rPr>
        <w:t xml:space="preserve"> </w:t>
      </w:r>
      <w:r w:rsidR="00124196" w:rsidRPr="00B36882">
        <w:rPr>
          <w:rFonts w:eastAsia="Calibri"/>
          <w:sz w:val="24"/>
          <w:szCs w:val="22"/>
        </w:rPr>
        <w:t>Significant uptake of smart appliances could reduce demands placed on network capacity and save network costs, energy and emissions</w:t>
      </w:r>
      <w:r w:rsidR="00B36882" w:rsidRPr="00B36882">
        <w:rPr>
          <w:rFonts w:eastAsia="Calibri"/>
          <w:sz w:val="24"/>
          <w:szCs w:val="22"/>
        </w:rPr>
        <w:t>.</w:t>
      </w:r>
    </w:p>
    <w:p w:rsidR="00AA6776" w:rsidRPr="00A74619" w:rsidRDefault="009A380E" w:rsidP="00586F84">
      <w:pPr>
        <w:suppressAutoHyphens/>
        <w:spacing w:after="120" w:line="288" w:lineRule="auto"/>
        <w:ind w:left="567"/>
        <w:rPr>
          <w:rFonts w:eastAsia="Calibri"/>
          <w:sz w:val="24"/>
          <w:szCs w:val="22"/>
        </w:rPr>
      </w:pPr>
      <w:r w:rsidRPr="00217A00">
        <w:rPr>
          <w:rFonts w:eastAsia="Calibri"/>
          <w:sz w:val="24"/>
          <w:szCs w:val="22"/>
        </w:rPr>
        <w:t xml:space="preserve">Currently, no products regulated under the GEMS Act are required to include a demand response interface. However, the E3 </w:t>
      </w:r>
      <w:r w:rsidR="005E3023" w:rsidRPr="00A74619">
        <w:rPr>
          <w:rFonts w:eastAsia="Calibri"/>
          <w:sz w:val="24"/>
          <w:szCs w:val="22"/>
        </w:rPr>
        <w:t>P</w:t>
      </w:r>
      <w:r w:rsidRPr="00A74619">
        <w:rPr>
          <w:rFonts w:eastAsia="Calibri"/>
          <w:sz w:val="24"/>
          <w:szCs w:val="22"/>
        </w:rPr>
        <w:t xml:space="preserve">rogram, in conjunction with industry, developed Australian Standard 4755 (AS 4755) for demand response interfaces for </w:t>
      </w:r>
      <w:r w:rsidR="004D1427" w:rsidRPr="00A74619">
        <w:rPr>
          <w:rFonts w:eastAsia="Calibri"/>
          <w:sz w:val="24"/>
          <w:szCs w:val="22"/>
        </w:rPr>
        <w:t>air conditioners, pool pumps, water heaters and electric vehicle charges</w:t>
      </w:r>
      <w:r w:rsidR="002E5DBC">
        <w:rPr>
          <w:rStyle w:val="FootnoteReference"/>
          <w:rFonts w:eastAsia="Calibri"/>
          <w:sz w:val="24"/>
          <w:szCs w:val="22"/>
        </w:rPr>
        <w:footnoteReference w:id="9"/>
      </w:r>
      <w:r w:rsidRPr="00A74619">
        <w:rPr>
          <w:rFonts w:eastAsia="Calibri"/>
          <w:sz w:val="24"/>
          <w:szCs w:val="22"/>
        </w:rPr>
        <w:t xml:space="preserve">. </w:t>
      </w:r>
    </w:p>
    <w:p w:rsidR="00EC10D4" w:rsidRDefault="009A380E" w:rsidP="009327DB">
      <w:pPr>
        <w:suppressAutoHyphens/>
        <w:ind w:left="567"/>
        <w:rPr>
          <w:rFonts w:eastAsia="Calibri"/>
          <w:sz w:val="24"/>
        </w:rPr>
      </w:pPr>
      <w:r w:rsidRPr="00A74619">
        <w:rPr>
          <w:rFonts w:eastAsia="Calibri"/>
          <w:sz w:val="24"/>
          <w:szCs w:val="22"/>
        </w:rPr>
        <w:t>Voluntary compliance with AS 4755 has led to consistent technology being used to control appliances on the electricity network. This has allowed significant market uptake of demand response capability in air conditioning units</w:t>
      </w:r>
      <w:r w:rsidR="00AA6776" w:rsidRPr="00A74619">
        <w:rPr>
          <w:rFonts w:eastAsia="Calibri"/>
          <w:sz w:val="24"/>
          <w:szCs w:val="22"/>
        </w:rPr>
        <w:t xml:space="preserve"> and </w:t>
      </w:r>
      <w:r w:rsidR="002D4E0A" w:rsidRPr="00A74619">
        <w:rPr>
          <w:rFonts w:eastAsia="Calibri"/>
          <w:sz w:val="24"/>
          <w:szCs w:val="22"/>
        </w:rPr>
        <w:t>will provide a good platform for electricity retailers, networks and other businesses to develop demand response programs as this market develops.</w:t>
      </w:r>
      <w:r w:rsidR="002D4E0A">
        <w:rPr>
          <w:rFonts w:eastAsia="Calibri"/>
          <w:sz w:val="24"/>
        </w:rPr>
        <w:t xml:space="preserve"> </w:t>
      </w:r>
    </w:p>
    <w:p w:rsidR="0080047D" w:rsidRDefault="001232A3" w:rsidP="00830ECF">
      <w:pPr>
        <w:pStyle w:val="Heading2"/>
        <w:rPr>
          <w:rFonts w:eastAsia="Calibri"/>
        </w:rPr>
      </w:pPr>
      <w:bookmarkStart w:id="100" w:name="_Toc507145478"/>
      <w:proofErr w:type="gramStart"/>
      <w:r>
        <w:rPr>
          <w:rFonts w:eastAsia="Calibri"/>
        </w:rPr>
        <w:t>7</w:t>
      </w:r>
      <w:r w:rsidR="00EB7120">
        <w:rPr>
          <w:rFonts w:eastAsia="Calibri"/>
        </w:rPr>
        <w:t xml:space="preserve">.4  </w:t>
      </w:r>
      <w:r w:rsidR="00820FBD" w:rsidRPr="00F962E4">
        <w:rPr>
          <w:rFonts w:eastAsia="Calibri"/>
        </w:rPr>
        <w:t>Potential</w:t>
      </w:r>
      <w:proofErr w:type="gramEnd"/>
      <w:r w:rsidR="00820FBD" w:rsidRPr="00F962E4">
        <w:rPr>
          <w:rFonts w:eastAsia="Calibri"/>
        </w:rPr>
        <w:t xml:space="preserve"> to expand to </w:t>
      </w:r>
      <w:r w:rsidR="0080047D">
        <w:rPr>
          <w:rFonts w:eastAsia="Calibri"/>
        </w:rPr>
        <w:t xml:space="preserve">energy </w:t>
      </w:r>
      <w:r w:rsidR="00820FBD" w:rsidRPr="00F962E4">
        <w:rPr>
          <w:rFonts w:eastAsia="Calibri"/>
        </w:rPr>
        <w:t>systems</w:t>
      </w:r>
      <w:bookmarkEnd w:id="100"/>
    </w:p>
    <w:p w:rsidR="0080047D" w:rsidRPr="00A74619" w:rsidRDefault="0080047D" w:rsidP="00586F84">
      <w:pPr>
        <w:suppressAutoHyphens/>
        <w:spacing w:after="120" w:line="288" w:lineRule="auto"/>
        <w:ind w:left="567"/>
        <w:rPr>
          <w:rFonts w:eastAsia="Calibri"/>
          <w:sz w:val="24"/>
          <w:szCs w:val="22"/>
        </w:rPr>
      </w:pPr>
      <w:r w:rsidRPr="00DC434E">
        <w:rPr>
          <w:rFonts w:eastAsia="Calibri"/>
          <w:sz w:val="24"/>
          <w:szCs w:val="22"/>
        </w:rPr>
        <w:t xml:space="preserve">The scope of the GEMS Act allows coverage of products that </w:t>
      </w:r>
      <w:r w:rsidR="00987FCB" w:rsidRPr="00A26074">
        <w:rPr>
          <w:rFonts w:eastAsia="Calibri"/>
          <w:sz w:val="24"/>
          <w:szCs w:val="22"/>
        </w:rPr>
        <w:t xml:space="preserve">do not </w:t>
      </w:r>
      <w:r w:rsidRPr="00065C2F">
        <w:rPr>
          <w:rFonts w:eastAsia="Calibri"/>
          <w:sz w:val="24"/>
          <w:szCs w:val="22"/>
        </w:rPr>
        <w:t>use energy themselves but can affect the energy consumption of other products, directly or indirectly. Examples might include insulation, window glass or ducting as these products will affect the amount of energy used</w:t>
      </w:r>
      <w:r w:rsidRPr="00D933EE">
        <w:rPr>
          <w:rFonts w:eastAsia="Calibri"/>
          <w:sz w:val="24"/>
          <w:szCs w:val="22"/>
        </w:rPr>
        <w:t xml:space="preserve"> by heating and cooling systems. This broad scope (compared with previous state-based schemes) provides the flexibility to consider which interventions will deliver the greatest benefi</w:t>
      </w:r>
      <w:r w:rsidRPr="00217A00">
        <w:rPr>
          <w:rFonts w:eastAsia="Calibri"/>
          <w:sz w:val="24"/>
          <w:szCs w:val="22"/>
        </w:rPr>
        <w:t xml:space="preserve">ts at least cost to industry and consumers. </w:t>
      </w:r>
    </w:p>
    <w:p w:rsidR="00BE40D5" w:rsidRPr="00586F84" w:rsidRDefault="0080047D" w:rsidP="00586F84">
      <w:pPr>
        <w:suppressAutoHyphens/>
        <w:spacing w:after="120" w:line="288" w:lineRule="auto"/>
        <w:ind w:left="567"/>
        <w:rPr>
          <w:rFonts w:eastAsia="Calibri"/>
          <w:sz w:val="24"/>
          <w:szCs w:val="22"/>
        </w:rPr>
      </w:pPr>
      <w:r w:rsidRPr="00A74619">
        <w:rPr>
          <w:rFonts w:eastAsia="Calibri"/>
          <w:sz w:val="24"/>
          <w:szCs w:val="22"/>
        </w:rPr>
        <w:t xml:space="preserve">Experience has shown that GEMS has worked well for standardised consumer products. </w:t>
      </w:r>
      <w:r w:rsidR="00BA482D" w:rsidRPr="00A74619">
        <w:rPr>
          <w:rFonts w:eastAsia="Calibri"/>
          <w:sz w:val="24"/>
          <w:szCs w:val="22"/>
        </w:rPr>
        <w:t xml:space="preserve"> However,</w:t>
      </w:r>
      <w:r w:rsidRPr="00A74619">
        <w:rPr>
          <w:rFonts w:eastAsia="Calibri"/>
          <w:sz w:val="24"/>
          <w:szCs w:val="22"/>
        </w:rPr>
        <w:t xml:space="preserve"> </w:t>
      </w:r>
      <w:r w:rsidR="00BA482D" w:rsidRPr="00A74619">
        <w:rPr>
          <w:rFonts w:eastAsia="Calibri"/>
          <w:sz w:val="24"/>
          <w:szCs w:val="22"/>
        </w:rPr>
        <w:t xml:space="preserve">consideration needs to be given to whether </w:t>
      </w:r>
      <w:r w:rsidRPr="00A74619">
        <w:rPr>
          <w:rFonts w:eastAsia="Calibri"/>
          <w:sz w:val="24"/>
          <w:szCs w:val="22"/>
        </w:rPr>
        <w:t xml:space="preserve">the </w:t>
      </w:r>
      <w:r w:rsidR="00E1619A" w:rsidRPr="00A74619">
        <w:rPr>
          <w:rFonts w:eastAsia="Calibri"/>
          <w:sz w:val="24"/>
          <w:szCs w:val="22"/>
        </w:rPr>
        <w:t xml:space="preserve">GEMS </w:t>
      </w:r>
      <w:r w:rsidRPr="00A74619">
        <w:rPr>
          <w:rFonts w:eastAsia="Calibri"/>
          <w:sz w:val="24"/>
          <w:szCs w:val="22"/>
        </w:rPr>
        <w:t xml:space="preserve">Act </w:t>
      </w:r>
      <w:r w:rsidR="00BA482D" w:rsidRPr="00A74619">
        <w:rPr>
          <w:rFonts w:eastAsia="Calibri"/>
          <w:sz w:val="24"/>
          <w:szCs w:val="22"/>
        </w:rPr>
        <w:t>is</w:t>
      </w:r>
      <w:r w:rsidRPr="00A74619">
        <w:rPr>
          <w:rFonts w:eastAsia="Calibri"/>
          <w:sz w:val="24"/>
          <w:szCs w:val="22"/>
        </w:rPr>
        <w:t xml:space="preserve"> the most appropriate instrument to regulate energy systems in the future. </w:t>
      </w:r>
    </w:p>
    <w:p w:rsidR="00BE40D5" w:rsidRPr="00DC08FC" w:rsidRDefault="001232A3" w:rsidP="00DD30E1">
      <w:pPr>
        <w:pStyle w:val="Heading2"/>
        <w:rPr>
          <w:rFonts w:eastAsia="Calibri"/>
        </w:rPr>
      </w:pPr>
      <w:bookmarkStart w:id="101" w:name="_Toc507145479"/>
      <w:proofErr w:type="gramStart"/>
      <w:r>
        <w:rPr>
          <w:rFonts w:eastAsia="Calibri"/>
        </w:rPr>
        <w:t>7</w:t>
      </w:r>
      <w:r w:rsidR="00420241" w:rsidRPr="00DC08FC">
        <w:rPr>
          <w:rFonts w:eastAsia="Calibri"/>
        </w:rPr>
        <w:t xml:space="preserve">.5  </w:t>
      </w:r>
      <w:r w:rsidR="00BE40D5" w:rsidRPr="00DC08FC">
        <w:rPr>
          <w:rFonts w:eastAsia="Calibri"/>
        </w:rPr>
        <w:t>Integrated</w:t>
      </w:r>
      <w:proofErr w:type="gramEnd"/>
      <w:r w:rsidR="00BE40D5" w:rsidRPr="00DC08FC">
        <w:rPr>
          <w:rFonts w:eastAsia="Calibri"/>
        </w:rPr>
        <w:t xml:space="preserve"> products</w:t>
      </w:r>
      <w:bookmarkEnd w:id="101"/>
    </w:p>
    <w:p w:rsidR="00FC06BD" w:rsidRPr="00A74619" w:rsidRDefault="00B5689D" w:rsidP="00586F84">
      <w:pPr>
        <w:suppressAutoHyphens/>
        <w:spacing w:after="120" w:line="288" w:lineRule="auto"/>
        <w:ind w:left="567"/>
        <w:rPr>
          <w:rFonts w:eastAsia="Calibri"/>
          <w:sz w:val="24"/>
          <w:szCs w:val="22"/>
        </w:rPr>
      </w:pPr>
      <w:r w:rsidRPr="00DC434E">
        <w:rPr>
          <w:rFonts w:eastAsia="Calibri"/>
          <w:sz w:val="24"/>
          <w:szCs w:val="22"/>
        </w:rPr>
        <w:t>The equipment and appliance market is seeing the em</w:t>
      </w:r>
      <w:r w:rsidR="00B22DD9" w:rsidRPr="00A26074">
        <w:rPr>
          <w:rFonts w:eastAsia="Calibri"/>
          <w:sz w:val="24"/>
          <w:szCs w:val="22"/>
        </w:rPr>
        <w:t>ergence of product</w:t>
      </w:r>
      <w:r w:rsidR="00B22DD9" w:rsidRPr="00065C2F">
        <w:rPr>
          <w:rFonts w:eastAsia="Calibri"/>
          <w:sz w:val="24"/>
          <w:szCs w:val="22"/>
        </w:rPr>
        <w:t xml:space="preserve">s with multiple functions. </w:t>
      </w:r>
      <w:r w:rsidR="0094293A" w:rsidRPr="00D933EE">
        <w:rPr>
          <w:rFonts w:eastAsia="Calibri"/>
          <w:sz w:val="24"/>
          <w:szCs w:val="22"/>
        </w:rPr>
        <w:t xml:space="preserve">One example is lighting products, which </w:t>
      </w:r>
      <w:r w:rsidR="00B22DD9" w:rsidRPr="00217A00">
        <w:rPr>
          <w:rFonts w:eastAsia="Calibri"/>
          <w:sz w:val="24"/>
          <w:szCs w:val="22"/>
        </w:rPr>
        <w:t>are increasingly offe</w:t>
      </w:r>
      <w:r w:rsidRPr="00A74619">
        <w:rPr>
          <w:rFonts w:eastAsia="Calibri"/>
          <w:sz w:val="24"/>
          <w:szCs w:val="22"/>
        </w:rPr>
        <w:t>ring additional f</w:t>
      </w:r>
      <w:r w:rsidR="00FC06BD" w:rsidRPr="00A74619">
        <w:rPr>
          <w:rFonts w:eastAsia="Calibri"/>
          <w:sz w:val="24"/>
          <w:szCs w:val="22"/>
        </w:rPr>
        <w:t>unctionality. This includes features</w:t>
      </w:r>
      <w:r w:rsidRPr="00A74619">
        <w:rPr>
          <w:rFonts w:eastAsia="Calibri"/>
          <w:sz w:val="24"/>
          <w:szCs w:val="22"/>
        </w:rPr>
        <w:t xml:space="preserve"> such as network connectivity (via </w:t>
      </w:r>
      <w:proofErr w:type="spellStart"/>
      <w:r w:rsidRPr="00A74619">
        <w:rPr>
          <w:rFonts w:eastAsia="Calibri"/>
          <w:sz w:val="24"/>
          <w:szCs w:val="22"/>
        </w:rPr>
        <w:t>wifi</w:t>
      </w:r>
      <w:proofErr w:type="spellEnd"/>
      <w:r w:rsidRPr="00A74619">
        <w:rPr>
          <w:rFonts w:eastAsia="Calibri"/>
          <w:sz w:val="24"/>
          <w:szCs w:val="22"/>
        </w:rPr>
        <w:t xml:space="preserve"> or Bluetooth)</w:t>
      </w:r>
      <w:r w:rsidR="00FC06BD" w:rsidRPr="00A74619">
        <w:rPr>
          <w:rFonts w:eastAsia="Calibri"/>
          <w:sz w:val="24"/>
          <w:szCs w:val="22"/>
        </w:rPr>
        <w:t>, security (including microphones,</w:t>
      </w:r>
      <w:r w:rsidR="00B22DD9" w:rsidRPr="00A74619">
        <w:rPr>
          <w:rFonts w:eastAsia="Calibri"/>
          <w:sz w:val="24"/>
          <w:szCs w:val="22"/>
        </w:rPr>
        <w:t xml:space="preserve"> </w:t>
      </w:r>
      <w:r w:rsidRPr="00A74619">
        <w:rPr>
          <w:rFonts w:eastAsia="Calibri"/>
          <w:sz w:val="24"/>
          <w:szCs w:val="22"/>
        </w:rPr>
        <w:t>camera</w:t>
      </w:r>
      <w:r w:rsidR="00FC06BD" w:rsidRPr="00A74619">
        <w:rPr>
          <w:rFonts w:eastAsia="Calibri"/>
          <w:sz w:val="24"/>
          <w:szCs w:val="22"/>
        </w:rPr>
        <w:t>s</w:t>
      </w:r>
      <w:r w:rsidRPr="00A74619">
        <w:rPr>
          <w:rFonts w:eastAsia="Calibri"/>
          <w:sz w:val="24"/>
          <w:szCs w:val="22"/>
        </w:rPr>
        <w:t xml:space="preserve">), </w:t>
      </w:r>
      <w:proofErr w:type="gramStart"/>
      <w:r w:rsidRPr="00A74619">
        <w:rPr>
          <w:rFonts w:eastAsia="Calibri"/>
          <w:sz w:val="24"/>
          <w:szCs w:val="22"/>
        </w:rPr>
        <w:t>speakers</w:t>
      </w:r>
      <w:proofErr w:type="gramEnd"/>
      <w:r w:rsidRPr="00A74619">
        <w:rPr>
          <w:rFonts w:eastAsia="Calibri"/>
          <w:sz w:val="24"/>
          <w:szCs w:val="22"/>
        </w:rPr>
        <w:t xml:space="preserve"> to play music and</w:t>
      </w:r>
      <w:r w:rsidR="00B22DD9" w:rsidRPr="00A74619">
        <w:rPr>
          <w:rFonts w:eastAsia="Calibri"/>
          <w:sz w:val="24"/>
          <w:szCs w:val="22"/>
        </w:rPr>
        <w:t xml:space="preserve"> temperature sensors linked to intellige</w:t>
      </w:r>
      <w:r w:rsidR="00FC06BD" w:rsidRPr="00A74619">
        <w:rPr>
          <w:rFonts w:eastAsia="Calibri"/>
          <w:sz w:val="24"/>
          <w:szCs w:val="22"/>
        </w:rPr>
        <w:t>nt house management systems.</w:t>
      </w:r>
      <w:r w:rsidR="0094293A" w:rsidRPr="00A74619">
        <w:rPr>
          <w:rFonts w:eastAsia="Calibri"/>
          <w:sz w:val="24"/>
          <w:szCs w:val="22"/>
        </w:rPr>
        <w:t xml:space="preserve"> </w:t>
      </w:r>
    </w:p>
    <w:p w:rsidR="008364E2" w:rsidRDefault="00B22DD9" w:rsidP="00586F84">
      <w:pPr>
        <w:suppressAutoHyphens/>
        <w:spacing w:after="120" w:line="288" w:lineRule="auto"/>
        <w:ind w:left="567"/>
        <w:rPr>
          <w:rFonts w:eastAsia="Calibri"/>
          <w:sz w:val="24"/>
          <w:szCs w:val="22"/>
        </w:rPr>
      </w:pPr>
      <w:r w:rsidRPr="00A74619">
        <w:rPr>
          <w:rFonts w:eastAsia="Calibri"/>
          <w:sz w:val="24"/>
          <w:szCs w:val="22"/>
        </w:rPr>
        <w:t xml:space="preserve">Other </w:t>
      </w:r>
      <w:r w:rsidR="00FC06BD" w:rsidRPr="00A74619">
        <w:rPr>
          <w:rFonts w:eastAsia="Calibri"/>
          <w:sz w:val="24"/>
          <w:szCs w:val="22"/>
        </w:rPr>
        <w:t xml:space="preserve">examples </w:t>
      </w:r>
      <w:r w:rsidR="0094293A" w:rsidRPr="00A74619">
        <w:rPr>
          <w:rFonts w:eastAsia="Calibri"/>
          <w:sz w:val="24"/>
          <w:szCs w:val="22"/>
        </w:rPr>
        <w:t xml:space="preserve">include fridges with TV screens and the range of appliances with internet connectivity. </w:t>
      </w:r>
      <w:r w:rsidRPr="00A74619">
        <w:rPr>
          <w:rFonts w:eastAsia="Calibri"/>
          <w:sz w:val="24"/>
          <w:szCs w:val="22"/>
        </w:rPr>
        <w:t xml:space="preserve">These additional functions all require additional power and may also require or encourage the product to remain </w:t>
      </w:r>
      <w:r w:rsidR="00FC06BD" w:rsidRPr="00A74619">
        <w:rPr>
          <w:rFonts w:eastAsia="Calibri"/>
          <w:sz w:val="24"/>
          <w:szCs w:val="22"/>
        </w:rPr>
        <w:t>on</w:t>
      </w:r>
      <w:r w:rsidRPr="00A74619">
        <w:rPr>
          <w:rFonts w:eastAsia="Calibri"/>
          <w:sz w:val="24"/>
          <w:szCs w:val="22"/>
        </w:rPr>
        <w:t xml:space="preserve"> standby, or a higher level of standby power use than would otherwise be required just </w:t>
      </w:r>
      <w:r w:rsidR="00FC06BD" w:rsidRPr="00A74619">
        <w:rPr>
          <w:rFonts w:eastAsia="Calibri"/>
          <w:sz w:val="24"/>
          <w:szCs w:val="22"/>
        </w:rPr>
        <w:t xml:space="preserve">for the core product. </w:t>
      </w:r>
      <w:r w:rsidR="0094293A" w:rsidRPr="00A74619">
        <w:rPr>
          <w:rFonts w:eastAsia="Calibri"/>
          <w:sz w:val="24"/>
          <w:szCs w:val="22"/>
        </w:rPr>
        <w:t xml:space="preserve">These trends raise </w:t>
      </w:r>
      <w:r w:rsidRPr="00A74619">
        <w:rPr>
          <w:rFonts w:eastAsia="Calibri"/>
          <w:sz w:val="24"/>
          <w:szCs w:val="22"/>
        </w:rPr>
        <w:t xml:space="preserve">questions about how products </w:t>
      </w:r>
      <w:r w:rsidR="00FC06BD" w:rsidRPr="00A74619">
        <w:rPr>
          <w:rFonts w:eastAsia="Calibri"/>
          <w:sz w:val="24"/>
          <w:szCs w:val="22"/>
        </w:rPr>
        <w:t xml:space="preserve">are defined </w:t>
      </w:r>
      <w:r w:rsidRPr="00A74619">
        <w:rPr>
          <w:rFonts w:eastAsia="Calibri"/>
          <w:sz w:val="24"/>
          <w:szCs w:val="22"/>
        </w:rPr>
        <w:t xml:space="preserve">and </w:t>
      </w:r>
      <w:r w:rsidR="00FC06BD" w:rsidRPr="00A74619">
        <w:rPr>
          <w:rFonts w:eastAsia="Calibri"/>
          <w:sz w:val="24"/>
          <w:szCs w:val="22"/>
        </w:rPr>
        <w:t xml:space="preserve">how </w:t>
      </w:r>
      <w:r w:rsidRPr="00A74619">
        <w:rPr>
          <w:rFonts w:eastAsia="Calibri"/>
          <w:sz w:val="24"/>
          <w:szCs w:val="22"/>
        </w:rPr>
        <w:t>energy use</w:t>
      </w:r>
      <w:r w:rsidR="00FC06BD" w:rsidRPr="00A74619">
        <w:rPr>
          <w:rFonts w:eastAsia="Calibri"/>
          <w:sz w:val="24"/>
          <w:szCs w:val="22"/>
        </w:rPr>
        <w:t xml:space="preserve"> is measured</w:t>
      </w:r>
      <w:r w:rsidR="001C2859" w:rsidRPr="00A74619">
        <w:rPr>
          <w:rFonts w:eastAsia="Calibri"/>
          <w:sz w:val="24"/>
          <w:szCs w:val="22"/>
        </w:rPr>
        <w:t>, and whether or not the GEMS </w:t>
      </w:r>
      <w:r w:rsidR="005C1885" w:rsidRPr="00A74619">
        <w:rPr>
          <w:rFonts w:eastAsia="Calibri"/>
          <w:sz w:val="24"/>
          <w:szCs w:val="22"/>
        </w:rPr>
        <w:t>Act has sufficient flexibility to deal with these emerging products.</w:t>
      </w:r>
    </w:p>
    <w:p w:rsidR="008364E2" w:rsidRPr="00B36882" w:rsidRDefault="008364E2" w:rsidP="008364E2">
      <w:pPr>
        <w:pStyle w:val="Heading2"/>
        <w:rPr>
          <w:rFonts w:eastAsia="Calibri"/>
        </w:rPr>
      </w:pPr>
      <w:bookmarkStart w:id="102" w:name="_Toc507145480"/>
      <w:proofErr w:type="gramStart"/>
      <w:r w:rsidRPr="00B36882">
        <w:rPr>
          <w:rFonts w:eastAsia="Calibri"/>
        </w:rPr>
        <w:t>7.6  International</w:t>
      </w:r>
      <w:proofErr w:type="gramEnd"/>
      <w:r w:rsidRPr="00B36882">
        <w:rPr>
          <w:rFonts w:eastAsia="Calibri"/>
        </w:rPr>
        <w:t xml:space="preserve"> efficiency standards and testing</w:t>
      </w:r>
      <w:bookmarkEnd w:id="102"/>
    </w:p>
    <w:p w:rsidR="008364E2" w:rsidRPr="00B36882" w:rsidRDefault="008364E2" w:rsidP="008364E2">
      <w:pPr>
        <w:suppressAutoHyphens/>
        <w:spacing w:after="120" w:line="288" w:lineRule="auto"/>
        <w:ind w:left="567"/>
        <w:rPr>
          <w:rFonts w:eastAsia="Calibri"/>
          <w:sz w:val="24"/>
          <w:szCs w:val="22"/>
        </w:rPr>
      </w:pPr>
      <w:r w:rsidRPr="00B36882">
        <w:rPr>
          <w:rFonts w:eastAsia="Calibri"/>
          <w:sz w:val="24"/>
          <w:szCs w:val="22"/>
        </w:rPr>
        <w:t xml:space="preserve">Australia is a relatively small market for appliances, making up about </w:t>
      </w:r>
      <w:r w:rsidR="00105CA4" w:rsidRPr="00B36882">
        <w:rPr>
          <w:rFonts w:eastAsia="Calibri"/>
          <w:sz w:val="24"/>
          <w:szCs w:val="22"/>
        </w:rPr>
        <w:t xml:space="preserve">two </w:t>
      </w:r>
      <w:r w:rsidRPr="00B36882">
        <w:rPr>
          <w:rFonts w:eastAsia="Calibri"/>
          <w:sz w:val="24"/>
          <w:szCs w:val="22"/>
        </w:rPr>
        <w:t xml:space="preserve">per cent of global sales. Many product registrations, particularly the more recently regulated products, now rely on test reports undertaken in overseas testing facilities to international test standards. </w:t>
      </w:r>
    </w:p>
    <w:p w:rsidR="008364E2" w:rsidRPr="008364E2" w:rsidRDefault="008364E2" w:rsidP="008364E2">
      <w:pPr>
        <w:suppressAutoHyphens/>
        <w:spacing w:after="120" w:line="288" w:lineRule="auto"/>
        <w:ind w:left="567"/>
        <w:rPr>
          <w:rFonts w:eastAsia="Calibri"/>
          <w:sz w:val="24"/>
          <w:szCs w:val="22"/>
        </w:rPr>
      </w:pPr>
      <w:r w:rsidRPr="00B36882">
        <w:rPr>
          <w:rFonts w:eastAsia="Calibri"/>
          <w:sz w:val="24"/>
          <w:szCs w:val="22"/>
        </w:rPr>
        <w:t>As noted in Section 3.4, the E3 Program has continued to consider options through its work program to harmonise with international test methods and international efficiency standards since 2015. Additional opportunities to progress international harmonisation efforts will be considered during this review.</w:t>
      </w:r>
    </w:p>
    <w:p w:rsidR="008364E2" w:rsidRPr="0093210C" w:rsidRDefault="0007134E" w:rsidP="0093210C">
      <w:pPr>
        <w:pStyle w:val="Heading2"/>
        <w:spacing w:after="120"/>
        <w:ind w:left="993"/>
        <w:rPr>
          <w:rFonts w:eastAsia="Calibri"/>
        </w:rPr>
      </w:pPr>
      <w:bookmarkStart w:id="103" w:name="_Toc507145481"/>
      <w:proofErr w:type="gramStart"/>
      <w:r w:rsidRPr="0093210C">
        <w:rPr>
          <w:rFonts w:eastAsia="Calibri"/>
        </w:rPr>
        <w:t>7.7  Consultation</w:t>
      </w:r>
      <w:proofErr w:type="gramEnd"/>
      <w:r w:rsidRPr="0093210C">
        <w:rPr>
          <w:rFonts w:eastAsia="Calibri"/>
        </w:rPr>
        <w:t xml:space="preserve"> questions specific to this sectio</w:t>
      </w:r>
      <w:r w:rsidR="00215518" w:rsidRPr="0093210C">
        <w:rPr>
          <w:rFonts w:eastAsia="Calibri"/>
        </w:rPr>
        <w:t>n</w:t>
      </w:r>
      <w:bookmarkEnd w:id="103"/>
    </w:p>
    <w:p w:rsidR="00215518" w:rsidRPr="00B36882" w:rsidRDefault="00215518" w:rsidP="0093210C">
      <w:pPr>
        <w:numPr>
          <w:ilvl w:val="0"/>
          <w:numId w:val="3"/>
        </w:numPr>
        <w:suppressAutoHyphens/>
        <w:spacing w:after="120" w:line="288" w:lineRule="auto"/>
        <w:ind w:left="993" w:hanging="426"/>
        <w:rPr>
          <w:rFonts w:eastAsia="Calibri"/>
          <w:sz w:val="24"/>
          <w:szCs w:val="22"/>
        </w:rPr>
      </w:pPr>
      <w:r w:rsidRPr="00B36882">
        <w:rPr>
          <w:rFonts w:eastAsia="Calibri"/>
          <w:sz w:val="24"/>
          <w:szCs w:val="22"/>
        </w:rPr>
        <w:t>What specific issues arise in relation to the aspects of the GEMS program, and potential expansions of the GEMS program, described in this section?</w:t>
      </w:r>
    </w:p>
    <w:p w:rsidR="00BD4333" w:rsidRPr="00DB55E0" w:rsidRDefault="005C1885" w:rsidP="00586F84">
      <w:pPr>
        <w:suppressAutoHyphens/>
        <w:spacing w:after="120" w:line="288" w:lineRule="auto"/>
        <w:ind w:left="567"/>
        <w:rPr>
          <w:rFonts w:eastAsia="Calibri"/>
          <w:color w:val="A6A6A6" w:themeColor="background1" w:themeShade="A6"/>
          <w:sz w:val="24"/>
          <w:szCs w:val="22"/>
        </w:rPr>
      </w:pPr>
      <w:r w:rsidRPr="00A74619">
        <w:rPr>
          <w:rFonts w:eastAsia="Calibri"/>
          <w:sz w:val="24"/>
          <w:szCs w:val="22"/>
        </w:rPr>
        <w:t xml:space="preserve"> </w:t>
      </w:r>
      <w:r w:rsidR="00BD4333">
        <w:br w:type="page"/>
      </w:r>
    </w:p>
    <w:p w:rsidR="00ED2CF5" w:rsidRDefault="00707A0D" w:rsidP="00F962E4">
      <w:pPr>
        <w:pStyle w:val="Heading1"/>
      </w:pPr>
      <w:bookmarkStart w:id="104" w:name="_Toc501610440"/>
      <w:bookmarkStart w:id="105" w:name="_Toc507145482"/>
      <w:r>
        <w:t>8</w:t>
      </w:r>
      <w:r w:rsidR="00FC17F9">
        <w:t>. Consultation questions</w:t>
      </w:r>
      <w:bookmarkEnd w:id="104"/>
      <w:bookmarkEnd w:id="105"/>
    </w:p>
    <w:p w:rsidR="00B80111" w:rsidRPr="009A02FE" w:rsidRDefault="00063682" w:rsidP="00B80111">
      <w:pPr>
        <w:suppressAutoHyphens/>
        <w:spacing w:after="120" w:line="288" w:lineRule="auto"/>
        <w:rPr>
          <w:rFonts w:eastAsia="Calibri"/>
          <w:color w:val="000000" w:themeColor="text1"/>
          <w:sz w:val="24"/>
          <w:szCs w:val="22"/>
        </w:rPr>
      </w:pPr>
      <w:r w:rsidRPr="003F02E2">
        <w:rPr>
          <w:rFonts w:eastAsia="Calibri"/>
          <w:noProof/>
          <w:color w:val="000000" w:themeColor="text1"/>
          <w:sz w:val="24"/>
          <w:szCs w:val="22"/>
          <w:lang w:eastAsia="en-AU"/>
        </w:rPr>
        <mc:AlternateContent>
          <mc:Choice Requires="wps">
            <w:drawing>
              <wp:anchor distT="45720" distB="45720" distL="114300" distR="114300" simplePos="0" relativeHeight="251696128" behindDoc="0" locked="0" layoutInCell="1" allowOverlap="1" wp14:anchorId="4CDCF3A4" wp14:editId="52660D17">
                <wp:simplePos x="0" y="0"/>
                <wp:positionH relativeFrom="column">
                  <wp:posOffset>-38100</wp:posOffset>
                </wp:positionH>
                <wp:positionV relativeFrom="paragraph">
                  <wp:posOffset>278765</wp:posOffset>
                </wp:positionV>
                <wp:extent cx="6678930" cy="7499350"/>
                <wp:effectExtent l="0" t="0" r="2667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7499350"/>
                        </a:xfrm>
                        <a:prstGeom prst="rect">
                          <a:avLst/>
                        </a:prstGeom>
                        <a:solidFill>
                          <a:srgbClr val="FFFFFF"/>
                        </a:solidFill>
                        <a:ln w="9525">
                          <a:solidFill>
                            <a:srgbClr val="000000"/>
                          </a:solidFill>
                          <a:miter lim="800000"/>
                          <a:headEnd/>
                          <a:tailEnd/>
                        </a:ln>
                      </wps:spPr>
                      <wps:txbx>
                        <w:txbxContent>
                          <w:p w:rsidR="00E12B40" w:rsidRPr="00B36882" w:rsidRDefault="00E12B40" w:rsidP="00873EC6">
                            <w:pPr>
                              <w:suppressAutoHyphens/>
                              <w:spacing w:before="120" w:after="240"/>
                              <w:rPr>
                                <w:rFonts w:eastAsia="Calibri"/>
                                <w:b/>
                                <w:sz w:val="24"/>
                              </w:rPr>
                            </w:pPr>
                            <w:r w:rsidRPr="00B36882">
                              <w:rPr>
                                <w:rFonts w:eastAsia="Calibri"/>
                                <w:b/>
                                <w:sz w:val="24"/>
                              </w:rPr>
                              <w:t>Box 8: Consultation questions</w:t>
                            </w:r>
                          </w:p>
                          <w:p w:rsidR="00E12B40" w:rsidRPr="00B36882" w:rsidRDefault="00E12B40" w:rsidP="007108BF">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The proposed methodology for the review is outlined in section 1.3. Is there anything else the review should consider when assessing the performance of the GEMS Act?</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What has been achieved through the GEMS Act?</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What are the Act’s strengths and weaknesses?</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How could the operation of the GEMS Act be improved?</w:t>
                            </w:r>
                          </w:p>
                          <w:p w:rsidR="00E12B40" w:rsidRPr="00B36882" w:rsidRDefault="00E12B40" w:rsidP="00551F8A">
                            <w:pPr>
                              <w:pStyle w:val="ListParagraph"/>
                              <w:numPr>
                                <w:ilvl w:val="0"/>
                                <w:numId w:val="38"/>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 actions taken following the 2015 GEMS Review leading to better outcomes?</w:t>
                            </w:r>
                          </w:p>
                          <w:p w:rsidR="00E12B40" w:rsidRPr="00B36882" w:rsidRDefault="00E12B40" w:rsidP="007108BF">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What are the emerging opportunities and challenges for product energy efficiency?</w:t>
                            </w:r>
                          </w:p>
                          <w:p w:rsidR="00E12B40" w:rsidRPr="00B36882" w:rsidRDefault="00E12B40" w:rsidP="00294050">
                            <w:pPr>
                              <w:pStyle w:val="ListParagraph"/>
                              <w:numPr>
                                <w:ilvl w:val="0"/>
                                <w:numId w:val="37"/>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 appropriate products covered by the current GEMS regulations?</w:t>
                            </w:r>
                          </w:p>
                          <w:p w:rsidR="00E12B40" w:rsidRPr="00B36882" w:rsidRDefault="00E12B40" w:rsidP="00294050">
                            <w:pPr>
                              <w:pStyle w:val="ListParagraph"/>
                              <w:numPr>
                                <w:ilvl w:val="0"/>
                                <w:numId w:val="37"/>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 priority product categories the correct areas to be targeting?</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What are the opportunities and challenges associated with the development of GEMS determinations?</w:t>
                            </w:r>
                          </w:p>
                          <w:p w:rsidR="00E12B40" w:rsidRPr="00B36882" w:rsidRDefault="00E12B40" w:rsidP="00294050">
                            <w:pPr>
                              <w:pStyle w:val="ListParagraph"/>
                              <w:numPr>
                                <w:ilvl w:val="0"/>
                                <w:numId w:val="39"/>
                              </w:numPr>
                              <w:suppressAutoHyphens/>
                              <w:spacing w:before="60" w:after="60" w:line="288" w:lineRule="auto"/>
                              <w:ind w:left="851" w:hanging="425"/>
                              <w:contextualSpacing w:val="0"/>
                              <w:rPr>
                                <w:rFonts w:eastAsia="Calibri"/>
                                <w:sz w:val="24"/>
                                <w:szCs w:val="22"/>
                              </w:rPr>
                            </w:pPr>
                            <w:r w:rsidRPr="00B36882">
                              <w:rPr>
                                <w:rFonts w:eastAsia="Calibri"/>
                                <w:sz w:val="24"/>
                                <w:szCs w:val="22"/>
                              </w:rPr>
                              <w:t>Does the current framework support the appropriate balance of being responsive to innovation and consulting adequately before introducing new or updated regulations?</w:t>
                            </w:r>
                          </w:p>
                          <w:p w:rsidR="00E12B40" w:rsidRPr="00B36882" w:rsidRDefault="00E12B40" w:rsidP="00294050">
                            <w:pPr>
                              <w:pStyle w:val="ListParagraph"/>
                              <w:numPr>
                                <w:ilvl w:val="0"/>
                                <w:numId w:val="39"/>
                              </w:numPr>
                              <w:suppressAutoHyphens/>
                              <w:spacing w:before="60" w:after="60" w:line="288" w:lineRule="auto"/>
                              <w:ind w:left="851" w:hanging="425"/>
                              <w:contextualSpacing w:val="0"/>
                              <w:rPr>
                                <w:rFonts w:eastAsia="Calibri"/>
                                <w:sz w:val="24"/>
                                <w:szCs w:val="22"/>
                              </w:rPr>
                            </w:pPr>
                            <w:r w:rsidRPr="00B36882">
                              <w:rPr>
                                <w:rFonts w:eastAsia="Calibri"/>
                                <w:sz w:val="24"/>
                                <w:szCs w:val="22"/>
                              </w:rPr>
                              <w:t xml:space="preserve">Is the GEMS determinations process adequate in terms of the consultation process and the timeline? </w:t>
                            </w:r>
                          </w:p>
                          <w:p w:rsidR="00E12B40" w:rsidRPr="00B36882" w:rsidRDefault="00E12B40" w:rsidP="00294050">
                            <w:pPr>
                              <w:pStyle w:val="ListParagraph"/>
                              <w:numPr>
                                <w:ilvl w:val="0"/>
                                <w:numId w:val="39"/>
                              </w:numPr>
                              <w:suppressAutoHyphens/>
                              <w:spacing w:before="60" w:after="60" w:line="288" w:lineRule="auto"/>
                              <w:ind w:left="851" w:hanging="425"/>
                              <w:contextualSpacing w:val="0"/>
                              <w:rPr>
                                <w:rFonts w:eastAsia="Calibri"/>
                                <w:sz w:val="24"/>
                                <w:szCs w:val="22"/>
                              </w:rPr>
                            </w:pPr>
                            <w:r w:rsidRPr="00B36882">
                              <w:rPr>
                                <w:rFonts w:eastAsia="Calibri"/>
                                <w:sz w:val="24"/>
                                <w:szCs w:val="22"/>
                              </w:rPr>
                              <w:t>What issues would need to be taken into account in considering a decision to remove a GEMS determination?</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 xml:space="preserve">What are the opportunities and challenges associated with the registration of GEMS products? </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 xml:space="preserve">Is the balance between flexibility and risk set at the appropriate point for family registrations where a large number of models are allowed in the family? </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 xml:space="preserve">Are there improvements that should be made to the GEMS registration system (in addition to those summarised in </w:t>
                            </w:r>
                            <w:r w:rsidRPr="00B36882">
                              <w:rPr>
                                <w:rFonts w:eastAsia="Calibri"/>
                                <w:b/>
                                <w:sz w:val="24"/>
                                <w:szCs w:val="22"/>
                              </w:rPr>
                              <w:t>Box 4</w:t>
                            </w:r>
                            <w:r w:rsidRPr="00B36882">
                              <w:rPr>
                                <w:rFonts w:eastAsia="Calibri"/>
                                <w:sz w:val="24"/>
                                <w:szCs w:val="22"/>
                              </w:rPr>
                              <w:t>)?</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there changes that could be made which would make the link between the model number provided at registration and the product offered in the market more clear?</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Is there a more practical point for the registration obligation to be triggered for customised products, which would still provide some assurance for consumers at the point they make the purchasing decision that the product meets MEPS requirements?</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What are the pros and cons of seeking to harmonise the GEMS registration system?</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 grandfathering provisions under the GEMS Act appropriate?</w:t>
                            </w:r>
                          </w:p>
                          <w:p w:rsidR="00E12B40" w:rsidRPr="00C270C0" w:rsidRDefault="00E12B40" w:rsidP="00C270C0">
                            <w:pPr>
                              <w:pStyle w:val="ListBullet"/>
                              <w:numPr>
                                <w:ilvl w:val="0"/>
                                <w:numId w:val="0"/>
                              </w:numPr>
                              <w:rPr>
                                <w:rFonts w:eastAsia="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CF3A4" id="_x0000_s1032" type="#_x0000_t202" style="position:absolute;margin-left:-3pt;margin-top:21.95pt;width:525.9pt;height:59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MaJwIAAEwEAAAOAAAAZHJzL2Uyb0RvYy54bWysVNuO2jAQfa/Uf7D8XgIssBARVlu2VJW2&#10;F2m3HzA4DrFqe1LbkNCv79gBirbtS9U8WB7P+HjmnJks7zqj2UE6r9AWfDQYciatwFLZXcG/Pm/e&#10;zDnzAWwJGq0s+FF6frd6/WrZNrkcY426lI4RiPV52xS8DqHJs8yLWhrwA2ykJWeFzkAg0+2y0kFL&#10;6EZn4+FwlrXoysahkN7T6UPv5KuEX1VShM9V5WVguuCUW0irS+s2rtlqCfnOQVMrcUoD/iELA8rS&#10;oxeoBwjA9k79BmWUcOixCgOBJsOqUkKmGqia0fBFNU81NDLVQuT45kKT/3+w4tPhi2OqLPiUMwuG&#10;JHqWXWBvsWPjyE7b+JyCnhoKCx0dk8qpUt88ovjmmcV1DXYn753DtpZQUnajeDO7utrj+AiybT9i&#10;Sc/APmAC6ipnInVEBiN0Uul4USamIuhwNrudL27IJch3O1ksbqZJuwzy8/XG+fBeomFxU3BH0id4&#10;ODz6ENOB/BwSX/OoVblRWifD7bZr7dgBqE026UsVvAjTlrUFX0zH056Bv0IM0/cnCKMC9btWpuDz&#10;SxDkkbd3tkzdGEDpfk8pa3siMnLXsxi6bZcUm5312WJ5JGYd9u1N40ibGt0Pzlpq7YL773twkjP9&#10;wZI6i9FkEmchGZPp7ZgMd+3ZXnvACoIqeOCs365Dmp/Im8V7UrFSid8od5/JKWVq2UT7abziTFzb&#10;KerXT2D1EwAA//8DAFBLAwQUAAYACAAAACEAFT9wQ+EAAAALAQAADwAAAGRycy9kb3ducmV2Lnht&#10;bEyPy07DMBBF90j8gzVIbFDrkIbQhDgVQgLRHbQVbN14mkT4EWw3DX/PdAW7Gd3RnXOq1WQ0G9GH&#10;3lkBt/MEGNrGqd62Anbb59kSWIjSKqmdRQE/GGBVX15UslTuZN9x3MSWUYkNpRTQxTiUnIemQyPD&#10;3A1oKTs4b2Sk1bdceXmicqN5miQ5N7K39KGTAz512HxtjkbAMnsdP8N68fbR5AddxJv78eXbC3F9&#10;NT0+AIs4xb9jOOMTOtTEtHdHqwLTAmY5qUQB2aIAds6T7I5c9jSlaVYAryv+36H+BQAA//8DAFBL&#10;AQItABQABgAIAAAAIQC2gziS/gAAAOEBAAATAAAAAAAAAAAAAAAAAAAAAABbQ29udGVudF9UeXBl&#10;c10ueG1sUEsBAi0AFAAGAAgAAAAhADj9If/WAAAAlAEAAAsAAAAAAAAAAAAAAAAALwEAAF9yZWxz&#10;Ly5yZWxzUEsBAi0AFAAGAAgAAAAhAG4zcxonAgAATAQAAA4AAAAAAAAAAAAAAAAALgIAAGRycy9l&#10;Mm9Eb2MueG1sUEsBAi0AFAAGAAgAAAAhABU/cEPhAAAACwEAAA8AAAAAAAAAAAAAAAAAgQQAAGRy&#10;cy9kb3ducmV2LnhtbFBLBQYAAAAABAAEAPMAAACPBQAAAAA=&#10;">
                <v:textbox>
                  <w:txbxContent>
                    <w:p w:rsidR="00E12B40" w:rsidRPr="00B36882" w:rsidRDefault="00E12B40" w:rsidP="00873EC6">
                      <w:pPr>
                        <w:suppressAutoHyphens/>
                        <w:spacing w:before="120" w:after="240"/>
                        <w:rPr>
                          <w:rFonts w:eastAsia="Calibri"/>
                          <w:b/>
                          <w:sz w:val="24"/>
                        </w:rPr>
                      </w:pPr>
                      <w:r w:rsidRPr="00B36882">
                        <w:rPr>
                          <w:rFonts w:eastAsia="Calibri"/>
                          <w:b/>
                          <w:sz w:val="24"/>
                        </w:rPr>
                        <w:t>Box 8: Consultation questions</w:t>
                      </w:r>
                    </w:p>
                    <w:p w:rsidR="00E12B40" w:rsidRPr="00B36882" w:rsidRDefault="00E12B40" w:rsidP="007108BF">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The proposed methodology for the review is outlined in section 1.3. Is there anything else the review should consider when assessing the performance of the GEMS Act?</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What has been achieved through the GEMS Act?</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What are the Act’s strengths and weaknesses?</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How could the operation of the GEMS Act be improved?</w:t>
                      </w:r>
                    </w:p>
                    <w:p w:rsidR="00E12B40" w:rsidRPr="00B36882" w:rsidRDefault="00E12B40" w:rsidP="00551F8A">
                      <w:pPr>
                        <w:pStyle w:val="ListParagraph"/>
                        <w:numPr>
                          <w:ilvl w:val="0"/>
                          <w:numId w:val="38"/>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 actions taken following the 2015 GEMS Review leading to better outcomes?</w:t>
                      </w:r>
                    </w:p>
                    <w:p w:rsidR="00E12B40" w:rsidRPr="00B36882" w:rsidRDefault="00E12B40" w:rsidP="007108BF">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What are the emerging opportunities and challenges for product energy efficiency?</w:t>
                      </w:r>
                    </w:p>
                    <w:p w:rsidR="00E12B40" w:rsidRPr="00B36882" w:rsidRDefault="00E12B40" w:rsidP="00294050">
                      <w:pPr>
                        <w:pStyle w:val="ListParagraph"/>
                        <w:numPr>
                          <w:ilvl w:val="0"/>
                          <w:numId w:val="37"/>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 appropriate products covered by the current GEMS regulations?</w:t>
                      </w:r>
                    </w:p>
                    <w:p w:rsidR="00E12B40" w:rsidRPr="00B36882" w:rsidRDefault="00E12B40" w:rsidP="00294050">
                      <w:pPr>
                        <w:pStyle w:val="ListParagraph"/>
                        <w:numPr>
                          <w:ilvl w:val="0"/>
                          <w:numId w:val="37"/>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 priority product categories the correct areas to be targeting?</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What are the opportunities and challenges associated with the development of GEMS determinations?</w:t>
                      </w:r>
                    </w:p>
                    <w:p w:rsidR="00E12B40" w:rsidRPr="00B36882" w:rsidRDefault="00E12B40" w:rsidP="00294050">
                      <w:pPr>
                        <w:pStyle w:val="ListParagraph"/>
                        <w:numPr>
                          <w:ilvl w:val="0"/>
                          <w:numId w:val="39"/>
                        </w:numPr>
                        <w:suppressAutoHyphens/>
                        <w:spacing w:before="60" w:after="60" w:line="288" w:lineRule="auto"/>
                        <w:ind w:left="851" w:hanging="425"/>
                        <w:contextualSpacing w:val="0"/>
                        <w:rPr>
                          <w:rFonts w:eastAsia="Calibri"/>
                          <w:sz w:val="24"/>
                          <w:szCs w:val="22"/>
                        </w:rPr>
                      </w:pPr>
                      <w:r w:rsidRPr="00B36882">
                        <w:rPr>
                          <w:rFonts w:eastAsia="Calibri"/>
                          <w:sz w:val="24"/>
                          <w:szCs w:val="22"/>
                        </w:rPr>
                        <w:t>Does the current framework support the appropriate balance of being responsive to innovation and consulting adequately before introducing new or updated regulations?</w:t>
                      </w:r>
                    </w:p>
                    <w:p w:rsidR="00E12B40" w:rsidRPr="00B36882" w:rsidRDefault="00E12B40" w:rsidP="00294050">
                      <w:pPr>
                        <w:pStyle w:val="ListParagraph"/>
                        <w:numPr>
                          <w:ilvl w:val="0"/>
                          <w:numId w:val="39"/>
                        </w:numPr>
                        <w:suppressAutoHyphens/>
                        <w:spacing w:before="60" w:after="60" w:line="288" w:lineRule="auto"/>
                        <w:ind w:left="851" w:hanging="425"/>
                        <w:contextualSpacing w:val="0"/>
                        <w:rPr>
                          <w:rFonts w:eastAsia="Calibri"/>
                          <w:sz w:val="24"/>
                          <w:szCs w:val="22"/>
                        </w:rPr>
                      </w:pPr>
                      <w:r w:rsidRPr="00B36882">
                        <w:rPr>
                          <w:rFonts w:eastAsia="Calibri"/>
                          <w:sz w:val="24"/>
                          <w:szCs w:val="22"/>
                        </w:rPr>
                        <w:t xml:space="preserve">Is the GEMS determinations process adequate in terms of the consultation process and the timeline? </w:t>
                      </w:r>
                    </w:p>
                    <w:p w:rsidR="00E12B40" w:rsidRPr="00B36882" w:rsidRDefault="00E12B40" w:rsidP="00294050">
                      <w:pPr>
                        <w:pStyle w:val="ListParagraph"/>
                        <w:numPr>
                          <w:ilvl w:val="0"/>
                          <w:numId w:val="39"/>
                        </w:numPr>
                        <w:suppressAutoHyphens/>
                        <w:spacing w:before="60" w:after="60" w:line="288" w:lineRule="auto"/>
                        <w:ind w:left="851" w:hanging="425"/>
                        <w:contextualSpacing w:val="0"/>
                        <w:rPr>
                          <w:rFonts w:eastAsia="Calibri"/>
                          <w:sz w:val="24"/>
                          <w:szCs w:val="22"/>
                        </w:rPr>
                      </w:pPr>
                      <w:r w:rsidRPr="00B36882">
                        <w:rPr>
                          <w:rFonts w:eastAsia="Calibri"/>
                          <w:sz w:val="24"/>
                          <w:szCs w:val="22"/>
                        </w:rPr>
                        <w:t>What issues would need to be taken into account in considering a decision to remove a GEMS determination?</w:t>
                      </w:r>
                    </w:p>
                    <w:p w:rsidR="00E12B40" w:rsidRPr="00B36882" w:rsidRDefault="00E12B40" w:rsidP="00DB0FD8">
                      <w:pPr>
                        <w:pStyle w:val="ListNumber"/>
                        <w:tabs>
                          <w:tab w:val="clear" w:pos="360"/>
                          <w:tab w:val="num" w:pos="426"/>
                        </w:tabs>
                        <w:suppressAutoHyphens/>
                        <w:spacing w:before="60" w:after="120"/>
                        <w:ind w:left="425" w:hanging="425"/>
                        <w:contextualSpacing w:val="0"/>
                        <w:rPr>
                          <w:rFonts w:eastAsia="Calibri"/>
                          <w:sz w:val="24"/>
                        </w:rPr>
                      </w:pPr>
                      <w:r w:rsidRPr="00B36882">
                        <w:rPr>
                          <w:rFonts w:eastAsia="Calibri"/>
                          <w:sz w:val="24"/>
                        </w:rPr>
                        <w:t xml:space="preserve">What are the opportunities and challenges associated with the registration of GEMS products? </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 xml:space="preserve">Is the balance between flexibility and risk set at the appropriate point for family registrations where a large number of models are allowed in the family? </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 xml:space="preserve">Are there improvements that should be made to the GEMS registration system (in addition to those summarised in </w:t>
                      </w:r>
                      <w:r w:rsidRPr="00B36882">
                        <w:rPr>
                          <w:rFonts w:eastAsia="Calibri"/>
                          <w:b/>
                          <w:sz w:val="24"/>
                          <w:szCs w:val="22"/>
                        </w:rPr>
                        <w:t>Box 4</w:t>
                      </w:r>
                      <w:r w:rsidRPr="00B36882">
                        <w:rPr>
                          <w:rFonts w:eastAsia="Calibri"/>
                          <w:sz w:val="24"/>
                          <w:szCs w:val="22"/>
                        </w:rPr>
                        <w:t>)?</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there changes that could be made which would make the link between the model number provided at registration and the product offered in the market more clear?</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Is there a more practical point for the registration obligation to be triggered for customised products, which would still provide some assurance for consumers at the point they make the purchasing decision that the product meets MEPS requirements?</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What are the pros and cons of seeking to harmonise the GEMS registration system?</w:t>
                      </w:r>
                    </w:p>
                    <w:p w:rsidR="00E12B40" w:rsidRPr="00B36882" w:rsidRDefault="00E12B40" w:rsidP="00294050">
                      <w:pPr>
                        <w:pStyle w:val="ListParagraph"/>
                        <w:numPr>
                          <w:ilvl w:val="0"/>
                          <w:numId w:val="40"/>
                        </w:numPr>
                        <w:suppressAutoHyphens/>
                        <w:spacing w:before="60" w:after="60" w:line="288" w:lineRule="auto"/>
                        <w:ind w:left="851" w:hanging="425"/>
                        <w:contextualSpacing w:val="0"/>
                        <w:rPr>
                          <w:rFonts w:eastAsia="Calibri"/>
                          <w:sz w:val="24"/>
                          <w:szCs w:val="22"/>
                        </w:rPr>
                      </w:pPr>
                      <w:r w:rsidRPr="00B36882">
                        <w:rPr>
                          <w:rFonts w:eastAsia="Calibri"/>
                          <w:sz w:val="24"/>
                          <w:szCs w:val="22"/>
                        </w:rPr>
                        <w:t>Are the grandfathering provisions under the GEMS Act appropriate?</w:t>
                      </w:r>
                    </w:p>
                    <w:p w:rsidR="00E12B40" w:rsidRPr="00C270C0" w:rsidRDefault="00E12B40" w:rsidP="00C270C0">
                      <w:pPr>
                        <w:pStyle w:val="ListBullet"/>
                        <w:numPr>
                          <w:ilvl w:val="0"/>
                          <w:numId w:val="0"/>
                        </w:numPr>
                        <w:rPr>
                          <w:rFonts w:eastAsia="Calibri"/>
                        </w:rPr>
                      </w:pPr>
                    </w:p>
                  </w:txbxContent>
                </v:textbox>
                <w10:wrap type="square"/>
              </v:shape>
            </w:pict>
          </mc:Fallback>
        </mc:AlternateContent>
      </w:r>
      <w:r w:rsidR="00B80111">
        <w:rPr>
          <w:rFonts w:eastAsia="Calibri"/>
          <w:color w:val="000000" w:themeColor="text1"/>
          <w:sz w:val="24"/>
          <w:szCs w:val="22"/>
        </w:rPr>
        <w:t xml:space="preserve">Below are some questions </w:t>
      </w:r>
      <w:r w:rsidR="007A45AD">
        <w:rPr>
          <w:rFonts w:eastAsia="Calibri"/>
          <w:color w:val="000000" w:themeColor="text1"/>
          <w:sz w:val="24"/>
          <w:szCs w:val="22"/>
        </w:rPr>
        <w:t xml:space="preserve">to </w:t>
      </w:r>
      <w:r w:rsidR="00B80111">
        <w:rPr>
          <w:rFonts w:eastAsia="Calibri"/>
          <w:color w:val="000000" w:themeColor="text1"/>
          <w:sz w:val="24"/>
          <w:szCs w:val="22"/>
        </w:rPr>
        <w:t xml:space="preserve">consider when responding to this </w:t>
      </w:r>
      <w:r w:rsidR="00E73EA9">
        <w:rPr>
          <w:rFonts w:eastAsia="Calibri"/>
          <w:color w:val="000000" w:themeColor="text1"/>
          <w:sz w:val="24"/>
          <w:szCs w:val="22"/>
        </w:rPr>
        <w:t>Discussion P</w:t>
      </w:r>
      <w:r w:rsidR="00B80111">
        <w:rPr>
          <w:rFonts w:eastAsia="Calibri"/>
          <w:color w:val="000000" w:themeColor="text1"/>
          <w:sz w:val="24"/>
          <w:szCs w:val="22"/>
        </w:rPr>
        <w:t>aper.</w:t>
      </w:r>
    </w:p>
    <w:p w:rsidR="00665B9A" w:rsidRDefault="00665B9A" w:rsidP="00C270C0">
      <w:pPr>
        <w:suppressAutoHyphens/>
        <w:spacing w:after="120" w:line="288" w:lineRule="auto"/>
        <w:rPr>
          <w:rFonts w:eastAsia="Calibri"/>
          <w:color w:val="000000" w:themeColor="text1"/>
          <w:sz w:val="24"/>
          <w:szCs w:val="22"/>
        </w:rPr>
      </w:pPr>
    </w:p>
    <w:p w:rsidR="00665B9A" w:rsidRDefault="00665B9A" w:rsidP="00C270C0">
      <w:pPr>
        <w:suppressAutoHyphens/>
        <w:spacing w:after="120" w:line="288" w:lineRule="auto"/>
        <w:rPr>
          <w:rFonts w:eastAsia="Calibri"/>
          <w:color w:val="000000" w:themeColor="text1"/>
          <w:sz w:val="24"/>
          <w:szCs w:val="22"/>
        </w:rPr>
      </w:pPr>
    </w:p>
    <w:p w:rsidR="00665B9A" w:rsidRDefault="002D1B6E" w:rsidP="00C270C0">
      <w:pPr>
        <w:suppressAutoHyphens/>
        <w:spacing w:after="120" w:line="288" w:lineRule="auto"/>
        <w:rPr>
          <w:rFonts w:eastAsia="Calibri"/>
          <w:color w:val="000000" w:themeColor="text1"/>
          <w:sz w:val="24"/>
          <w:szCs w:val="22"/>
        </w:rPr>
      </w:pPr>
      <w:r w:rsidRPr="003F02E2">
        <w:rPr>
          <w:rFonts w:eastAsia="Calibri"/>
          <w:noProof/>
          <w:color w:val="000000" w:themeColor="text1"/>
          <w:sz w:val="24"/>
          <w:szCs w:val="22"/>
          <w:lang w:eastAsia="en-AU"/>
        </w:rPr>
        <mc:AlternateContent>
          <mc:Choice Requires="wps">
            <w:drawing>
              <wp:anchor distT="45720" distB="45720" distL="114300" distR="114300" simplePos="0" relativeHeight="251709440" behindDoc="0" locked="0" layoutInCell="1" allowOverlap="1" wp14:anchorId="1065798F" wp14:editId="1FF51EE5">
                <wp:simplePos x="0" y="0"/>
                <wp:positionH relativeFrom="margin">
                  <wp:align>center</wp:align>
                </wp:positionH>
                <wp:positionV relativeFrom="paragraph">
                  <wp:posOffset>211051</wp:posOffset>
                </wp:positionV>
                <wp:extent cx="6678930" cy="2844800"/>
                <wp:effectExtent l="0" t="0" r="26670" b="127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2844800"/>
                        </a:xfrm>
                        <a:prstGeom prst="rect">
                          <a:avLst/>
                        </a:prstGeom>
                        <a:solidFill>
                          <a:srgbClr val="FFFFFF"/>
                        </a:solidFill>
                        <a:ln w="9525">
                          <a:solidFill>
                            <a:srgbClr val="000000"/>
                          </a:solidFill>
                          <a:miter lim="800000"/>
                          <a:headEnd/>
                          <a:tailEnd/>
                        </a:ln>
                      </wps:spPr>
                      <wps:txbx>
                        <w:txbxContent>
                          <w:p w:rsidR="00E12B40" w:rsidRPr="00DB0FD8" w:rsidRDefault="00E12B40" w:rsidP="00C270C0">
                            <w:pPr>
                              <w:suppressAutoHyphens/>
                              <w:spacing w:before="120" w:after="240"/>
                              <w:rPr>
                                <w:rFonts w:eastAsia="Calibri"/>
                                <w:sz w:val="24"/>
                                <w:szCs w:val="22"/>
                                <w:highlight w:val="cyan"/>
                              </w:rPr>
                            </w:pPr>
                            <w:r w:rsidRPr="00D933EE">
                              <w:rPr>
                                <w:rFonts w:eastAsia="Calibri"/>
                                <w:b/>
                                <w:sz w:val="24"/>
                              </w:rPr>
                              <w:t xml:space="preserve">Box </w:t>
                            </w:r>
                            <w:r>
                              <w:rPr>
                                <w:rFonts w:eastAsia="Calibri"/>
                                <w:b/>
                                <w:sz w:val="24"/>
                              </w:rPr>
                              <w:t>8</w:t>
                            </w:r>
                            <w:r w:rsidRPr="00D933EE">
                              <w:rPr>
                                <w:rFonts w:eastAsia="Calibri"/>
                                <w:b/>
                                <w:sz w:val="24"/>
                              </w:rPr>
                              <w:t>:</w:t>
                            </w:r>
                            <w:r w:rsidRPr="00873EC6">
                              <w:rPr>
                                <w:rFonts w:eastAsia="Calibri"/>
                                <w:b/>
                                <w:sz w:val="24"/>
                              </w:rPr>
                              <w:t xml:space="preserve"> </w:t>
                            </w:r>
                            <w:r>
                              <w:rPr>
                                <w:rFonts w:eastAsia="Calibri"/>
                                <w:b/>
                                <w:sz w:val="24"/>
                              </w:rPr>
                              <w:t>Consultation questions continued</w:t>
                            </w:r>
                          </w:p>
                          <w:p w:rsidR="00E12B40" w:rsidRDefault="00E12B40" w:rsidP="00294050">
                            <w:pPr>
                              <w:pStyle w:val="ListNumber"/>
                              <w:numPr>
                                <w:ilvl w:val="0"/>
                                <w:numId w:val="0"/>
                              </w:numPr>
                              <w:suppressAutoHyphens/>
                              <w:spacing w:before="60" w:after="120"/>
                              <w:ind w:left="426" w:hanging="426"/>
                              <w:contextualSpacing w:val="0"/>
                              <w:rPr>
                                <w:rFonts w:eastAsia="Calibri"/>
                                <w:sz w:val="24"/>
                              </w:rPr>
                            </w:pPr>
                            <w:r>
                              <w:rPr>
                                <w:rFonts w:eastAsia="Calibri"/>
                                <w:sz w:val="24"/>
                              </w:rPr>
                              <w:t>8.</w:t>
                            </w:r>
                            <w:r>
                              <w:rPr>
                                <w:rFonts w:eastAsia="Calibri"/>
                                <w:sz w:val="24"/>
                              </w:rPr>
                              <w:tab/>
                            </w:r>
                            <w:r w:rsidRPr="00DB0FD8">
                              <w:rPr>
                                <w:rFonts w:eastAsia="Calibri"/>
                                <w:sz w:val="24"/>
                              </w:rPr>
                              <w:t>What are the opportunities and challenges associated with compliance and testing activities?</w:t>
                            </w:r>
                          </w:p>
                          <w:p w:rsidR="00E12B40" w:rsidRPr="00294050" w:rsidRDefault="00E12B40" w:rsidP="00294050">
                            <w:pPr>
                              <w:pStyle w:val="ListParagraph"/>
                              <w:numPr>
                                <w:ilvl w:val="0"/>
                                <w:numId w:val="41"/>
                              </w:numPr>
                              <w:suppressAutoHyphens/>
                              <w:spacing w:before="60" w:after="60" w:line="288" w:lineRule="auto"/>
                              <w:ind w:left="851" w:hanging="425"/>
                              <w:contextualSpacing w:val="0"/>
                              <w:rPr>
                                <w:rFonts w:eastAsia="Calibri"/>
                                <w:sz w:val="24"/>
                                <w:szCs w:val="22"/>
                              </w:rPr>
                            </w:pPr>
                            <w:r w:rsidRPr="00294050">
                              <w:rPr>
                                <w:rFonts w:eastAsia="Calibri"/>
                                <w:sz w:val="24"/>
                                <w:szCs w:val="22"/>
                              </w:rPr>
                              <w:t>Is the current compliance regime delivering effective outcomes?</w:t>
                            </w:r>
                          </w:p>
                          <w:p w:rsidR="00E12B40" w:rsidRPr="00294050" w:rsidRDefault="00E12B40" w:rsidP="00294050">
                            <w:pPr>
                              <w:pStyle w:val="ListParagraph"/>
                              <w:numPr>
                                <w:ilvl w:val="0"/>
                                <w:numId w:val="41"/>
                              </w:numPr>
                              <w:suppressAutoHyphens/>
                              <w:spacing w:before="60" w:after="60" w:line="288" w:lineRule="auto"/>
                              <w:ind w:left="851" w:hanging="425"/>
                              <w:contextualSpacing w:val="0"/>
                              <w:rPr>
                                <w:rFonts w:eastAsia="Calibri"/>
                                <w:sz w:val="24"/>
                                <w:szCs w:val="22"/>
                              </w:rPr>
                            </w:pPr>
                            <w:r w:rsidRPr="00294050">
                              <w:rPr>
                                <w:rFonts w:eastAsia="Calibri"/>
                                <w:sz w:val="24"/>
                                <w:szCs w:val="22"/>
                              </w:rPr>
                              <w:t>Is the two stage check testing process the most appropriate approach for all GEMS products?</w:t>
                            </w:r>
                          </w:p>
                          <w:p w:rsidR="00E12B40" w:rsidRDefault="00E12B40" w:rsidP="00294050">
                            <w:pPr>
                              <w:pStyle w:val="ListNumber"/>
                              <w:numPr>
                                <w:ilvl w:val="0"/>
                                <w:numId w:val="0"/>
                              </w:numPr>
                              <w:suppressAutoHyphens/>
                              <w:spacing w:before="60" w:after="120"/>
                              <w:ind w:left="426" w:hanging="426"/>
                              <w:contextualSpacing w:val="0"/>
                              <w:rPr>
                                <w:rFonts w:eastAsia="Calibri"/>
                                <w:sz w:val="24"/>
                              </w:rPr>
                            </w:pPr>
                            <w:r>
                              <w:rPr>
                                <w:rFonts w:eastAsia="Calibri"/>
                                <w:sz w:val="24"/>
                              </w:rPr>
                              <w:t>9.</w:t>
                            </w:r>
                            <w:r>
                              <w:rPr>
                                <w:rFonts w:eastAsia="Calibri"/>
                                <w:sz w:val="24"/>
                              </w:rPr>
                              <w:tab/>
                              <w:t>What specific issues arise in relation to the aspects of the GEMS program, and potential expansions of the GEMS program, as described in section 7 of this paper?</w:t>
                            </w:r>
                          </w:p>
                          <w:p w:rsidR="00E12B40" w:rsidRPr="00DB0FD8" w:rsidRDefault="00E12B40" w:rsidP="00294050">
                            <w:pPr>
                              <w:pStyle w:val="ListNumber"/>
                              <w:numPr>
                                <w:ilvl w:val="0"/>
                                <w:numId w:val="0"/>
                              </w:numPr>
                              <w:suppressAutoHyphens/>
                              <w:spacing w:before="60" w:after="120"/>
                              <w:ind w:left="426" w:hanging="426"/>
                              <w:contextualSpacing w:val="0"/>
                              <w:rPr>
                                <w:rFonts w:eastAsia="Calibri"/>
                                <w:sz w:val="24"/>
                              </w:rPr>
                            </w:pPr>
                            <w:r>
                              <w:rPr>
                                <w:rFonts w:eastAsia="Calibri"/>
                                <w:sz w:val="24"/>
                              </w:rPr>
                              <w:t>10</w:t>
                            </w:r>
                            <w:r>
                              <w:rPr>
                                <w:rFonts w:eastAsia="Calibri"/>
                                <w:sz w:val="24"/>
                              </w:rPr>
                              <w:tab/>
                            </w:r>
                            <w:r w:rsidRPr="00DB0FD8">
                              <w:rPr>
                                <w:rFonts w:eastAsia="Calibri"/>
                                <w:sz w:val="24"/>
                              </w:rPr>
                              <w:t xml:space="preserve">Is there anything that can be learned from other jurisdictions in relation to product energy efficiency regulation that is relevant to this review? </w:t>
                            </w:r>
                          </w:p>
                          <w:p w:rsidR="00E12B40" w:rsidRPr="00DB0FD8" w:rsidRDefault="00E12B40" w:rsidP="00294050">
                            <w:pPr>
                              <w:pStyle w:val="ListNumber"/>
                              <w:numPr>
                                <w:ilvl w:val="0"/>
                                <w:numId w:val="0"/>
                              </w:numPr>
                              <w:suppressAutoHyphens/>
                              <w:spacing w:before="60" w:after="120"/>
                              <w:ind w:left="426" w:hanging="426"/>
                              <w:contextualSpacing w:val="0"/>
                              <w:rPr>
                                <w:rFonts w:eastAsia="Calibri"/>
                                <w:sz w:val="24"/>
                              </w:rPr>
                            </w:pPr>
                            <w:r>
                              <w:rPr>
                                <w:rFonts w:eastAsia="Calibri"/>
                                <w:sz w:val="24"/>
                              </w:rPr>
                              <w:t>11.</w:t>
                            </w:r>
                            <w:r>
                              <w:rPr>
                                <w:rFonts w:eastAsia="Calibri"/>
                                <w:sz w:val="24"/>
                              </w:rPr>
                              <w:tab/>
                            </w:r>
                            <w:r w:rsidRPr="009327DB">
                              <w:rPr>
                                <w:rFonts w:eastAsia="Calibri"/>
                                <w:sz w:val="24"/>
                              </w:rPr>
                              <w:t>Are there an</w:t>
                            </w:r>
                            <w:r>
                              <w:rPr>
                                <w:rFonts w:eastAsia="Calibri"/>
                                <w:sz w:val="24"/>
                              </w:rPr>
                              <w:t>y issues not mentioned in this Discussion P</w:t>
                            </w:r>
                            <w:r w:rsidRPr="009327DB">
                              <w:rPr>
                                <w:rFonts w:eastAsia="Calibri"/>
                                <w:sz w:val="24"/>
                              </w:rPr>
                              <w:t>aper that should be considered in the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5798F" id="_x0000_s1033" type="#_x0000_t202" style="position:absolute;margin-left:0;margin-top:16.6pt;width:525.9pt;height:224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egKAIAAE0EAAAOAAAAZHJzL2Uyb0RvYy54bWysVNuO2yAQfa/Uf0C8N07cXK04q222qSpt&#10;L9JuPwBjHKMCQ4HETr++A85mo237UtUPiGGGw5kzM17f9FqRo3BeginpZDSmRBgOtTT7kn573L1Z&#10;UuIDMzVTYERJT8LTm83rV+vOFiKHFlQtHEEQ44vOlrQNwRZZ5nkrNPMjsMKgswGnWUDT7bPasQ7R&#10;tcry8XiedeBq64AL7/H0bnDSTcJvGsHDl6bxIhBVUuQW0urSWsU126xZsXfMtpKfabB/YKGZNPjo&#10;BeqOBUYOTv4GpSV34KEJIw46g6aRXKQcMJvJ+EU2Dy2zIuWC4nh7kcn/P1j++fjVEVmXNJ9QYpjG&#10;Gj2KPpB30JM8ytNZX2DUg8W40OMxljml6u098O+eGNi2zOzFrXPQtYLVSG8Sb2ZXVwccH0Gq7hPU&#10;+Aw7BEhAfeN01A7VIIiOZTpdShOpcDyczxfL1Vt0cfTly+l0OU7Fy1jxdN06Hz4I0CRuSuqw9gme&#10;He99iHRY8RQSX/OgZL2TSiXD7autcuTIsE926UsZvAhThnQlXc3y2aDAXyHG6fsThJYBG15JXVJM&#10;Ab8YxIqo23tTp31gUg17pKzMWcio3aBi6Ks+lWwR70aRK6hPqKyDob9xHnHTgvtJSYe9XVL/48Cc&#10;oER9NFid1WQ6jcOQjOlskaPhrj3VtYcZjlAlDZQM221IAxRpG7jFKjYy6fvM5EwZezbJfp6vOBTX&#10;dop6/gtsfgEAAP//AwBQSwMEFAAGAAgAAAAhAHt6yjveAAAACAEAAA8AAABkcnMvZG93bnJldi54&#10;bWxMj8tOwzAQRfdI/IM1SGwQdR6lhJBJhZBAsIOCYOvG0yQiHgfbTcPf465gObqje8+p1rMZxETO&#10;95YR0kUCgrixuucW4f3t4bIA4YNirQbLhPBDHtb16UmlSm0P/ErTJrQilrAvFUIXwlhK6ZuOjPIL&#10;OxLHbGedUSGerpXaqUMsN4PMkmQljeo5LnRqpPuOmq/N3iAUy6fp0z/nLx/NajfchIvr6fHbIZ6f&#10;zXe3IALN4e8ZjvgRHerItLV71l4MCFEkIOR5BuKYJldpNNkiLIs0A1lX8r9A/QsAAP//AwBQSwEC&#10;LQAUAAYACAAAACEAtoM4kv4AAADhAQAAEwAAAAAAAAAAAAAAAAAAAAAAW0NvbnRlbnRfVHlwZXNd&#10;LnhtbFBLAQItABQABgAIAAAAIQA4/SH/1gAAAJQBAAALAAAAAAAAAAAAAAAAAC8BAABfcmVscy8u&#10;cmVsc1BLAQItABQABgAIAAAAIQDuoOegKAIAAE0EAAAOAAAAAAAAAAAAAAAAAC4CAABkcnMvZTJv&#10;RG9jLnhtbFBLAQItABQABgAIAAAAIQB7eso73gAAAAgBAAAPAAAAAAAAAAAAAAAAAIIEAABkcnMv&#10;ZG93bnJldi54bWxQSwUGAAAAAAQABADzAAAAjQUAAAAA&#10;">
                <v:textbox>
                  <w:txbxContent>
                    <w:p w:rsidR="00E12B40" w:rsidRPr="00DB0FD8" w:rsidRDefault="00E12B40" w:rsidP="00C270C0">
                      <w:pPr>
                        <w:suppressAutoHyphens/>
                        <w:spacing w:before="120" w:after="240"/>
                        <w:rPr>
                          <w:rFonts w:eastAsia="Calibri"/>
                          <w:sz w:val="24"/>
                          <w:szCs w:val="22"/>
                          <w:highlight w:val="cyan"/>
                        </w:rPr>
                      </w:pPr>
                      <w:r w:rsidRPr="00D933EE">
                        <w:rPr>
                          <w:rFonts w:eastAsia="Calibri"/>
                          <w:b/>
                          <w:sz w:val="24"/>
                        </w:rPr>
                        <w:t xml:space="preserve">Box </w:t>
                      </w:r>
                      <w:r>
                        <w:rPr>
                          <w:rFonts w:eastAsia="Calibri"/>
                          <w:b/>
                          <w:sz w:val="24"/>
                        </w:rPr>
                        <w:t>8</w:t>
                      </w:r>
                      <w:r w:rsidRPr="00D933EE">
                        <w:rPr>
                          <w:rFonts w:eastAsia="Calibri"/>
                          <w:b/>
                          <w:sz w:val="24"/>
                        </w:rPr>
                        <w:t>:</w:t>
                      </w:r>
                      <w:r w:rsidRPr="00873EC6">
                        <w:rPr>
                          <w:rFonts w:eastAsia="Calibri"/>
                          <w:b/>
                          <w:sz w:val="24"/>
                        </w:rPr>
                        <w:t xml:space="preserve"> </w:t>
                      </w:r>
                      <w:r>
                        <w:rPr>
                          <w:rFonts w:eastAsia="Calibri"/>
                          <w:b/>
                          <w:sz w:val="24"/>
                        </w:rPr>
                        <w:t>Consultation questions continued</w:t>
                      </w:r>
                    </w:p>
                    <w:p w:rsidR="00E12B40" w:rsidRDefault="00E12B40" w:rsidP="00294050">
                      <w:pPr>
                        <w:pStyle w:val="ListNumber"/>
                        <w:numPr>
                          <w:ilvl w:val="0"/>
                          <w:numId w:val="0"/>
                        </w:numPr>
                        <w:suppressAutoHyphens/>
                        <w:spacing w:before="60" w:after="120"/>
                        <w:ind w:left="426" w:hanging="426"/>
                        <w:contextualSpacing w:val="0"/>
                        <w:rPr>
                          <w:rFonts w:eastAsia="Calibri"/>
                          <w:sz w:val="24"/>
                        </w:rPr>
                      </w:pPr>
                      <w:r>
                        <w:rPr>
                          <w:rFonts w:eastAsia="Calibri"/>
                          <w:sz w:val="24"/>
                        </w:rPr>
                        <w:t>8.</w:t>
                      </w:r>
                      <w:r>
                        <w:rPr>
                          <w:rFonts w:eastAsia="Calibri"/>
                          <w:sz w:val="24"/>
                        </w:rPr>
                        <w:tab/>
                      </w:r>
                      <w:r w:rsidRPr="00DB0FD8">
                        <w:rPr>
                          <w:rFonts w:eastAsia="Calibri"/>
                          <w:sz w:val="24"/>
                        </w:rPr>
                        <w:t>What are the opportunities and challenges associated with compliance and testing activities?</w:t>
                      </w:r>
                    </w:p>
                    <w:p w:rsidR="00E12B40" w:rsidRPr="00294050" w:rsidRDefault="00E12B40" w:rsidP="00294050">
                      <w:pPr>
                        <w:pStyle w:val="ListParagraph"/>
                        <w:numPr>
                          <w:ilvl w:val="0"/>
                          <w:numId w:val="41"/>
                        </w:numPr>
                        <w:suppressAutoHyphens/>
                        <w:spacing w:before="60" w:after="60" w:line="288" w:lineRule="auto"/>
                        <w:ind w:left="851" w:hanging="425"/>
                        <w:contextualSpacing w:val="0"/>
                        <w:rPr>
                          <w:rFonts w:eastAsia="Calibri"/>
                          <w:sz w:val="24"/>
                          <w:szCs w:val="22"/>
                        </w:rPr>
                      </w:pPr>
                      <w:r w:rsidRPr="00294050">
                        <w:rPr>
                          <w:rFonts w:eastAsia="Calibri"/>
                          <w:sz w:val="24"/>
                          <w:szCs w:val="22"/>
                        </w:rPr>
                        <w:t>Is the current compliance regime delivering effective outcomes?</w:t>
                      </w:r>
                    </w:p>
                    <w:p w:rsidR="00E12B40" w:rsidRPr="00294050" w:rsidRDefault="00E12B40" w:rsidP="00294050">
                      <w:pPr>
                        <w:pStyle w:val="ListParagraph"/>
                        <w:numPr>
                          <w:ilvl w:val="0"/>
                          <w:numId w:val="41"/>
                        </w:numPr>
                        <w:suppressAutoHyphens/>
                        <w:spacing w:before="60" w:after="60" w:line="288" w:lineRule="auto"/>
                        <w:ind w:left="851" w:hanging="425"/>
                        <w:contextualSpacing w:val="0"/>
                        <w:rPr>
                          <w:rFonts w:eastAsia="Calibri"/>
                          <w:sz w:val="24"/>
                          <w:szCs w:val="22"/>
                        </w:rPr>
                      </w:pPr>
                      <w:r w:rsidRPr="00294050">
                        <w:rPr>
                          <w:rFonts w:eastAsia="Calibri"/>
                          <w:sz w:val="24"/>
                          <w:szCs w:val="22"/>
                        </w:rPr>
                        <w:t>Is the two stage check testing process the most appropriate approach for all GEMS products?</w:t>
                      </w:r>
                    </w:p>
                    <w:p w:rsidR="00E12B40" w:rsidRDefault="00E12B40" w:rsidP="00294050">
                      <w:pPr>
                        <w:pStyle w:val="ListNumber"/>
                        <w:numPr>
                          <w:ilvl w:val="0"/>
                          <w:numId w:val="0"/>
                        </w:numPr>
                        <w:suppressAutoHyphens/>
                        <w:spacing w:before="60" w:after="120"/>
                        <w:ind w:left="426" w:hanging="426"/>
                        <w:contextualSpacing w:val="0"/>
                        <w:rPr>
                          <w:rFonts w:eastAsia="Calibri"/>
                          <w:sz w:val="24"/>
                        </w:rPr>
                      </w:pPr>
                      <w:r>
                        <w:rPr>
                          <w:rFonts w:eastAsia="Calibri"/>
                          <w:sz w:val="24"/>
                        </w:rPr>
                        <w:t>9.</w:t>
                      </w:r>
                      <w:r>
                        <w:rPr>
                          <w:rFonts w:eastAsia="Calibri"/>
                          <w:sz w:val="24"/>
                        </w:rPr>
                        <w:tab/>
                        <w:t>What specific issues arise in relation to the aspects of the GEMS program, and potential expansions of the GEMS program, as described in section 7 of this paper?</w:t>
                      </w:r>
                    </w:p>
                    <w:p w:rsidR="00E12B40" w:rsidRPr="00DB0FD8" w:rsidRDefault="00E12B40" w:rsidP="00294050">
                      <w:pPr>
                        <w:pStyle w:val="ListNumber"/>
                        <w:numPr>
                          <w:ilvl w:val="0"/>
                          <w:numId w:val="0"/>
                        </w:numPr>
                        <w:suppressAutoHyphens/>
                        <w:spacing w:before="60" w:after="120"/>
                        <w:ind w:left="426" w:hanging="426"/>
                        <w:contextualSpacing w:val="0"/>
                        <w:rPr>
                          <w:rFonts w:eastAsia="Calibri"/>
                          <w:sz w:val="24"/>
                        </w:rPr>
                      </w:pPr>
                      <w:r>
                        <w:rPr>
                          <w:rFonts w:eastAsia="Calibri"/>
                          <w:sz w:val="24"/>
                        </w:rPr>
                        <w:t>10</w:t>
                      </w:r>
                      <w:r>
                        <w:rPr>
                          <w:rFonts w:eastAsia="Calibri"/>
                          <w:sz w:val="24"/>
                        </w:rPr>
                        <w:tab/>
                      </w:r>
                      <w:r w:rsidRPr="00DB0FD8">
                        <w:rPr>
                          <w:rFonts w:eastAsia="Calibri"/>
                          <w:sz w:val="24"/>
                        </w:rPr>
                        <w:t xml:space="preserve">Is there anything that can be learned from other jurisdictions in relation to product energy efficiency regulation that is relevant to this review? </w:t>
                      </w:r>
                    </w:p>
                    <w:p w:rsidR="00E12B40" w:rsidRPr="00DB0FD8" w:rsidRDefault="00E12B40" w:rsidP="00294050">
                      <w:pPr>
                        <w:pStyle w:val="ListNumber"/>
                        <w:numPr>
                          <w:ilvl w:val="0"/>
                          <w:numId w:val="0"/>
                        </w:numPr>
                        <w:suppressAutoHyphens/>
                        <w:spacing w:before="60" w:after="120"/>
                        <w:ind w:left="426" w:hanging="426"/>
                        <w:contextualSpacing w:val="0"/>
                        <w:rPr>
                          <w:rFonts w:eastAsia="Calibri"/>
                          <w:sz w:val="24"/>
                        </w:rPr>
                      </w:pPr>
                      <w:r>
                        <w:rPr>
                          <w:rFonts w:eastAsia="Calibri"/>
                          <w:sz w:val="24"/>
                        </w:rPr>
                        <w:t>11.</w:t>
                      </w:r>
                      <w:r>
                        <w:rPr>
                          <w:rFonts w:eastAsia="Calibri"/>
                          <w:sz w:val="24"/>
                        </w:rPr>
                        <w:tab/>
                      </w:r>
                      <w:r w:rsidRPr="009327DB">
                        <w:rPr>
                          <w:rFonts w:eastAsia="Calibri"/>
                          <w:sz w:val="24"/>
                        </w:rPr>
                        <w:t>Are there an</w:t>
                      </w:r>
                      <w:r>
                        <w:rPr>
                          <w:rFonts w:eastAsia="Calibri"/>
                          <w:sz w:val="24"/>
                        </w:rPr>
                        <w:t>y issues not mentioned in this Discussion P</w:t>
                      </w:r>
                      <w:r w:rsidRPr="009327DB">
                        <w:rPr>
                          <w:rFonts w:eastAsia="Calibri"/>
                          <w:sz w:val="24"/>
                        </w:rPr>
                        <w:t>aper that should be considered in the review?</w:t>
                      </w:r>
                    </w:p>
                  </w:txbxContent>
                </v:textbox>
                <w10:wrap type="square" anchorx="margin"/>
              </v:shape>
            </w:pict>
          </mc:Fallback>
        </mc:AlternateContent>
      </w:r>
    </w:p>
    <w:p w:rsidR="00464401" w:rsidRDefault="00464401">
      <w:pPr>
        <w:rPr>
          <w:rFonts w:cs="MyriadPro-Regular"/>
          <w:color w:val="000000"/>
          <w:sz w:val="52"/>
          <w:szCs w:val="52"/>
          <w:lang w:val="en-US"/>
        </w:rPr>
      </w:pPr>
      <w:bookmarkStart w:id="106" w:name="_Toc501610441"/>
      <w:r>
        <w:br w:type="page"/>
      </w:r>
    </w:p>
    <w:p w:rsidR="00ED2CF5" w:rsidRDefault="00707A0D" w:rsidP="00F962E4">
      <w:pPr>
        <w:pStyle w:val="Subhead1"/>
        <w:spacing w:line="288" w:lineRule="auto"/>
      </w:pPr>
      <w:bookmarkStart w:id="107" w:name="_Toc507145483"/>
      <w:r>
        <w:t>9</w:t>
      </w:r>
      <w:r w:rsidR="00FC17F9">
        <w:t>.</w:t>
      </w:r>
      <w:r w:rsidR="00FC17F9">
        <w:tab/>
        <w:t>Next steps</w:t>
      </w:r>
      <w:bookmarkEnd w:id="106"/>
      <w:bookmarkEnd w:id="107"/>
      <w:r w:rsidR="00FC17F9">
        <w:tab/>
      </w:r>
    </w:p>
    <w:p w:rsidR="00023A0E" w:rsidRDefault="00B14222" w:rsidP="00830ECF">
      <w:pPr>
        <w:suppressAutoHyphens/>
        <w:rPr>
          <w:rFonts w:eastAsia="Calibri"/>
          <w:sz w:val="24"/>
          <w:szCs w:val="24"/>
        </w:rPr>
      </w:pPr>
      <w:r w:rsidRPr="00830ECF">
        <w:rPr>
          <w:rFonts w:eastAsia="Calibri"/>
          <w:sz w:val="24"/>
          <w:szCs w:val="24"/>
        </w:rPr>
        <w:t xml:space="preserve">Stakeholders have opportunities to participate in this independent review by making a submission on the Discussion Paper (this document) and the Draft Report. Public consultation sessions on the </w:t>
      </w:r>
      <w:r w:rsidR="00C703AD">
        <w:rPr>
          <w:rFonts w:eastAsia="Calibri"/>
          <w:sz w:val="24"/>
          <w:szCs w:val="24"/>
        </w:rPr>
        <w:t>Draft R</w:t>
      </w:r>
      <w:r w:rsidRPr="00830ECF">
        <w:rPr>
          <w:rFonts w:eastAsia="Calibri"/>
          <w:sz w:val="24"/>
          <w:szCs w:val="24"/>
        </w:rPr>
        <w:t>eport will inform the development of a Final Report. The details of the public consultation sessions will be available shortly at</w:t>
      </w:r>
      <w:r w:rsidR="00023A0E">
        <w:rPr>
          <w:rFonts w:eastAsia="Calibri"/>
          <w:sz w:val="24"/>
          <w:szCs w:val="24"/>
        </w:rPr>
        <w:t xml:space="preserve">: </w:t>
      </w:r>
    </w:p>
    <w:p w:rsidR="00023A0E" w:rsidRDefault="00064958" w:rsidP="00830ECF">
      <w:pPr>
        <w:suppressAutoHyphens/>
        <w:rPr>
          <w:rFonts w:eastAsia="Calibri"/>
          <w:sz w:val="24"/>
          <w:szCs w:val="24"/>
        </w:rPr>
      </w:pPr>
      <w:hyperlink r:id="rId25" w:history="1">
        <w:r w:rsidR="00023A0E" w:rsidRPr="00023A0E">
          <w:rPr>
            <w:rStyle w:val="Hyperlink"/>
            <w:sz w:val="24"/>
          </w:rPr>
          <w:t>www.energy.gov.au/publications/greenhouse-and-energy-minimum-standards-review-act</w:t>
        </w:r>
      </w:hyperlink>
      <w:r w:rsidR="00B14222" w:rsidRPr="00830ECF">
        <w:rPr>
          <w:rFonts w:eastAsia="Calibri"/>
          <w:sz w:val="24"/>
          <w:szCs w:val="24"/>
        </w:rPr>
        <w:t xml:space="preserve">. </w:t>
      </w:r>
    </w:p>
    <w:p w:rsidR="00023A0E" w:rsidRDefault="00023A0E" w:rsidP="00830ECF">
      <w:pPr>
        <w:suppressAutoHyphens/>
        <w:rPr>
          <w:rFonts w:eastAsia="Calibri"/>
          <w:sz w:val="24"/>
          <w:szCs w:val="24"/>
        </w:rPr>
      </w:pPr>
    </w:p>
    <w:p w:rsidR="00B14222" w:rsidRDefault="00B14222" w:rsidP="00830ECF">
      <w:pPr>
        <w:suppressAutoHyphens/>
        <w:rPr>
          <w:rFonts w:eastAsia="Calibri"/>
          <w:sz w:val="24"/>
          <w:szCs w:val="24"/>
        </w:rPr>
      </w:pPr>
      <w:r w:rsidRPr="00830ECF">
        <w:rPr>
          <w:rFonts w:eastAsia="Calibri"/>
          <w:sz w:val="24"/>
          <w:szCs w:val="24"/>
        </w:rPr>
        <w:t xml:space="preserve">If you wish to register your details to be advised once the arrangements for these sessions have been finalised please email </w:t>
      </w:r>
      <w:hyperlink r:id="rId26" w:history="1">
        <w:r w:rsidRPr="00830ECF">
          <w:rPr>
            <w:rStyle w:val="Hyperlink"/>
            <w:rFonts w:eastAsia="Calibri"/>
            <w:sz w:val="24"/>
            <w:szCs w:val="24"/>
          </w:rPr>
          <w:t>GEMSreview@environment.gov.au</w:t>
        </w:r>
      </w:hyperlink>
      <w:r>
        <w:rPr>
          <w:rFonts w:eastAsia="Calibri"/>
          <w:sz w:val="24"/>
          <w:szCs w:val="24"/>
        </w:rPr>
        <w:t>.</w:t>
      </w:r>
    </w:p>
    <w:p w:rsidR="00B14222" w:rsidRPr="00830ECF" w:rsidRDefault="00B14222" w:rsidP="00830ECF">
      <w:pPr>
        <w:suppressAutoHyphens/>
        <w:rPr>
          <w:rFonts w:eastAsia="Calibri"/>
          <w:sz w:val="24"/>
          <w:szCs w:val="24"/>
        </w:rPr>
      </w:pPr>
    </w:p>
    <w:p w:rsidR="00B14222" w:rsidRDefault="00B14222" w:rsidP="00830ECF">
      <w:pPr>
        <w:suppressAutoHyphens/>
        <w:rPr>
          <w:rFonts w:eastAsia="Calibri"/>
          <w:sz w:val="24"/>
          <w:szCs w:val="24"/>
        </w:rPr>
      </w:pPr>
      <w:r w:rsidRPr="00830ECF">
        <w:rPr>
          <w:rFonts w:eastAsia="Calibri"/>
          <w:sz w:val="24"/>
          <w:szCs w:val="24"/>
        </w:rPr>
        <w:t>The Final Report incorporating feedback and responses will be made publicly available upon the completion of the Review.</w:t>
      </w:r>
    </w:p>
    <w:p w:rsidR="002F0E87" w:rsidRPr="00830ECF" w:rsidRDefault="002F0E87" w:rsidP="00830ECF">
      <w:pPr>
        <w:rPr>
          <w:rFonts w:eastAsia="Calibri"/>
          <w:b/>
          <w:sz w:val="24"/>
          <w:szCs w:val="24"/>
        </w:rPr>
      </w:pPr>
    </w:p>
    <w:tbl>
      <w:tblPr>
        <w:tblStyle w:val="TableGrid"/>
        <w:tblW w:w="9356" w:type="dxa"/>
        <w:tblInd w:w="-5" w:type="dxa"/>
        <w:tblLook w:val="04A0" w:firstRow="1" w:lastRow="0" w:firstColumn="1" w:lastColumn="0" w:noHBand="0" w:noVBand="1"/>
        <w:tblDescription w:val="Table comparing Dates against Activities"/>
      </w:tblPr>
      <w:tblGrid>
        <w:gridCol w:w="2268"/>
        <w:gridCol w:w="7088"/>
      </w:tblGrid>
      <w:tr w:rsidR="008E3E67" w:rsidRPr="008E3E67" w:rsidTr="00E12B40">
        <w:trPr>
          <w:cnfStyle w:val="100000000000" w:firstRow="1" w:lastRow="0" w:firstColumn="0" w:lastColumn="0" w:oddVBand="0" w:evenVBand="0" w:oddHBand="0" w:evenHBand="0" w:firstRowFirstColumn="0" w:firstRowLastColumn="0" w:lastRowFirstColumn="0" w:lastRowLastColumn="0"/>
          <w:tblHeader/>
        </w:trPr>
        <w:tc>
          <w:tcPr>
            <w:tcW w:w="2268" w:type="dxa"/>
          </w:tcPr>
          <w:p w:rsidR="008E3E67" w:rsidRPr="008E3E67" w:rsidRDefault="008E3E67" w:rsidP="00F962E4">
            <w:pPr>
              <w:suppressAutoHyphens/>
              <w:spacing w:before="120" w:after="200" w:line="288" w:lineRule="auto"/>
              <w:rPr>
                <w:b/>
                <w:sz w:val="24"/>
                <w:szCs w:val="22"/>
              </w:rPr>
            </w:pPr>
            <w:r w:rsidRPr="008E3E67">
              <w:rPr>
                <w:b/>
                <w:sz w:val="24"/>
                <w:szCs w:val="22"/>
              </w:rPr>
              <w:t>Date</w:t>
            </w:r>
          </w:p>
        </w:tc>
        <w:tc>
          <w:tcPr>
            <w:tcW w:w="7088" w:type="dxa"/>
          </w:tcPr>
          <w:p w:rsidR="008E3E67" w:rsidRPr="008E3E67" w:rsidRDefault="008E3E67" w:rsidP="00F962E4">
            <w:pPr>
              <w:suppressAutoHyphens/>
              <w:spacing w:before="120" w:after="200" w:line="288" w:lineRule="auto"/>
              <w:rPr>
                <w:b/>
                <w:sz w:val="24"/>
                <w:szCs w:val="22"/>
              </w:rPr>
            </w:pPr>
            <w:r w:rsidRPr="008E3E67">
              <w:rPr>
                <w:b/>
                <w:sz w:val="24"/>
                <w:szCs w:val="22"/>
              </w:rPr>
              <w:t>Activity</w:t>
            </w:r>
          </w:p>
        </w:tc>
      </w:tr>
      <w:tr w:rsidR="008E3E67" w:rsidRPr="008E3E67" w:rsidTr="003746C1">
        <w:trPr>
          <w:cnfStyle w:val="000000100000" w:firstRow="0" w:lastRow="0" w:firstColumn="0" w:lastColumn="0" w:oddVBand="0" w:evenVBand="0" w:oddHBand="1" w:evenHBand="0" w:firstRowFirstColumn="0" w:firstRowLastColumn="0" w:lastRowFirstColumn="0" w:lastRowLastColumn="0"/>
        </w:trPr>
        <w:tc>
          <w:tcPr>
            <w:tcW w:w="2268" w:type="dxa"/>
          </w:tcPr>
          <w:p w:rsidR="008E3E67" w:rsidRPr="008E3E67" w:rsidRDefault="00294050" w:rsidP="00F962E4">
            <w:pPr>
              <w:suppressAutoHyphens/>
              <w:spacing w:before="120" w:after="200" w:line="288" w:lineRule="auto"/>
              <w:rPr>
                <w:sz w:val="24"/>
                <w:szCs w:val="22"/>
              </w:rPr>
            </w:pPr>
            <w:r w:rsidRPr="00E73EA9">
              <w:rPr>
                <w:sz w:val="24"/>
                <w:szCs w:val="22"/>
              </w:rPr>
              <w:t>28</w:t>
            </w:r>
            <w:r w:rsidR="00841D46" w:rsidRPr="00E73EA9">
              <w:rPr>
                <w:sz w:val="24"/>
                <w:szCs w:val="22"/>
              </w:rPr>
              <w:t xml:space="preserve"> </w:t>
            </w:r>
            <w:r w:rsidR="008E3E67" w:rsidRPr="00E73EA9">
              <w:rPr>
                <w:sz w:val="24"/>
                <w:szCs w:val="22"/>
              </w:rPr>
              <w:t>February</w:t>
            </w:r>
            <w:r w:rsidR="008E3E67" w:rsidRPr="008E3E67">
              <w:rPr>
                <w:sz w:val="24"/>
                <w:szCs w:val="22"/>
              </w:rPr>
              <w:t xml:space="preserve"> 2018</w:t>
            </w:r>
          </w:p>
        </w:tc>
        <w:tc>
          <w:tcPr>
            <w:tcW w:w="7088" w:type="dxa"/>
          </w:tcPr>
          <w:p w:rsidR="008E3E67" w:rsidRPr="008E3E67" w:rsidRDefault="008E3E67" w:rsidP="00F962E4">
            <w:pPr>
              <w:suppressAutoHyphens/>
              <w:spacing w:before="120" w:after="200" w:line="288" w:lineRule="auto"/>
              <w:rPr>
                <w:sz w:val="24"/>
                <w:szCs w:val="22"/>
              </w:rPr>
            </w:pPr>
            <w:r w:rsidRPr="008E3E67">
              <w:rPr>
                <w:sz w:val="24"/>
                <w:szCs w:val="22"/>
              </w:rPr>
              <w:t>Discussion Paper released</w:t>
            </w:r>
          </w:p>
        </w:tc>
      </w:tr>
      <w:tr w:rsidR="008E3E67" w:rsidRPr="008E3E67" w:rsidTr="003746C1">
        <w:trPr>
          <w:cnfStyle w:val="000000010000" w:firstRow="0" w:lastRow="0" w:firstColumn="0" w:lastColumn="0" w:oddVBand="0" w:evenVBand="0" w:oddHBand="0" w:evenHBand="1" w:firstRowFirstColumn="0" w:firstRowLastColumn="0" w:lastRowFirstColumn="0" w:lastRowLastColumn="0"/>
        </w:trPr>
        <w:tc>
          <w:tcPr>
            <w:tcW w:w="2268" w:type="dxa"/>
          </w:tcPr>
          <w:p w:rsidR="008E3E67" w:rsidRPr="008E3E67" w:rsidRDefault="00294050" w:rsidP="00F962E4">
            <w:pPr>
              <w:suppressAutoHyphens/>
              <w:spacing w:before="120" w:after="200" w:line="288" w:lineRule="auto"/>
              <w:rPr>
                <w:sz w:val="24"/>
                <w:szCs w:val="22"/>
              </w:rPr>
            </w:pPr>
            <w:r w:rsidRPr="00E73EA9">
              <w:rPr>
                <w:sz w:val="24"/>
                <w:szCs w:val="22"/>
              </w:rPr>
              <w:t>28</w:t>
            </w:r>
            <w:r w:rsidR="008E3E67" w:rsidRPr="00E73EA9">
              <w:rPr>
                <w:sz w:val="24"/>
                <w:szCs w:val="22"/>
              </w:rPr>
              <w:t xml:space="preserve"> March</w:t>
            </w:r>
            <w:r w:rsidR="008E3E67" w:rsidRPr="008E3E67">
              <w:rPr>
                <w:sz w:val="24"/>
                <w:szCs w:val="22"/>
              </w:rPr>
              <w:t xml:space="preserve"> 2018</w:t>
            </w:r>
          </w:p>
        </w:tc>
        <w:tc>
          <w:tcPr>
            <w:tcW w:w="7088" w:type="dxa"/>
          </w:tcPr>
          <w:p w:rsidR="008E3E67" w:rsidRPr="008E3E67" w:rsidRDefault="008E3E67" w:rsidP="00F962E4">
            <w:pPr>
              <w:suppressAutoHyphens/>
              <w:spacing w:before="120" w:after="200" w:line="288" w:lineRule="auto"/>
              <w:rPr>
                <w:sz w:val="24"/>
                <w:szCs w:val="22"/>
              </w:rPr>
            </w:pPr>
            <w:r w:rsidRPr="008E3E67">
              <w:rPr>
                <w:sz w:val="24"/>
                <w:szCs w:val="22"/>
              </w:rPr>
              <w:t xml:space="preserve">Submissions on Discussion Paper close </w:t>
            </w:r>
            <w:r w:rsidR="0078496A">
              <w:rPr>
                <w:sz w:val="24"/>
                <w:szCs w:val="22"/>
              </w:rPr>
              <w:br/>
            </w:r>
            <w:r w:rsidRPr="008E3E67">
              <w:rPr>
                <w:sz w:val="24"/>
                <w:szCs w:val="22"/>
              </w:rPr>
              <w:t xml:space="preserve">(see instructions on </w:t>
            </w:r>
            <w:r w:rsidR="006F3D4F">
              <w:rPr>
                <w:sz w:val="24"/>
                <w:szCs w:val="22"/>
              </w:rPr>
              <w:t>p</w:t>
            </w:r>
            <w:r w:rsidRPr="008E3E67">
              <w:rPr>
                <w:sz w:val="24"/>
                <w:szCs w:val="22"/>
              </w:rPr>
              <w:t>age</w:t>
            </w:r>
            <w:r>
              <w:rPr>
                <w:sz w:val="24"/>
                <w:szCs w:val="22"/>
              </w:rPr>
              <w:t> </w:t>
            </w:r>
            <w:r w:rsidR="00470D3E">
              <w:rPr>
                <w:sz w:val="24"/>
                <w:szCs w:val="22"/>
              </w:rPr>
              <w:t>1</w:t>
            </w:r>
            <w:r w:rsidRPr="008E3E67">
              <w:rPr>
                <w:sz w:val="24"/>
                <w:szCs w:val="22"/>
              </w:rPr>
              <w:t>)</w:t>
            </w:r>
          </w:p>
        </w:tc>
      </w:tr>
      <w:tr w:rsidR="008E3E67" w:rsidRPr="008E3E67" w:rsidTr="003746C1">
        <w:trPr>
          <w:cnfStyle w:val="000000100000" w:firstRow="0" w:lastRow="0" w:firstColumn="0" w:lastColumn="0" w:oddVBand="0" w:evenVBand="0" w:oddHBand="1" w:evenHBand="0" w:firstRowFirstColumn="0" w:firstRowLastColumn="0" w:lastRowFirstColumn="0" w:lastRowLastColumn="0"/>
        </w:trPr>
        <w:tc>
          <w:tcPr>
            <w:tcW w:w="2268" w:type="dxa"/>
          </w:tcPr>
          <w:p w:rsidR="008E3E67" w:rsidRPr="008E3E67" w:rsidRDefault="008E3E67" w:rsidP="00F962E4">
            <w:pPr>
              <w:suppressAutoHyphens/>
              <w:spacing w:before="120" w:after="200" w:line="288" w:lineRule="auto"/>
              <w:rPr>
                <w:sz w:val="24"/>
                <w:szCs w:val="22"/>
              </w:rPr>
            </w:pPr>
            <w:r w:rsidRPr="008E3E67">
              <w:rPr>
                <w:sz w:val="24"/>
                <w:szCs w:val="22"/>
              </w:rPr>
              <w:t>May</w:t>
            </w:r>
            <w:r w:rsidR="0015011C">
              <w:rPr>
                <w:sz w:val="24"/>
                <w:szCs w:val="22"/>
              </w:rPr>
              <w:t>/June</w:t>
            </w:r>
            <w:r w:rsidRPr="008E3E67">
              <w:rPr>
                <w:sz w:val="24"/>
                <w:szCs w:val="22"/>
              </w:rPr>
              <w:t xml:space="preserve"> 2018</w:t>
            </w:r>
          </w:p>
        </w:tc>
        <w:tc>
          <w:tcPr>
            <w:tcW w:w="7088" w:type="dxa"/>
          </w:tcPr>
          <w:p w:rsidR="008E3E67" w:rsidRPr="008E3E67" w:rsidRDefault="008E3E67" w:rsidP="00F962E4">
            <w:pPr>
              <w:suppressAutoHyphens/>
              <w:spacing w:before="120" w:after="200" w:line="288" w:lineRule="auto"/>
              <w:rPr>
                <w:sz w:val="24"/>
                <w:szCs w:val="22"/>
              </w:rPr>
            </w:pPr>
            <w:r w:rsidRPr="008E3E67">
              <w:rPr>
                <w:sz w:val="24"/>
                <w:szCs w:val="22"/>
              </w:rPr>
              <w:t>Draft Report released</w:t>
            </w:r>
          </w:p>
        </w:tc>
      </w:tr>
      <w:tr w:rsidR="008E3E67" w:rsidRPr="008E3E67" w:rsidTr="003746C1">
        <w:trPr>
          <w:cnfStyle w:val="000000010000" w:firstRow="0" w:lastRow="0" w:firstColumn="0" w:lastColumn="0" w:oddVBand="0" w:evenVBand="0" w:oddHBand="0" w:evenHBand="1" w:firstRowFirstColumn="0" w:firstRowLastColumn="0" w:lastRowFirstColumn="0" w:lastRowLastColumn="0"/>
        </w:trPr>
        <w:tc>
          <w:tcPr>
            <w:tcW w:w="2268" w:type="dxa"/>
          </w:tcPr>
          <w:p w:rsidR="008E3E67" w:rsidRPr="008E3E67" w:rsidRDefault="008E3E67" w:rsidP="00F962E4">
            <w:pPr>
              <w:suppressAutoHyphens/>
              <w:spacing w:before="120" w:after="200" w:line="288" w:lineRule="auto"/>
              <w:rPr>
                <w:sz w:val="24"/>
                <w:szCs w:val="22"/>
              </w:rPr>
            </w:pPr>
            <w:r w:rsidRPr="008E3E67">
              <w:rPr>
                <w:sz w:val="24"/>
                <w:szCs w:val="22"/>
              </w:rPr>
              <w:t>June 2018</w:t>
            </w:r>
          </w:p>
        </w:tc>
        <w:tc>
          <w:tcPr>
            <w:tcW w:w="7088" w:type="dxa"/>
          </w:tcPr>
          <w:p w:rsidR="008E3E67" w:rsidRPr="008E3E67" w:rsidRDefault="008E3E67">
            <w:pPr>
              <w:suppressAutoHyphens/>
              <w:spacing w:before="120" w:after="200" w:line="288" w:lineRule="auto"/>
              <w:rPr>
                <w:sz w:val="24"/>
                <w:szCs w:val="22"/>
              </w:rPr>
            </w:pPr>
            <w:r w:rsidRPr="008E3E67">
              <w:rPr>
                <w:sz w:val="24"/>
                <w:szCs w:val="22"/>
              </w:rPr>
              <w:t>Roundtable consultations</w:t>
            </w:r>
          </w:p>
        </w:tc>
      </w:tr>
      <w:tr w:rsidR="003746C1" w:rsidTr="003746C1">
        <w:trPr>
          <w:cnfStyle w:val="000000100000" w:firstRow="0" w:lastRow="0" w:firstColumn="0" w:lastColumn="0" w:oddVBand="0" w:evenVBand="0" w:oddHBand="1" w:evenHBand="0" w:firstRowFirstColumn="0" w:firstRowLastColumn="0" w:lastRowFirstColumn="0" w:lastRowLastColumn="0"/>
        </w:trPr>
        <w:tc>
          <w:tcPr>
            <w:tcW w:w="2268" w:type="dxa"/>
          </w:tcPr>
          <w:p w:rsidR="003746C1" w:rsidRPr="003746C1" w:rsidRDefault="003746C1" w:rsidP="00F962E4">
            <w:pPr>
              <w:suppressAutoHyphens/>
              <w:spacing w:before="120" w:after="200" w:line="288" w:lineRule="auto"/>
              <w:rPr>
                <w:sz w:val="24"/>
                <w:szCs w:val="22"/>
              </w:rPr>
            </w:pPr>
            <w:r w:rsidRPr="003746C1">
              <w:rPr>
                <w:sz w:val="24"/>
                <w:szCs w:val="22"/>
              </w:rPr>
              <w:t>June</w:t>
            </w:r>
            <w:r w:rsidR="0015011C">
              <w:rPr>
                <w:sz w:val="24"/>
                <w:szCs w:val="22"/>
              </w:rPr>
              <w:t>/July</w:t>
            </w:r>
            <w:r w:rsidRPr="003746C1">
              <w:rPr>
                <w:sz w:val="24"/>
                <w:szCs w:val="22"/>
              </w:rPr>
              <w:t xml:space="preserve"> 2018</w:t>
            </w:r>
          </w:p>
        </w:tc>
        <w:tc>
          <w:tcPr>
            <w:tcW w:w="7088" w:type="dxa"/>
          </w:tcPr>
          <w:p w:rsidR="003746C1" w:rsidRPr="003746C1" w:rsidRDefault="003746C1" w:rsidP="00F962E4">
            <w:pPr>
              <w:suppressAutoHyphens/>
              <w:spacing w:before="120" w:after="200" w:line="288" w:lineRule="auto"/>
              <w:rPr>
                <w:sz w:val="24"/>
                <w:szCs w:val="22"/>
              </w:rPr>
            </w:pPr>
            <w:r w:rsidRPr="003746C1">
              <w:rPr>
                <w:sz w:val="24"/>
                <w:szCs w:val="22"/>
              </w:rPr>
              <w:t>Written submissions on Draft Report close</w:t>
            </w:r>
          </w:p>
        </w:tc>
      </w:tr>
      <w:tr w:rsidR="003746C1" w:rsidTr="003746C1">
        <w:trPr>
          <w:cnfStyle w:val="000000010000" w:firstRow="0" w:lastRow="0" w:firstColumn="0" w:lastColumn="0" w:oddVBand="0" w:evenVBand="0" w:oddHBand="0" w:evenHBand="1" w:firstRowFirstColumn="0" w:firstRowLastColumn="0" w:lastRowFirstColumn="0" w:lastRowLastColumn="0"/>
        </w:trPr>
        <w:tc>
          <w:tcPr>
            <w:tcW w:w="2268" w:type="dxa"/>
          </w:tcPr>
          <w:p w:rsidR="003746C1" w:rsidRPr="003746C1" w:rsidRDefault="003746C1" w:rsidP="00F962E4">
            <w:pPr>
              <w:suppressAutoHyphens/>
              <w:spacing w:before="120" w:after="200" w:line="288" w:lineRule="auto"/>
              <w:rPr>
                <w:sz w:val="24"/>
                <w:szCs w:val="22"/>
              </w:rPr>
            </w:pPr>
            <w:r w:rsidRPr="003746C1">
              <w:rPr>
                <w:sz w:val="24"/>
                <w:szCs w:val="22"/>
              </w:rPr>
              <w:t>Mid-2018</w:t>
            </w:r>
          </w:p>
        </w:tc>
        <w:tc>
          <w:tcPr>
            <w:tcW w:w="7088" w:type="dxa"/>
          </w:tcPr>
          <w:p w:rsidR="003746C1" w:rsidRPr="003746C1" w:rsidRDefault="00E73EA9" w:rsidP="00F962E4">
            <w:pPr>
              <w:suppressAutoHyphens/>
              <w:spacing w:before="120" w:after="200" w:line="288" w:lineRule="auto"/>
              <w:rPr>
                <w:sz w:val="24"/>
                <w:szCs w:val="22"/>
              </w:rPr>
            </w:pPr>
            <w:r>
              <w:rPr>
                <w:sz w:val="24"/>
                <w:szCs w:val="22"/>
              </w:rPr>
              <w:t>Final R</w:t>
            </w:r>
            <w:r w:rsidR="003746C1" w:rsidRPr="003746C1">
              <w:rPr>
                <w:sz w:val="24"/>
                <w:szCs w:val="22"/>
              </w:rPr>
              <w:t>eport released</w:t>
            </w:r>
          </w:p>
        </w:tc>
      </w:tr>
    </w:tbl>
    <w:p w:rsidR="00714F56" w:rsidRDefault="00714F56" w:rsidP="00F962E4">
      <w:pPr>
        <w:suppressAutoHyphens/>
        <w:spacing w:line="288" w:lineRule="auto"/>
        <w:rPr>
          <w:rFonts w:cs="MyriadPro-Regular"/>
          <w:color w:val="000000"/>
          <w:sz w:val="52"/>
          <w:szCs w:val="52"/>
          <w:vertAlign w:val="superscript"/>
          <w:lang w:val="en-US"/>
        </w:rPr>
      </w:pPr>
    </w:p>
    <w:p w:rsidR="0075170B" w:rsidRDefault="0075170B" w:rsidP="00F962E4">
      <w:pPr>
        <w:suppressAutoHyphens/>
        <w:spacing w:line="288" w:lineRule="auto"/>
        <w:rPr>
          <w:rFonts w:cs="MyriadPro-Regular"/>
          <w:color w:val="000000"/>
          <w:sz w:val="52"/>
          <w:szCs w:val="52"/>
          <w:lang w:val="en-US"/>
        </w:rPr>
      </w:pPr>
      <w:r>
        <w:br w:type="page"/>
      </w:r>
    </w:p>
    <w:p w:rsidR="00830ECF" w:rsidRDefault="00EB1CB2" w:rsidP="00F962E4">
      <w:pPr>
        <w:pStyle w:val="Subhead1"/>
        <w:spacing w:line="288" w:lineRule="auto"/>
      </w:pPr>
      <w:bookmarkStart w:id="108" w:name="_Toc501610442"/>
      <w:bookmarkStart w:id="109" w:name="_Toc507145484"/>
      <w:r>
        <w:t>Appendix A: Terms of R</w:t>
      </w:r>
      <w:r w:rsidR="00ED2CF5">
        <w:t>eference</w:t>
      </w:r>
      <w:bookmarkEnd w:id="108"/>
      <w:bookmarkEnd w:id="109"/>
    </w:p>
    <w:p w:rsidR="009A3738" w:rsidRPr="009A3738" w:rsidRDefault="009A3738" w:rsidP="009A3738">
      <w:pPr>
        <w:spacing w:after="200" w:line="276" w:lineRule="auto"/>
        <w:rPr>
          <w:rFonts w:eastAsia="Calibri"/>
          <w:b/>
          <w:sz w:val="24"/>
          <w:szCs w:val="24"/>
        </w:rPr>
      </w:pPr>
      <w:r w:rsidRPr="009A3738">
        <w:rPr>
          <w:rFonts w:eastAsia="Calibri"/>
          <w:b/>
          <w:sz w:val="24"/>
          <w:szCs w:val="24"/>
        </w:rPr>
        <w:t>Introduction</w:t>
      </w:r>
    </w:p>
    <w:p w:rsidR="009A3738" w:rsidRPr="009A3738" w:rsidRDefault="009A3738" w:rsidP="009A3738">
      <w:pPr>
        <w:suppressAutoHyphens/>
        <w:spacing w:after="200" w:line="276" w:lineRule="auto"/>
        <w:rPr>
          <w:rFonts w:eastAsia="Calibri"/>
          <w:sz w:val="24"/>
          <w:szCs w:val="24"/>
        </w:rPr>
      </w:pPr>
      <w:r w:rsidRPr="009A3738">
        <w:rPr>
          <w:rFonts w:eastAsia="Calibri"/>
          <w:sz w:val="24"/>
          <w:szCs w:val="24"/>
        </w:rPr>
        <w:t xml:space="preserve">The </w:t>
      </w:r>
      <w:r w:rsidRPr="009A3738">
        <w:rPr>
          <w:rFonts w:eastAsia="Calibri"/>
          <w:i/>
          <w:sz w:val="24"/>
          <w:szCs w:val="24"/>
        </w:rPr>
        <w:t>Greenhouse and Energy Minimum Standards Act 2012</w:t>
      </w:r>
      <w:r w:rsidRPr="009A3738">
        <w:rPr>
          <w:rFonts w:eastAsia="Calibri"/>
          <w:sz w:val="24"/>
          <w:szCs w:val="24"/>
        </w:rPr>
        <w:t xml:space="preserve"> (GEMS Act) implements the commitments of the Australian Government and the Council of Australian Governments (COAG) to establish national legislation to regulate energy efficiency and labelling standards for appliances and other products. The national legislation permits the Australian Government to set mandatory minimum efficiency requirements for products to drive greater energy efficiency. The Act also allows the Australian Government to set nationally-consistent labelling requirements, to increase Australians’ awareness of options to improve energy efficiency and reduce energy consumption, energy costs and greenhouse gas emissions. </w:t>
      </w:r>
    </w:p>
    <w:p w:rsidR="009A3738" w:rsidRPr="009A3738" w:rsidRDefault="009A3738" w:rsidP="009A3738">
      <w:pPr>
        <w:suppressAutoHyphens/>
        <w:spacing w:after="200" w:line="276" w:lineRule="auto"/>
        <w:rPr>
          <w:rFonts w:eastAsia="Calibri"/>
          <w:sz w:val="24"/>
          <w:szCs w:val="24"/>
        </w:rPr>
      </w:pPr>
      <w:r w:rsidRPr="009A3738">
        <w:rPr>
          <w:rFonts w:eastAsia="Calibri"/>
          <w:sz w:val="24"/>
          <w:szCs w:val="24"/>
        </w:rPr>
        <w:t xml:space="preserve">Clause 176 of the GEMS Act requires a review of the operation of the Act as soon as possible after the fifth anniversary of its commencement date (1 October 2012). As a program that is expected to continue well into the future, and face changing requirements necessary to meet the significant challenge of reducing Australia’s energy consumption and greenhouse gas emissions, the operation of the Act also must be reviewed every ten years after the first review. </w:t>
      </w:r>
    </w:p>
    <w:p w:rsidR="009A3738" w:rsidRPr="009A3738" w:rsidRDefault="009A3738" w:rsidP="009A3738">
      <w:pPr>
        <w:suppressAutoHyphens/>
        <w:spacing w:after="200" w:line="276" w:lineRule="auto"/>
        <w:rPr>
          <w:rFonts w:eastAsia="Calibri"/>
          <w:b/>
          <w:sz w:val="24"/>
          <w:szCs w:val="24"/>
        </w:rPr>
      </w:pPr>
      <w:r w:rsidRPr="009A3738">
        <w:rPr>
          <w:rFonts w:eastAsia="Calibri"/>
          <w:b/>
          <w:sz w:val="24"/>
          <w:szCs w:val="24"/>
        </w:rPr>
        <w:t>Scope</w:t>
      </w:r>
    </w:p>
    <w:p w:rsidR="009A3738" w:rsidRPr="009A3738" w:rsidRDefault="009A3738" w:rsidP="009A3738">
      <w:pPr>
        <w:suppressAutoHyphens/>
        <w:spacing w:after="100" w:line="276" w:lineRule="auto"/>
        <w:rPr>
          <w:rFonts w:eastAsia="Calibri"/>
          <w:sz w:val="24"/>
          <w:szCs w:val="24"/>
        </w:rPr>
      </w:pPr>
      <w:r w:rsidRPr="009A3738">
        <w:rPr>
          <w:rFonts w:eastAsia="Calibri"/>
          <w:sz w:val="24"/>
          <w:szCs w:val="24"/>
        </w:rPr>
        <w:t xml:space="preserve">The independent review will fulfil the requirements of Clause 176 of the GEMS Act. The review will evaluate, </w:t>
      </w:r>
      <w:proofErr w:type="gramStart"/>
      <w:r w:rsidRPr="009A3738">
        <w:rPr>
          <w:rFonts w:eastAsia="Calibri"/>
          <w:sz w:val="24"/>
          <w:szCs w:val="24"/>
        </w:rPr>
        <w:t>advise</w:t>
      </w:r>
      <w:proofErr w:type="gramEnd"/>
      <w:r w:rsidRPr="009A3738">
        <w:rPr>
          <w:rFonts w:eastAsia="Calibri"/>
          <w:sz w:val="24"/>
          <w:szCs w:val="24"/>
        </w:rPr>
        <w:t xml:space="preserve"> and report on the items listed below:</w:t>
      </w:r>
    </w:p>
    <w:p w:rsidR="009A3738" w:rsidRPr="009A3738" w:rsidRDefault="009A3738" w:rsidP="009A3738">
      <w:pPr>
        <w:pStyle w:val="ListNumber"/>
        <w:suppressAutoHyphens/>
        <w:spacing w:line="360" w:lineRule="auto"/>
        <w:rPr>
          <w:rFonts w:eastAsia="Calibri"/>
          <w:sz w:val="24"/>
          <w:szCs w:val="24"/>
        </w:rPr>
      </w:pPr>
      <w:r w:rsidRPr="009A3738">
        <w:rPr>
          <w:rFonts w:eastAsia="Calibri"/>
          <w:sz w:val="24"/>
          <w:szCs w:val="24"/>
        </w:rPr>
        <w:t>The extent to which the framework (including systems and procedures) established by the GEMS Act is achieving its purpose.</w:t>
      </w:r>
    </w:p>
    <w:p w:rsidR="009A3738" w:rsidRPr="009A3738" w:rsidRDefault="009A3738" w:rsidP="009A3738">
      <w:pPr>
        <w:pStyle w:val="ListNumber"/>
        <w:suppressAutoHyphens/>
        <w:spacing w:line="360" w:lineRule="auto"/>
        <w:rPr>
          <w:rFonts w:eastAsia="Calibri"/>
          <w:sz w:val="24"/>
          <w:szCs w:val="24"/>
        </w:rPr>
      </w:pPr>
      <w:r w:rsidRPr="009A3738">
        <w:rPr>
          <w:rFonts w:eastAsia="Calibri"/>
          <w:sz w:val="24"/>
          <w:szCs w:val="24"/>
        </w:rPr>
        <w:t>Improvements that could be made to the operation of the GEMS Act, including any costs and impacts on stakeholders.</w:t>
      </w:r>
    </w:p>
    <w:p w:rsidR="009A3738" w:rsidRPr="009A3738" w:rsidRDefault="009A3738" w:rsidP="009A3738">
      <w:pPr>
        <w:numPr>
          <w:ilvl w:val="1"/>
          <w:numId w:val="2"/>
        </w:numPr>
        <w:suppressAutoHyphens/>
        <w:spacing w:after="100" w:line="360" w:lineRule="auto"/>
        <w:rPr>
          <w:rFonts w:eastAsia="Calibri"/>
          <w:sz w:val="24"/>
          <w:szCs w:val="24"/>
        </w:rPr>
      </w:pPr>
      <w:r w:rsidRPr="009A3738">
        <w:rPr>
          <w:rFonts w:eastAsia="Calibri"/>
          <w:sz w:val="24"/>
          <w:szCs w:val="24"/>
        </w:rPr>
        <w:t>Particular attention should be given to improvements that will lead to an increased reduction in greenhouse gas emissions.</w:t>
      </w:r>
    </w:p>
    <w:p w:rsidR="009A3738" w:rsidRPr="009A3738" w:rsidRDefault="009A3738" w:rsidP="009A3738">
      <w:pPr>
        <w:pStyle w:val="ListNumber"/>
        <w:suppressAutoHyphens/>
        <w:spacing w:line="360" w:lineRule="auto"/>
        <w:rPr>
          <w:rFonts w:eastAsia="Calibri"/>
          <w:sz w:val="24"/>
          <w:szCs w:val="24"/>
        </w:rPr>
      </w:pPr>
      <w:r w:rsidRPr="009A3738">
        <w:rPr>
          <w:rFonts w:eastAsia="Calibri"/>
          <w:sz w:val="24"/>
          <w:szCs w:val="24"/>
        </w:rPr>
        <w:t>Implementation and transition actions to facilitate improvements to the Act identified at point 2.</w:t>
      </w:r>
    </w:p>
    <w:p w:rsidR="009A3738" w:rsidRPr="009A3738" w:rsidRDefault="009A3738" w:rsidP="009A3738">
      <w:pPr>
        <w:pStyle w:val="ListNumber"/>
        <w:suppressAutoHyphens/>
        <w:spacing w:line="360" w:lineRule="auto"/>
        <w:rPr>
          <w:rFonts w:eastAsia="Calibri"/>
          <w:sz w:val="24"/>
          <w:szCs w:val="24"/>
        </w:rPr>
      </w:pPr>
      <w:r w:rsidRPr="009A3738">
        <w:rPr>
          <w:rFonts w:eastAsia="Calibri"/>
          <w:sz w:val="24"/>
          <w:szCs w:val="24"/>
        </w:rPr>
        <w:t xml:space="preserve">Any other matters including environmental, cost, technical and regulatory issues relevant to the operation of the Act. </w:t>
      </w:r>
    </w:p>
    <w:p w:rsidR="009A3738" w:rsidRPr="009A3738" w:rsidRDefault="009A3738" w:rsidP="009A3738">
      <w:pPr>
        <w:suppressAutoHyphens/>
        <w:spacing w:after="100" w:line="276" w:lineRule="auto"/>
        <w:rPr>
          <w:rFonts w:eastAsia="Calibri"/>
          <w:sz w:val="24"/>
          <w:szCs w:val="24"/>
        </w:rPr>
      </w:pPr>
      <w:r w:rsidRPr="009A3738">
        <w:rPr>
          <w:rFonts w:eastAsia="Calibri"/>
          <w:sz w:val="24"/>
          <w:szCs w:val="24"/>
        </w:rPr>
        <w:t xml:space="preserve">The reviewer will be assisted by considering the following issues in relation to the GEMS Act: </w:t>
      </w:r>
    </w:p>
    <w:p w:rsidR="009A3738" w:rsidRPr="009A3738" w:rsidRDefault="009A3738" w:rsidP="009A3738">
      <w:pPr>
        <w:numPr>
          <w:ilvl w:val="0"/>
          <w:numId w:val="11"/>
        </w:numPr>
        <w:suppressAutoHyphens/>
        <w:spacing w:after="100" w:line="276" w:lineRule="auto"/>
        <w:ind w:left="357" w:hanging="357"/>
        <w:rPr>
          <w:rFonts w:eastAsia="Calibri"/>
          <w:sz w:val="24"/>
          <w:szCs w:val="24"/>
        </w:rPr>
      </w:pPr>
      <w:r w:rsidRPr="009A3738">
        <w:rPr>
          <w:rFonts w:eastAsia="Calibri"/>
          <w:sz w:val="24"/>
          <w:szCs w:val="24"/>
        </w:rPr>
        <w:t>The level of actual and required agility of the Act to respond to changing dynamics (for example, technological changes, increasing proportion of online sales, integrated products, less specific product categories).</w:t>
      </w:r>
    </w:p>
    <w:p w:rsidR="009A3738" w:rsidRPr="009A3738" w:rsidRDefault="009A3738" w:rsidP="009A3738">
      <w:pPr>
        <w:numPr>
          <w:ilvl w:val="0"/>
          <w:numId w:val="11"/>
        </w:numPr>
        <w:suppressAutoHyphens/>
        <w:spacing w:after="100" w:line="276" w:lineRule="auto"/>
        <w:ind w:left="357" w:hanging="357"/>
        <w:rPr>
          <w:rFonts w:eastAsia="Calibri"/>
          <w:sz w:val="24"/>
          <w:szCs w:val="24"/>
        </w:rPr>
      </w:pPr>
      <w:r w:rsidRPr="009A3738">
        <w:rPr>
          <w:rFonts w:eastAsia="Calibri"/>
          <w:sz w:val="24"/>
          <w:szCs w:val="24"/>
        </w:rPr>
        <w:t xml:space="preserve">The ability of the GEMS Act to provide for adequate compliance arrangements for new and bespoke products. </w:t>
      </w:r>
    </w:p>
    <w:p w:rsidR="009A3738" w:rsidRPr="009A3738" w:rsidRDefault="009A3738" w:rsidP="009A3738">
      <w:pPr>
        <w:numPr>
          <w:ilvl w:val="0"/>
          <w:numId w:val="11"/>
        </w:numPr>
        <w:suppressAutoHyphens/>
        <w:spacing w:after="100" w:line="276" w:lineRule="auto"/>
        <w:ind w:left="357" w:hanging="357"/>
        <w:rPr>
          <w:rFonts w:eastAsia="Calibri"/>
          <w:sz w:val="24"/>
          <w:szCs w:val="24"/>
        </w:rPr>
      </w:pPr>
      <w:r w:rsidRPr="009A3738">
        <w:rPr>
          <w:rFonts w:eastAsia="Calibri"/>
          <w:sz w:val="24"/>
          <w:szCs w:val="24"/>
        </w:rPr>
        <w:t xml:space="preserve">Administrative challenges (current and anticipated) faced by businesses and the GEMS Regulator. </w:t>
      </w:r>
    </w:p>
    <w:p w:rsidR="009A3738" w:rsidRPr="009A3738" w:rsidRDefault="009A3738" w:rsidP="009A3738">
      <w:pPr>
        <w:numPr>
          <w:ilvl w:val="0"/>
          <w:numId w:val="11"/>
        </w:numPr>
        <w:suppressAutoHyphens/>
        <w:spacing w:after="200" w:line="276" w:lineRule="auto"/>
        <w:rPr>
          <w:rFonts w:eastAsia="Calibri"/>
          <w:sz w:val="24"/>
          <w:szCs w:val="24"/>
        </w:rPr>
      </w:pPr>
      <w:r w:rsidRPr="009A3738">
        <w:rPr>
          <w:rFonts w:eastAsia="Calibri"/>
          <w:sz w:val="24"/>
          <w:szCs w:val="24"/>
        </w:rPr>
        <w:t xml:space="preserve">Whether there is a role for guidance about when mandatory standards are more useful and when other approaches might be more suitable. </w:t>
      </w:r>
    </w:p>
    <w:p w:rsidR="009A3738" w:rsidRPr="009A3738" w:rsidRDefault="009A3738" w:rsidP="009A3738">
      <w:pPr>
        <w:suppressAutoHyphens/>
        <w:spacing w:after="200" w:line="276" w:lineRule="auto"/>
        <w:rPr>
          <w:rFonts w:eastAsia="Calibri"/>
          <w:i/>
          <w:iCs/>
          <w:color w:val="1F497D"/>
          <w:sz w:val="24"/>
          <w:szCs w:val="24"/>
        </w:rPr>
      </w:pPr>
      <w:r w:rsidRPr="009A3738">
        <w:rPr>
          <w:rFonts w:eastAsia="Calibri"/>
          <w:sz w:val="24"/>
          <w:szCs w:val="24"/>
        </w:rPr>
        <w:t xml:space="preserve">As far as possible, the review will meet the requirements of a RIS-like process and as such, will answer the questions as per the guidance note on Independent Reviews, RIS-like Processes and the Regulation Impact Statement requirements: </w:t>
      </w:r>
      <w:hyperlink r:id="rId27" w:history="1">
        <w:r w:rsidRPr="009A3738">
          <w:rPr>
            <w:rFonts w:eastAsia="Calibri"/>
            <w:iCs/>
            <w:color w:val="0000FF"/>
            <w:sz w:val="24"/>
            <w:szCs w:val="24"/>
            <w:u w:val="single"/>
          </w:rPr>
          <w:t>http://www.dpmc.gov.au/resource-centre/regulation/independent-reviews-and-ris-process-guidance-note</w:t>
        </w:r>
      </w:hyperlink>
      <w:r w:rsidRPr="009A3738">
        <w:rPr>
          <w:rFonts w:eastAsia="Calibri"/>
          <w:i/>
          <w:iCs/>
          <w:color w:val="1F497D"/>
          <w:sz w:val="24"/>
          <w:szCs w:val="24"/>
        </w:rPr>
        <w:t>.</w:t>
      </w:r>
    </w:p>
    <w:p w:rsidR="009A3738" w:rsidRPr="009A3738" w:rsidRDefault="009A3738" w:rsidP="009A3738">
      <w:pPr>
        <w:suppressAutoHyphens/>
        <w:spacing w:after="200" w:line="276" w:lineRule="auto"/>
        <w:rPr>
          <w:rFonts w:eastAsia="Calibri"/>
          <w:b/>
          <w:sz w:val="24"/>
          <w:szCs w:val="24"/>
        </w:rPr>
      </w:pPr>
      <w:r w:rsidRPr="009A3738">
        <w:rPr>
          <w:rFonts w:eastAsia="Calibri"/>
          <w:b/>
          <w:sz w:val="24"/>
          <w:szCs w:val="24"/>
        </w:rPr>
        <w:t>Governance and Deliverables</w:t>
      </w:r>
    </w:p>
    <w:p w:rsidR="009A3738" w:rsidRPr="009A3738" w:rsidRDefault="009A3738" w:rsidP="009A3738">
      <w:pPr>
        <w:suppressAutoHyphens/>
        <w:spacing w:after="200" w:line="276" w:lineRule="auto"/>
        <w:rPr>
          <w:rFonts w:eastAsia="Calibri"/>
          <w:sz w:val="24"/>
          <w:szCs w:val="24"/>
        </w:rPr>
      </w:pPr>
      <w:r w:rsidRPr="009A3738">
        <w:rPr>
          <w:rFonts w:eastAsia="Calibri"/>
          <w:sz w:val="24"/>
          <w:szCs w:val="24"/>
        </w:rPr>
        <w:t xml:space="preserve">The review will be undertaken by an independent reviewer contracted by the Department of the Environment and Energy. The independent reviewer will be supported by a secretariat in the Department and will provide regular updates to the COAG Energy Council’s Energy Efficiency Advisory Team. </w:t>
      </w:r>
    </w:p>
    <w:p w:rsidR="009A3738" w:rsidRPr="009A3738" w:rsidRDefault="009A3738" w:rsidP="009A3738">
      <w:pPr>
        <w:suppressAutoHyphens/>
        <w:spacing w:after="200" w:line="276" w:lineRule="auto"/>
        <w:rPr>
          <w:rFonts w:eastAsia="Calibri"/>
          <w:sz w:val="24"/>
          <w:szCs w:val="24"/>
        </w:rPr>
      </w:pPr>
      <w:r w:rsidRPr="009A3738">
        <w:rPr>
          <w:rFonts w:eastAsia="Calibri"/>
          <w:sz w:val="24"/>
          <w:szCs w:val="24"/>
        </w:rPr>
        <w:t xml:space="preserve">A written report of the review will be given to the Minister. </w:t>
      </w:r>
    </w:p>
    <w:p w:rsidR="009A3738" w:rsidRPr="009A3738" w:rsidRDefault="009A3738" w:rsidP="009A3738">
      <w:pPr>
        <w:suppressAutoHyphens/>
        <w:spacing w:after="200" w:line="276" w:lineRule="auto"/>
        <w:rPr>
          <w:rFonts w:eastAsia="Calibri"/>
          <w:b/>
          <w:sz w:val="24"/>
          <w:szCs w:val="24"/>
        </w:rPr>
      </w:pPr>
      <w:r w:rsidRPr="009A3738">
        <w:rPr>
          <w:rFonts w:eastAsia="Calibri"/>
          <w:b/>
          <w:sz w:val="24"/>
          <w:szCs w:val="24"/>
        </w:rPr>
        <w:t xml:space="preserve">Timeframe and Methodology </w:t>
      </w:r>
    </w:p>
    <w:p w:rsidR="009A3738" w:rsidRPr="009A3738" w:rsidRDefault="009A3738" w:rsidP="009A3738">
      <w:pPr>
        <w:suppressAutoHyphens/>
        <w:spacing w:after="200" w:line="276" w:lineRule="auto"/>
        <w:rPr>
          <w:rFonts w:eastAsia="Calibri"/>
          <w:sz w:val="24"/>
          <w:szCs w:val="24"/>
        </w:rPr>
      </w:pPr>
      <w:r w:rsidRPr="009A3738">
        <w:rPr>
          <w:rFonts w:eastAsia="Calibri"/>
          <w:sz w:val="24"/>
          <w:szCs w:val="24"/>
        </w:rPr>
        <w:t xml:space="preserve">The independent review will commence as soon as possible after 1 October 2017, and provide a written report to the Minister by mid-2018. </w:t>
      </w:r>
    </w:p>
    <w:p w:rsidR="009A3738" w:rsidRPr="009A3738" w:rsidRDefault="009A3738" w:rsidP="009A3738">
      <w:pPr>
        <w:suppressAutoHyphens/>
        <w:spacing w:after="200" w:line="276" w:lineRule="auto"/>
        <w:rPr>
          <w:rFonts w:eastAsia="Calibri"/>
          <w:sz w:val="24"/>
          <w:szCs w:val="24"/>
        </w:rPr>
      </w:pPr>
      <w:r w:rsidRPr="009A3738">
        <w:rPr>
          <w:rFonts w:eastAsia="Calibri"/>
          <w:sz w:val="24"/>
          <w:szCs w:val="24"/>
        </w:rPr>
        <w:t>The independent review will, as relevant, consider:</w:t>
      </w:r>
    </w:p>
    <w:p w:rsidR="009A3738" w:rsidRPr="009A3738" w:rsidRDefault="009A3738" w:rsidP="009A3738">
      <w:pPr>
        <w:numPr>
          <w:ilvl w:val="0"/>
          <w:numId w:val="11"/>
        </w:numPr>
        <w:suppressAutoHyphens/>
        <w:spacing w:after="200" w:line="276" w:lineRule="auto"/>
        <w:rPr>
          <w:rFonts w:eastAsia="Calibri"/>
          <w:sz w:val="24"/>
          <w:szCs w:val="24"/>
        </w:rPr>
      </w:pPr>
      <w:r w:rsidRPr="009A3738">
        <w:rPr>
          <w:rFonts w:eastAsia="Calibri"/>
          <w:sz w:val="24"/>
          <w:szCs w:val="24"/>
        </w:rPr>
        <w:t>submissions from, and consultations with, business, consumer groups, the community and relevant Commonwealth, New Zealand, state and territory agencies;</w:t>
      </w:r>
    </w:p>
    <w:p w:rsidR="009A3738" w:rsidRPr="009A3738" w:rsidRDefault="009A3738" w:rsidP="009A3738">
      <w:pPr>
        <w:numPr>
          <w:ilvl w:val="0"/>
          <w:numId w:val="11"/>
        </w:numPr>
        <w:suppressAutoHyphens/>
        <w:spacing w:after="200" w:line="276" w:lineRule="auto"/>
        <w:rPr>
          <w:rFonts w:eastAsia="Calibri"/>
          <w:sz w:val="24"/>
          <w:szCs w:val="24"/>
        </w:rPr>
      </w:pPr>
      <w:proofErr w:type="gramStart"/>
      <w:r w:rsidRPr="009A3738">
        <w:rPr>
          <w:rFonts w:eastAsia="Calibri"/>
          <w:sz w:val="24"/>
          <w:szCs w:val="24"/>
        </w:rPr>
        <w:t>the</w:t>
      </w:r>
      <w:proofErr w:type="gramEnd"/>
      <w:r w:rsidRPr="009A3738">
        <w:rPr>
          <w:rFonts w:eastAsia="Calibri"/>
          <w:sz w:val="24"/>
          <w:szCs w:val="24"/>
        </w:rPr>
        <w:t xml:space="preserve"> reports and outcomes of recent reviews in relation to GEMS, such as the </w:t>
      </w:r>
      <w:r w:rsidRPr="009A3738">
        <w:rPr>
          <w:rFonts w:eastAsia="Calibri"/>
          <w:i/>
          <w:sz w:val="24"/>
          <w:szCs w:val="24"/>
        </w:rPr>
        <w:t>2014</w:t>
      </w:r>
      <w:r w:rsidRPr="009A3738">
        <w:rPr>
          <w:rFonts w:eastAsia="Calibri"/>
          <w:i/>
          <w:sz w:val="24"/>
          <w:szCs w:val="24"/>
        </w:rPr>
        <w:noBreakHyphen/>
        <w:t>15 Review of the Inter-Governmental Agreement for the GEMS Legislative Scheme</w:t>
      </w:r>
      <w:r w:rsidRPr="009A3738">
        <w:rPr>
          <w:rFonts w:eastAsia="Calibri"/>
          <w:sz w:val="24"/>
          <w:szCs w:val="24"/>
        </w:rPr>
        <w:t xml:space="preserve"> and the </w:t>
      </w:r>
      <w:r w:rsidRPr="009A3738">
        <w:rPr>
          <w:rFonts w:eastAsia="Calibri"/>
          <w:i/>
          <w:sz w:val="24"/>
          <w:szCs w:val="24"/>
        </w:rPr>
        <w:t>2016-17 GEMS Fees Review</w:t>
      </w:r>
      <w:r w:rsidRPr="009A3738">
        <w:rPr>
          <w:rFonts w:eastAsia="Calibri"/>
          <w:sz w:val="24"/>
          <w:szCs w:val="24"/>
        </w:rPr>
        <w:t xml:space="preserve">. </w:t>
      </w:r>
    </w:p>
    <w:p w:rsidR="009A3738" w:rsidRPr="009A3738" w:rsidRDefault="009A3738" w:rsidP="009A3738">
      <w:pPr>
        <w:suppressAutoHyphens/>
        <w:spacing w:after="200" w:line="276" w:lineRule="auto"/>
        <w:rPr>
          <w:rFonts w:eastAsia="Calibri"/>
          <w:sz w:val="24"/>
          <w:szCs w:val="24"/>
        </w:rPr>
      </w:pPr>
      <w:r w:rsidRPr="009A3738">
        <w:rPr>
          <w:rFonts w:eastAsia="Calibri"/>
          <w:sz w:val="24"/>
          <w:szCs w:val="24"/>
        </w:rPr>
        <w:t xml:space="preserve">The independent review will meet the requirements of the COAG Best Practice Regulation Guidelines and Australian Government Guide to Regulation. </w:t>
      </w:r>
    </w:p>
    <w:p w:rsidR="00830ECF" w:rsidRDefault="00830ECF">
      <w:pPr>
        <w:rPr>
          <w:rFonts w:cs="MyriadPro-Regular"/>
          <w:color w:val="000000"/>
          <w:sz w:val="52"/>
          <w:szCs w:val="52"/>
          <w:lang w:val="en-US"/>
        </w:rPr>
      </w:pPr>
      <w:r>
        <w:br w:type="page"/>
      </w:r>
    </w:p>
    <w:p w:rsidR="00830ECF" w:rsidRDefault="00830ECF" w:rsidP="00830ECF">
      <w:pPr>
        <w:pStyle w:val="Subhead1"/>
        <w:spacing w:line="288" w:lineRule="auto"/>
      </w:pPr>
      <w:bookmarkStart w:id="110" w:name="_Toc507145485"/>
      <w:r>
        <w:t>Appendix B: GEMS impact calculations</w:t>
      </w:r>
      <w:bookmarkEnd w:id="110"/>
    </w:p>
    <w:p w:rsidR="00C12200" w:rsidRDefault="00C12200" w:rsidP="003F5A3D">
      <w:pPr>
        <w:suppressAutoHyphens/>
        <w:spacing w:after="200" w:line="288" w:lineRule="auto"/>
        <w:rPr>
          <w:rFonts w:eastAsia="Calibri"/>
          <w:b/>
          <w:sz w:val="24"/>
          <w:szCs w:val="24"/>
        </w:rPr>
      </w:pPr>
      <w:r>
        <w:rPr>
          <w:rFonts w:eastAsia="Calibri"/>
          <w:b/>
          <w:sz w:val="24"/>
          <w:szCs w:val="24"/>
        </w:rPr>
        <w:t>Data</w:t>
      </w:r>
    </w:p>
    <w:p w:rsidR="00830ECF" w:rsidRPr="00830ECF" w:rsidRDefault="00830ECF" w:rsidP="003F5A3D">
      <w:pPr>
        <w:suppressAutoHyphens/>
        <w:spacing w:after="200" w:line="288" w:lineRule="auto"/>
        <w:rPr>
          <w:rFonts w:eastAsia="Calibri"/>
          <w:sz w:val="24"/>
          <w:szCs w:val="24"/>
        </w:rPr>
      </w:pPr>
      <w:r w:rsidRPr="00830ECF">
        <w:rPr>
          <w:rFonts w:eastAsia="Calibri"/>
          <w:sz w:val="24"/>
          <w:szCs w:val="24"/>
        </w:rPr>
        <w:t>The costs and benefits estimates for GEMS have been calculated using historical data on regulated appliances.</w:t>
      </w:r>
      <w:r w:rsidRPr="00C12200">
        <w:rPr>
          <w:rFonts w:eastAsia="Calibri"/>
          <w:b/>
          <w:i/>
          <w:sz w:val="24"/>
          <w:szCs w:val="24"/>
        </w:rPr>
        <w:t xml:space="preserve"> </w:t>
      </w:r>
      <w:r w:rsidRPr="00586F84">
        <w:rPr>
          <w:rFonts w:eastAsia="Calibri"/>
          <w:sz w:val="24"/>
          <w:szCs w:val="24"/>
        </w:rPr>
        <w:t>The sales of white goods and consumer electronics have been recorded since 2000.</w:t>
      </w:r>
      <w:r w:rsidRPr="00D73F09">
        <w:rPr>
          <w:rFonts w:eastAsia="Calibri"/>
          <w:sz w:val="24"/>
          <w:szCs w:val="24"/>
        </w:rPr>
        <w:t xml:space="preserve"> </w:t>
      </w:r>
      <w:r w:rsidRPr="00830ECF">
        <w:rPr>
          <w:rFonts w:eastAsia="Calibri"/>
          <w:sz w:val="24"/>
          <w:szCs w:val="24"/>
        </w:rPr>
        <w:t>Every product that is regulated under GEMS and sold in Australia has submitted a test report on efficiency. Matching these two data sets provides very detailed data on the efficiency, cost and sales number of almost every product regulated by GEMS. In some cases, sales data is not available and in these cases biannual surveys of over 1000 sales are used to estimate sales trends.</w:t>
      </w:r>
    </w:p>
    <w:p w:rsidR="00C12200" w:rsidRPr="00C12200" w:rsidRDefault="00C12200" w:rsidP="003F5A3D">
      <w:pPr>
        <w:suppressAutoHyphens/>
        <w:spacing w:after="200" w:line="288" w:lineRule="auto"/>
        <w:rPr>
          <w:rFonts w:eastAsia="Calibri"/>
          <w:b/>
          <w:sz w:val="24"/>
          <w:szCs w:val="24"/>
        </w:rPr>
      </w:pPr>
      <w:r w:rsidRPr="00C12200">
        <w:rPr>
          <w:rFonts w:eastAsia="Calibri"/>
          <w:b/>
          <w:sz w:val="24"/>
          <w:szCs w:val="24"/>
        </w:rPr>
        <w:t>Efficiency</w:t>
      </w:r>
      <w:r>
        <w:rPr>
          <w:rFonts w:eastAsia="Calibri"/>
          <w:b/>
          <w:sz w:val="24"/>
          <w:szCs w:val="24"/>
        </w:rPr>
        <w:t xml:space="preserve"> calculations</w:t>
      </w:r>
    </w:p>
    <w:p w:rsidR="00830ECF" w:rsidRDefault="00830ECF" w:rsidP="003F5A3D">
      <w:pPr>
        <w:suppressAutoHyphens/>
        <w:spacing w:after="200" w:line="288" w:lineRule="auto"/>
        <w:rPr>
          <w:rFonts w:eastAsia="Calibri"/>
          <w:sz w:val="24"/>
          <w:szCs w:val="24"/>
        </w:rPr>
      </w:pPr>
      <w:r w:rsidRPr="00830ECF">
        <w:rPr>
          <w:rFonts w:eastAsia="Calibri"/>
          <w:sz w:val="24"/>
          <w:szCs w:val="24"/>
        </w:rPr>
        <w:t xml:space="preserve">Using this data, the department builds up stock models of previous years. The department then overlays information about the regulations that were put in place so it can be </w:t>
      </w:r>
      <w:r w:rsidR="001232A3" w:rsidRPr="00830ECF">
        <w:rPr>
          <w:rFonts w:eastAsia="Calibri"/>
          <w:sz w:val="24"/>
          <w:szCs w:val="24"/>
        </w:rPr>
        <w:t>seen which</w:t>
      </w:r>
      <w:r w:rsidRPr="00830ECF">
        <w:rPr>
          <w:rFonts w:eastAsia="Calibri"/>
          <w:sz w:val="24"/>
          <w:szCs w:val="24"/>
        </w:rPr>
        <w:t xml:space="preserve"> products the regulations removed and how suppliers reacted to the regulation. For example did they all manufacture products that just met the new efficiency standard or did they make significant improvements? The trends over time are investigated to see how long it took suppliers to substantially improve to the point at which the regulation no longer had an effect. This will often correspond to a technology change or moves internationally to increase efficiency levels which have flow on effects domestically. The difference in cost between the old and new products is taken as the cost to the consumer of the regulations. Often there is no noticeable cost to the consumer from a regulation, however in some cases the costs can be significant.</w:t>
      </w:r>
    </w:p>
    <w:p w:rsidR="00C12200" w:rsidRPr="00C12200" w:rsidRDefault="00C12200" w:rsidP="003F5A3D">
      <w:pPr>
        <w:suppressAutoHyphens/>
        <w:spacing w:after="200" w:line="288" w:lineRule="auto"/>
        <w:rPr>
          <w:rFonts w:eastAsia="Calibri"/>
          <w:b/>
          <w:sz w:val="24"/>
          <w:szCs w:val="24"/>
        </w:rPr>
      </w:pPr>
      <w:r w:rsidRPr="00C12200">
        <w:rPr>
          <w:rFonts w:eastAsia="Calibri"/>
          <w:b/>
          <w:sz w:val="24"/>
          <w:szCs w:val="24"/>
        </w:rPr>
        <w:t>Labelling</w:t>
      </w:r>
    </w:p>
    <w:p w:rsidR="00830ECF" w:rsidRPr="00830ECF" w:rsidRDefault="00830ECF" w:rsidP="003F5A3D">
      <w:pPr>
        <w:suppressAutoHyphens/>
        <w:spacing w:after="200" w:line="288" w:lineRule="auto"/>
        <w:rPr>
          <w:rFonts w:eastAsia="Calibri"/>
          <w:sz w:val="24"/>
          <w:szCs w:val="24"/>
        </w:rPr>
      </w:pPr>
      <w:r w:rsidRPr="00830ECF">
        <w:rPr>
          <w:rFonts w:eastAsia="Calibri"/>
          <w:sz w:val="24"/>
          <w:szCs w:val="24"/>
        </w:rPr>
        <w:t xml:space="preserve">The impact of how consumers are responding to information provided on energy rating labels is estimated by comparing the average efficiency of products manufacturers place on the market, with the sales weighted efficiency in any one year. The theory being, manufacturers will put a range of products out to the market, and if the label is having an impact, then consumers will purchase more of the higher star products. </w:t>
      </w:r>
    </w:p>
    <w:p w:rsidR="00C12200" w:rsidRPr="00C12200" w:rsidRDefault="00C12200" w:rsidP="003F5A3D">
      <w:pPr>
        <w:suppressAutoHyphens/>
        <w:spacing w:after="200" w:line="288" w:lineRule="auto"/>
        <w:rPr>
          <w:rFonts w:eastAsia="Calibri"/>
          <w:b/>
          <w:sz w:val="24"/>
          <w:szCs w:val="24"/>
        </w:rPr>
      </w:pPr>
      <w:r w:rsidRPr="00C12200">
        <w:rPr>
          <w:rFonts w:eastAsia="Calibri"/>
          <w:b/>
          <w:sz w:val="24"/>
          <w:szCs w:val="24"/>
        </w:rPr>
        <w:t>Range of estimates</w:t>
      </w:r>
    </w:p>
    <w:p w:rsidR="00BE40D5" w:rsidRPr="00830ECF" w:rsidRDefault="00830ECF" w:rsidP="003F5A3D">
      <w:pPr>
        <w:suppressAutoHyphens/>
        <w:spacing w:after="200" w:line="288" w:lineRule="auto"/>
        <w:rPr>
          <w:rFonts w:eastAsia="Calibri"/>
          <w:sz w:val="24"/>
          <w:szCs w:val="24"/>
        </w:rPr>
      </w:pPr>
      <w:r w:rsidRPr="00830ECF">
        <w:rPr>
          <w:rFonts w:eastAsia="Calibri"/>
          <w:sz w:val="24"/>
          <w:szCs w:val="24"/>
        </w:rPr>
        <w:t xml:space="preserve">The net benefits are always described as a high and low figure, this includes all the statistical errors that are inherent to the data being used. The high and low figures, represent around an 80 per cent confidence interval. Without </w:t>
      </w:r>
      <w:r w:rsidR="00C12200">
        <w:rPr>
          <w:rFonts w:eastAsia="Calibri"/>
          <w:sz w:val="24"/>
          <w:szCs w:val="24"/>
        </w:rPr>
        <w:t>the ability to</w:t>
      </w:r>
      <w:r w:rsidRPr="00830ECF">
        <w:rPr>
          <w:rFonts w:eastAsia="Calibri"/>
          <w:sz w:val="24"/>
          <w:szCs w:val="24"/>
        </w:rPr>
        <w:t xml:space="preserve"> meter every appliance in every home before and after a regulation the department could not provide a single point estimate of the costs and benefits</w:t>
      </w:r>
    </w:p>
    <w:sectPr w:rsidR="00BE40D5" w:rsidRPr="00830ECF" w:rsidSect="00202628">
      <w:pgSz w:w="11900" w:h="16840"/>
      <w:pgMar w:top="1153" w:right="720" w:bottom="720" w:left="720" w:header="726" w:footer="720" w:gutter="0"/>
      <w:pgNumType w:start="3"/>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386" w:rsidRDefault="003B5386">
      <w:r>
        <w:separator/>
      </w:r>
    </w:p>
  </w:endnote>
  <w:endnote w:type="continuationSeparator" w:id="0">
    <w:p w:rsidR="003B5386" w:rsidRDefault="003B5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Pro-Regular">
    <w:altName w:val="Times New Roman"/>
    <w:charset w:val="00"/>
    <w:family w:val="auto"/>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charset w:val="00"/>
    <w:family w:val="auto"/>
    <w:pitch w:val="variable"/>
    <w:sig w:usb0="60000287" w:usb1="00000001" w:usb2="00000000" w:usb3="00000000" w:csb0="0000019F" w:csb1="00000000"/>
  </w:font>
  <w:font w:name="AGaramondPro-Regular">
    <w:altName w:val="Times New Roman"/>
    <w:charset w:val="00"/>
    <w:family w:val="auto"/>
    <w:pitch w:val="variable"/>
    <w:sig w:usb0="00000001" w:usb1="00000001" w:usb2="00000000" w:usb3="00000000" w:csb0="00000093" w:csb1="00000000"/>
  </w:font>
  <w:font w:name="MyriadPro-Semibold">
    <w:charset w:val="00"/>
    <w:family w:val="auto"/>
    <w:pitch w:val="variable"/>
    <w:sig w:usb0="20000287" w:usb1="00000001" w:usb2="00000000" w:usb3="00000000" w:csb0="0000019F" w:csb1="00000000"/>
  </w:font>
  <w:font w:name="Adobe Garamond Pro">
    <w:altName w:val="Nyala"/>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GaramondPro-Semibold">
    <w:altName w:val="Times New Roman"/>
    <w:charset w:val="00"/>
    <w:family w:val="auto"/>
    <w:pitch w:val="variable"/>
    <w:sig w:usb0="00000001" w:usb1="00000001"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40" w:rsidRDefault="00E12B40" w:rsidP="00DC08FC">
    <w:pPr>
      <w:pStyle w:val="Footer"/>
      <w:tabs>
        <w:tab w:val="clear" w:pos="9026"/>
        <w:tab w:val="left" w:pos="6735"/>
        <w:tab w:val="left" w:pos="7350"/>
      </w:tabs>
      <w:spacing w:before="240"/>
    </w:pPr>
    <w:r>
      <w:rPr>
        <w:rStyle w:val="PageNumber"/>
      </w:rPr>
      <w:fldChar w:fldCharType="begin"/>
    </w:r>
    <w:r>
      <w:rPr>
        <w:rStyle w:val="PageNumber"/>
      </w:rPr>
      <w:instrText xml:space="preserve">PAGE  </w:instrText>
    </w:r>
    <w:r>
      <w:rPr>
        <w:rStyle w:val="PageNumber"/>
      </w:rPr>
      <w:fldChar w:fldCharType="separate"/>
    </w:r>
    <w:r w:rsidR="00064958">
      <w:rPr>
        <w:rStyle w:val="PageNumber"/>
        <w:noProof/>
      </w:rPr>
      <w:t>19</w:t>
    </w:r>
    <w:r>
      <w:rPr>
        <w:rStyle w:val="PageNumber"/>
      </w:rPr>
      <w:fldChar w:fldCharType="end"/>
    </w:r>
    <w:r>
      <w:rPr>
        <w:rStyle w:val="PageNumber"/>
      </w:rPr>
      <w:t xml:space="preserve"> | Independent Review of the GEMS Act 2012</w:t>
    </w:r>
    <w:r w:rsidRPr="00D4693F">
      <w:rPr>
        <w:rStyle w:val="PageNumber"/>
      </w:rPr>
      <w:t xml:space="preserve"> Discussion Paper</w:t>
    </w:r>
  </w:p>
  <w:p w:rsidR="00E12B40" w:rsidRDefault="00E12B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386" w:rsidRDefault="003B5386">
      <w:r>
        <w:separator/>
      </w:r>
    </w:p>
  </w:footnote>
  <w:footnote w:type="continuationSeparator" w:id="0">
    <w:p w:rsidR="003B5386" w:rsidRDefault="003B5386">
      <w:r>
        <w:continuationSeparator/>
      </w:r>
    </w:p>
  </w:footnote>
  <w:footnote w:id="1">
    <w:p w:rsidR="00E12B40" w:rsidRDefault="00E12B40">
      <w:pPr>
        <w:pStyle w:val="FootnoteText"/>
      </w:pPr>
      <w:r>
        <w:rPr>
          <w:rStyle w:val="FootnoteReference"/>
        </w:rPr>
        <w:footnoteRef/>
      </w:r>
      <w:r>
        <w:t xml:space="preserve"> New Zealand participates under </w:t>
      </w:r>
      <w:r w:rsidRPr="003F7BC3">
        <w:t xml:space="preserve">the </w:t>
      </w:r>
      <w:r w:rsidRPr="00DE7AB5">
        <w:rPr>
          <w:i/>
        </w:rPr>
        <w:t>Energy Efficiency (Energy Using Products) Regulations 2002</w:t>
      </w:r>
      <w:r>
        <w:t xml:space="preserve">, which is not part of this review. </w:t>
      </w:r>
    </w:p>
  </w:footnote>
  <w:footnote w:id="2">
    <w:p w:rsidR="00E12B40" w:rsidRDefault="00E12B40" w:rsidP="00707A0D">
      <w:pPr>
        <w:pStyle w:val="FootnoteText"/>
      </w:pPr>
      <w:r>
        <w:rPr>
          <w:rStyle w:val="FootnoteReference"/>
        </w:rPr>
        <w:footnoteRef/>
      </w:r>
      <w:r>
        <w:t xml:space="preserve"> </w:t>
      </w:r>
      <w:r>
        <w:rPr>
          <w:i/>
        </w:rPr>
        <w:t>Use for a commercial purpose</w:t>
      </w:r>
      <w:r>
        <w:t xml:space="preserve"> is where a company manufactures a product in, or imports it into, Australia for use in its own business. A supply event does not take place in Australia in these circumstances.</w:t>
      </w:r>
    </w:p>
  </w:footnote>
  <w:footnote w:id="3">
    <w:p w:rsidR="00E12B40" w:rsidRDefault="00E12B40" w:rsidP="00707A0D">
      <w:pPr>
        <w:pStyle w:val="FootnoteText"/>
      </w:pPr>
      <w:r>
        <w:rPr>
          <w:rStyle w:val="FootnoteReference"/>
        </w:rPr>
        <w:footnoteRef/>
      </w:r>
      <w:r>
        <w:t xml:space="preserve"> </w:t>
      </w:r>
      <w:hyperlink r:id="rId1" w:history="1">
        <w:r w:rsidRPr="00021547">
          <w:rPr>
            <w:rStyle w:val="Hyperlink"/>
          </w:rPr>
          <w:t>http://energyrating.gov.au/document/gems-iga-signed</w:t>
        </w:r>
      </w:hyperlink>
    </w:p>
  </w:footnote>
  <w:footnote w:id="4">
    <w:p w:rsidR="00E12B40" w:rsidRDefault="00E12B40" w:rsidP="00707A0D">
      <w:pPr>
        <w:pStyle w:val="FootnoteText"/>
      </w:pPr>
      <w:r>
        <w:rPr>
          <w:rStyle w:val="FootnoteReference"/>
        </w:rPr>
        <w:footnoteRef/>
      </w:r>
      <w:r>
        <w:t xml:space="preserve"> </w:t>
      </w:r>
      <w:hyperlink r:id="rId2" w:history="1">
        <w:r w:rsidRPr="00E54700">
          <w:rPr>
            <w:rStyle w:val="Hyperlink"/>
          </w:rPr>
          <w:t>https://www.cuttingredtape.gov.au/resources/rpf</w:t>
        </w:r>
      </w:hyperlink>
    </w:p>
  </w:footnote>
  <w:footnote w:id="5">
    <w:p w:rsidR="00E12B40" w:rsidRDefault="00E12B40" w:rsidP="0007134E">
      <w:pPr>
        <w:pStyle w:val="FootnoteText"/>
      </w:pPr>
      <w:r>
        <w:rPr>
          <w:rStyle w:val="FootnoteReference"/>
        </w:rPr>
        <w:footnoteRef/>
      </w:r>
      <w:r>
        <w:t xml:space="preserve"> </w:t>
      </w:r>
      <w:hyperlink r:id="rId3" w:history="1">
        <w:r w:rsidRPr="00354426">
          <w:rPr>
            <w:rStyle w:val="Hyperlink"/>
          </w:rPr>
          <w:t>http://www.energyrating.gov.au/news/gems-review-released</w:t>
        </w:r>
      </w:hyperlink>
    </w:p>
  </w:footnote>
  <w:footnote w:id="6">
    <w:p w:rsidR="00E12B40" w:rsidRDefault="00E12B40" w:rsidP="00354426">
      <w:pPr>
        <w:pStyle w:val="FootnoteText"/>
      </w:pPr>
      <w:r>
        <w:rPr>
          <w:rStyle w:val="FootnoteReference"/>
        </w:rPr>
        <w:footnoteRef/>
      </w:r>
      <w:r>
        <w:t xml:space="preserve"> </w:t>
      </w:r>
      <w:hyperlink r:id="rId4" w:history="1">
        <w:r w:rsidRPr="00354426">
          <w:rPr>
            <w:rStyle w:val="Hyperlink"/>
          </w:rPr>
          <w:t>http://www.energyrating.gov.au/suppliers/registration/regulated-products</w:t>
        </w:r>
      </w:hyperlink>
    </w:p>
  </w:footnote>
  <w:footnote w:id="7">
    <w:p w:rsidR="00E12B40" w:rsidRPr="00B2180B" w:rsidRDefault="00E12B40" w:rsidP="00807E4C">
      <w:pPr>
        <w:pStyle w:val="FootnoteText"/>
      </w:pPr>
      <w:r>
        <w:rPr>
          <w:rStyle w:val="FootnoteReference"/>
        </w:rPr>
        <w:footnoteRef/>
      </w:r>
      <w:r>
        <w:t xml:space="preserve"> </w:t>
      </w:r>
      <w:r>
        <w:rPr>
          <w:i/>
        </w:rPr>
        <w:t>Use for a commercial purpose</w:t>
      </w:r>
      <w:r>
        <w:t xml:space="preserve"> is where a company manufactures a product in, or imports it into, Australia for use in its own business. A supply event does not take place in Australia in these circumstances.</w:t>
      </w:r>
    </w:p>
  </w:footnote>
  <w:footnote w:id="8">
    <w:p w:rsidR="00E12B40" w:rsidRDefault="00E12B40" w:rsidP="002B74DA">
      <w:pPr>
        <w:pStyle w:val="FootnoteText"/>
      </w:pPr>
      <w:r>
        <w:rPr>
          <w:rStyle w:val="FootnoteReference"/>
        </w:rPr>
        <w:footnoteRef/>
      </w:r>
      <w:r>
        <w:t xml:space="preserve"> </w:t>
      </w:r>
      <w:hyperlink r:id="rId5" w:history="1">
        <w:r w:rsidRPr="007A2CD1">
          <w:rPr>
            <w:rStyle w:val="Hyperlink"/>
          </w:rPr>
          <w:t>https://www.iea-4e.org/document/408/effectiveness-of-energy-efficiency-voluntary-agreements</w:t>
        </w:r>
      </w:hyperlink>
    </w:p>
  </w:footnote>
  <w:footnote w:id="9">
    <w:p w:rsidR="00E12B40" w:rsidRDefault="00E12B40">
      <w:pPr>
        <w:pStyle w:val="FootnoteText"/>
      </w:pPr>
      <w:r>
        <w:rPr>
          <w:rStyle w:val="FootnoteReference"/>
        </w:rPr>
        <w:footnoteRef/>
      </w:r>
      <w:r>
        <w:t xml:space="preserve"> </w:t>
      </w:r>
      <w:r w:rsidRPr="00B36882">
        <w:t>It is also a registration requirement to declare whether a device is demand response capable.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40" w:rsidRDefault="00E12B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40" w:rsidRDefault="00E12B40">
    <w:pPr>
      <w:pStyle w:val="Header"/>
    </w:pPr>
  </w:p>
  <w:p w:rsidR="00E12B40" w:rsidRDefault="00E12B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40" w:rsidRDefault="00E12B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40" w:rsidRDefault="00E12B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40" w:rsidRDefault="00E12B4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40" w:rsidRDefault="00E12B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3FC546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DB806F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3484598"/>
    <w:lvl w:ilvl="0">
      <w:start w:val="1"/>
      <w:numFmt w:val="decimal"/>
      <w:pStyle w:val="ListNumber"/>
      <w:lvlText w:val="%1."/>
      <w:lvlJc w:val="left"/>
      <w:pPr>
        <w:tabs>
          <w:tab w:val="num" w:pos="360"/>
        </w:tabs>
        <w:ind w:left="360" w:hanging="360"/>
      </w:pPr>
      <w:rPr>
        <w:b w:val="0"/>
        <w:i w:val="0"/>
      </w:rPr>
    </w:lvl>
  </w:abstractNum>
  <w:abstractNum w:abstractNumId="3" w15:restartNumberingAfterBreak="0">
    <w:nsid w:val="FFFFFF89"/>
    <w:multiLevelType w:val="singleLevel"/>
    <w:tmpl w:val="0B4247B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5" w15:restartNumberingAfterBreak="0">
    <w:nsid w:val="05DE3D0F"/>
    <w:multiLevelType w:val="hybridMultilevel"/>
    <w:tmpl w:val="356AA7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AF41A2"/>
    <w:multiLevelType w:val="hybridMultilevel"/>
    <w:tmpl w:val="3402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7C731C"/>
    <w:multiLevelType w:val="hybridMultilevel"/>
    <w:tmpl w:val="49E66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9D362D"/>
    <w:multiLevelType w:val="hybridMultilevel"/>
    <w:tmpl w:val="23EA12C4"/>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F57E90"/>
    <w:multiLevelType w:val="hybridMultilevel"/>
    <w:tmpl w:val="50F4FC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AF27C6"/>
    <w:multiLevelType w:val="hybridMultilevel"/>
    <w:tmpl w:val="33F221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0E1FD3"/>
    <w:multiLevelType w:val="hybridMultilevel"/>
    <w:tmpl w:val="1A105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78D75DD"/>
    <w:multiLevelType w:val="hybridMultilevel"/>
    <w:tmpl w:val="BDBAF8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6126FB"/>
    <w:multiLevelType w:val="hybridMultilevel"/>
    <w:tmpl w:val="3A0E94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710A0F"/>
    <w:multiLevelType w:val="hybridMultilevel"/>
    <w:tmpl w:val="A10823F4"/>
    <w:lvl w:ilvl="0" w:tplc="0C090001">
      <w:start w:val="1"/>
      <w:numFmt w:val="bullet"/>
      <w:lvlText w:val=""/>
      <w:lvlJc w:val="left"/>
      <w:pPr>
        <w:ind w:left="6456" w:hanging="360"/>
      </w:pPr>
      <w:rPr>
        <w:rFonts w:ascii="Symbol" w:hAnsi="Symbol" w:hint="default"/>
      </w:rPr>
    </w:lvl>
    <w:lvl w:ilvl="1" w:tplc="8A6490C2">
      <w:start w:val="1"/>
      <w:numFmt w:val="bullet"/>
      <w:lvlText w:val=""/>
      <w:lvlJc w:val="left"/>
      <w:pPr>
        <w:ind w:left="1440"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940325"/>
    <w:multiLevelType w:val="hybridMultilevel"/>
    <w:tmpl w:val="98C2C2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527977"/>
    <w:multiLevelType w:val="hybridMultilevel"/>
    <w:tmpl w:val="3E1871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3637FD"/>
    <w:multiLevelType w:val="hybridMultilevel"/>
    <w:tmpl w:val="235840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902F50"/>
    <w:multiLevelType w:val="hybridMultilevel"/>
    <w:tmpl w:val="A2A4DF4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1546A5"/>
    <w:multiLevelType w:val="hybridMultilevel"/>
    <w:tmpl w:val="ECE6EBC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D15E77"/>
    <w:multiLevelType w:val="hybridMultilevel"/>
    <w:tmpl w:val="66868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84855D0"/>
    <w:multiLevelType w:val="hybridMultilevel"/>
    <w:tmpl w:val="BF082C02"/>
    <w:lvl w:ilvl="0" w:tplc="B9E401E6">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2" w15:restartNumberingAfterBreak="0">
    <w:nsid w:val="6BB12563"/>
    <w:multiLevelType w:val="hybridMultilevel"/>
    <w:tmpl w:val="7180AE50"/>
    <w:lvl w:ilvl="0" w:tplc="57944DCE">
      <w:start w:val="1"/>
      <w:numFmt w:val="bullet"/>
      <w:pStyle w:val="Bullets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FB0BDB"/>
    <w:multiLevelType w:val="hybridMultilevel"/>
    <w:tmpl w:val="0ECE32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5E5F30"/>
    <w:multiLevelType w:val="hybridMultilevel"/>
    <w:tmpl w:val="184ECD70"/>
    <w:lvl w:ilvl="0" w:tplc="0C090017">
      <w:start w:val="1"/>
      <w:numFmt w:val="lowerLett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5" w15:restartNumberingAfterBreak="0">
    <w:nsid w:val="76852A16"/>
    <w:multiLevelType w:val="hybridMultilevel"/>
    <w:tmpl w:val="94A87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3040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C45486D"/>
    <w:multiLevelType w:val="hybridMultilevel"/>
    <w:tmpl w:val="692C19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4F2569"/>
    <w:multiLevelType w:val="hybridMultilevel"/>
    <w:tmpl w:val="EFF07E24"/>
    <w:lvl w:ilvl="0" w:tplc="0C090001">
      <w:start w:val="1"/>
      <w:numFmt w:val="bullet"/>
      <w:lvlText w:val=""/>
      <w:lvlJc w:val="left"/>
      <w:pPr>
        <w:ind w:left="645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891C9F"/>
    <w:multiLevelType w:val="hybridMultilevel"/>
    <w:tmpl w:val="6C9AD8B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9"/>
  </w:num>
  <w:num w:numId="3">
    <w:abstractNumId w:val="15"/>
  </w:num>
  <w:num w:numId="4">
    <w:abstractNumId w:val="3"/>
  </w:num>
  <w:num w:numId="5">
    <w:abstractNumId w:val="1"/>
  </w:num>
  <w:num w:numId="6">
    <w:abstractNumId w:val="28"/>
  </w:num>
  <w:num w:numId="7">
    <w:abstractNumId w:val="0"/>
  </w:num>
  <w:num w:numId="8">
    <w:abstractNumId w:val="4"/>
  </w:num>
  <w:num w:numId="9">
    <w:abstractNumId w:val="21"/>
  </w:num>
  <w:num w:numId="10">
    <w:abstractNumId w:val="2"/>
  </w:num>
  <w:num w:numId="11">
    <w:abstractNumId w:val="20"/>
  </w:num>
  <w:num w:numId="12">
    <w:abstractNumId w:val="14"/>
  </w:num>
  <w:num w:numId="13">
    <w:abstractNumId w:val="8"/>
  </w:num>
  <w:num w:numId="14">
    <w:abstractNumId w:val="6"/>
  </w:num>
  <w:num w:numId="15">
    <w:abstractNumId w:val="25"/>
  </w:num>
  <w:num w:numId="16">
    <w:abstractNumId w:val="7"/>
  </w:num>
  <w:num w:numId="17">
    <w:abstractNumId w:val="3"/>
  </w:num>
  <w:num w:numId="18">
    <w:abstractNumId w:val="3"/>
  </w:num>
  <w:num w:numId="19">
    <w:abstractNumId w:val="3"/>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11"/>
  </w:num>
  <w:num w:numId="29">
    <w:abstractNumId w:val="26"/>
  </w:num>
  <w:num w:numId="30">
    <w:abstractNumId w:val="24"/>
  </w:num>
  <w:num w:numId="31">
    <w:abstractNumId w:val="17"/>
  </w:num>
  <w:num w:numId="32">
    <w:abstractNumId w:val="23"/>
  </w:num>
  <w:num w:numId="33">
    <w:abstractNumId w:val="10"/>
  </w:num>
  <w:num w:numId="34">
    <w:abstractNumId w:val="5"/>
  </w:num>
  <w:num w:numId="35">
    <w:abstractNumId w:val="27"/>
  </w:num>
  <w:num w:numId="36">
    <w:abstractNumId w:val="13"/>
  </w:num>
  <w:num w:numId="37">
    <w:abstractNumId w:val="29"/>
  </w:num>
  <w:num w:numId="38">
    <w:abstractNumId w:val="12"/>
  </w:num>
  <w:num w:numId="39">
    <w:abstractNumId w:val="16"/>
  </w:num>
  <w:num w:numId="40">
    <w:abstractNumId w:val="19"/>
  </w:num>
  <w:num w:numId="41">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00"/>
  <w:drawingGridVerticalSpacing w:val="136"/>
  <w:displayHorizontalDrawingGridEvery w:val="0"/>
  <w:displayVerticalDrawingGridEvery w:val="2"/>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6EB"/>
    <w:rsid w:val="00000342"/>
    <w:rsid w:val="00002BA5"/>
    <w:rsid w:val="0001088F"/>
    <w:rsid w:val="0001293D"/>
    <w:rsid w:val="00013177"/>
    <w:rsid w:val="00014CA7"/>
    <w:rsid w:val="0002111E"/>
    <w:rsid w:val="00021547"/>
    <w:rsid w:val="000217FD"/>
    <w:rsid w:val="00023A0E"/>
    <w:rsid w:val="0004326F"/>
    <w:rsid w:val="000444B1"/>
    <w:rsid w:val="000445F3"/>
    <w:rsid w:val="00045661"/>
    <w:rsid w:val="00045D2F"/>
    <w:rsid w:val="0005180E"/>
    <w:rsid w:val="00053A2E"/>
    <w:rsid w:val="000560D2"/>
    <w:rsid w:val="00063682"/>
    <w:rsid w:val="00064958"/>
    <w:rsid w:val="0006552E"/>
    <w:rsid w:val="00065C2F"/>
    <w:rsid w:val="000663CD"/>
    <w:rsid w:val="00067753"/>
    <w:rsid w:val="0007134E"/>
    <w:rsid w:val="00073FCC"/>
    <w:rsid w:val="00075CA7"/>
    <w:rsid w:val="000761DA"/>
    <w:rsid w:val="0008106E"/>
    <w:rsid w:val="00081CA4"/>
    <w:rsid w:val="00082594"/>
    <w:rsid w:val="00084CCB"/>
    <w:rsid w:val="0008541C"/>
    <w:rsid w:val="0008664E"/>
    <w:rsid w:val="00087484"/>
    <w:rsid w:val="00087D6B"/>
    <w:rsid w:val="000932BD"/>
    <w:rsid w:val="00096DDF"/>
    <w:rsid w:val="000976F7"/>
    <w:rsid w:val="0009796B"/>
    <w:rsid w:val="000B5AA7"/>
    <w:rsid w:val="000C410A"/>
    <w:rsid w:val="000C5D7D"/>
    <w:rsid w:val="000D1298"/>
    <w:rsid w:val="000D7035"/>
    <w:rsid w:val="000E2C62"/>
    <w:rsid w:val="000E46BB"/>
    <w:rsid w:val="000E72BC"/>
    <w:rsid w:val="000F032B"/>
    <w:rsid w:val="000F1740"/>
    <w:rsid w:val="000F4173"/>
    <w:rsid w:val="000F778B"/>
    <w:rsid w:val="000F7937"/>
    <w:rsid w:val="000F7CDC"/>
    <w:rsid w:val="00100587"/>
    <w:rsid w:val="001013C5"/>
    <w:rsid w:val="001027E7"/>
    <w:rsid w:val="00102CD9"/>
    <w:rsid w:val="00104903"/>
    <w:rsid w:val="00105CA4"/>
    <w:rsid w:val="00110BA5"/>
    <w:rsid w:val="00110BE8"/>
    <w:rsid w:val="00111ADF"/>
    <w:rsid w:val="00112655"/>
    <w:rsid w:val="00117E01"/>
    <w:rsid w:val="001205A2"/>
    <w:rsid w:val="00120DEB"/>
    <w:rsid w:val="00121237"/>
    <w:rsid w:val="00121F06"/>
    <w:rsid w:val="001222E8"/>
    <w:rsid w:val="001232A3"/>
    <w:rsid w:val="00124196"/>
    <w:rsid w:val="001246A0"/>
    <w:rsid w:val="00132282"/>
    <w:rsid w:val="00135BA2"/>
    <w:rsid w:val="001364F3"/>
    <w:rsid w:val="00137734"/>
    <w:rsid w:val="0013777A"/>
    <w:rsid w:val="00146286"/>
    <w:rsid w:val="001463D6"/>
    <w:rsid w:val="00147A93"/>
    <w:rsid w:val="0015011C"/>
    <w:rsid w:val="001516CA"/>
    <w:rsid w:val="00151C75"/>
    <w:rsid w:val="001541BA"/>
    <w:rsid w:val="001578A5"/>
    <w:rsid w:val="00157920"/>
    <w:rsid w:val="00165CC2"/>
    <w:rsid w:val="00172A9E"/>
    <w:rsid w:val="00175B98"/>
    <w:rsid w:val="001822BA"/>
    <w:rsid w:val="00182DEC"/>
    <w:rsid w:val="0018382B"/>
    <w:rsid w:val="00183C74"/>
    <w:rsid w:val="00192C8D"/>
    <w:rsid w:val="001A311A"/>
    <w:rsid w:val="001A6240"/>
    <w:rsid w:val="001A6B32"/>
    <w:rsid w:val="001B05DF"/>
    <w:rsid w:val="001B068F"/>
    <w:rsid w:val="001B4C14"/>
    <w:rsid w:val="001B695D"/>
    <w:rsid w:val="001B7CB7"/>
    <w:rsid w:val="001C20B6"/>
    <w:rsid w:val="001C2859"/>
    <w:rsid w:val="001C32E2"/>
    <w:rsid w:val="001C4281"/>
    <w:rsid w:val="001C4442"/>
    <w:rsid w:val="001C470E"/>
    <w:rsid w:val="001C6D4F"/>
    <w:rsid w:val="001D27DE"/>
    <w:rsid w:val="001D6D60"/>
    <w:rsid w:val="001D7D8B"/>
    <w:rsid w:val="001E3502"/>
    <w:rsid w:val="001E3B16"/>
    <w:rsid w:val="001E5158"/>
    <w:rsid w:val="001F1F18"/>
    <w:rsid w:val="001F3A1B"/>
    <w:rsid w:val="001F55DB"/>
    <w:rsid w:val="001F603D"/>
    <w:rsid w:val="00202628"/>
    <w:rsid w:val="00203BD4"/>
    <w:rsid w:val="00206D8A"/>
    <w:rsid w:val="00214109"/>
    <w:rsid w:val="002142D3"/>
    <w:rsid w:val="00214780"/>
    <w:rsid w:val="00215518"/>
    <w:rsid w:val="00216B02"/>
    <w:rsid w:val="00216B88"/>
    <w:rsid w:val="00217A00"/>
    <w:rsid w:val="002208B5"/>
    <w:rsid w:val="00224586"/>
    <w:rsid w:val="002254A5"/>
    <w:rsid w:val="00226A26"/>
    <w:rsid w:val="00226CF9"/>
    <w:rsid w:val="00230FEE"/>
    <w:rsid w:val="00233BC0"/>
    <w:rsid w:val="00242ED2"/>
    <w:rsid w:val="00245B99"/>
    <w:rsid w:val="00246FE8"/>
    <w:rsid w:val="002479EF"/>
    <w:rsid w:val="002507FC"/>
    <w:rsid w:val="00251BE9"/>
    <w:rsid w:val="0025478A"/>
    <w:rsid w:val="00257A67"/>
    <w:rsid w:val="00260F6F"/>
    <w:rsid w:val="00264810"/>
    <w:rsid w:val="0026600B"/>
    <w:rsid w:val="00266761"/>
    <w:rsid w:val="00266898"/>
    <w:rsid w:val="0026765C"/>
    <w:rsid w:val="002768E8"/>
    <w:rsid w:val="00281E08"/>
    <w:rsid w:val="00286982"/>
    <w:rsid w:val="00286F12"/>
    <w:rsid w:val="00290925"/>
    <w:rsid w:val="002911B0"/>
    <w:rsid w:val="00294050"/>
    <w:rsid w:val="002945B1"/>
    <w:rsid w:val="002A33BD"/>
    <w:rsid w:val="002A473E"/>
    <w:rsid w:val="002A551C"/>
    <w:rsid w:val="002A5A1E"/>
    <w:rsid w:val="002A7871"/>
    <w:rsid w:val="002B30C9"/>
    <w:rsid w:val="002B6D95"/>
    <w:rsid w:val="002B74DA"/>
    <w:rsid w:val="002C221B"/>
    <w:rsid w:val="002C2426"/>
    <w:rsid w:val="002C5477"/>
    <w:rsid w:val="002D1B6E"/>
    <w:rsid w:val="002D31C7"/>
    <w:rsid w:val="002D3A60"/>
    <w:rsid w:val="002D3E8E"/>
    <w:rsid w:val="002D4658"/>
    <w:rsid w:val="002D4E0A"/>
    <w:rsid w:val="002D53E1"/>
    <w:rsid w:val="002E3EF9"/>
    <w:rsid w:val="002E5DBC"/>
    <w:rsid w:val="002E6ABE"/>
    <w:rsid w:val="002E7AE5"/>
    <w:rsid w:val="002F0046"/>
    <w:rsid w:val="002F0E87"/>
    <w:rsid w:val="002F226A"/>
    <w:rsid w:val="002F6274"/>
    <w:rsid w:val="002F790A"/>
    <w:rsid w:val="002F7A95"/>
    <w:rsid w:val="002F7C1C"/>
    <w:rsid w:val="00300489"/>
    <w:rsid w:val="0030103E"/>
    <w:rsid w:val="00306FC9"/>
    <w:rsid w:val="00310592"/>
    <w:rsid w:val="00310BA8"/>
    <w:rsid w:val="00312B9E"/>
    <w:rsid w:val="00314198"/>
    <w:rsid w:val="00321102"/>
    <w:rsid w:val="0032529E"/>
    <w:rsid w:val="00325512"/>
    <w:rsid w:val="00327E83"/>
    <w:rsid w:val="0034422D"/>
    <w:rsid w:val="00345481"/>
    <w:rsid w:val="0035025B"/>
    <w:rsid w:val="003526D1"/>
    <w:rsid w:val="00354426"/>
    <w:rsid w:val="00354BA4"/>
    <w:rsid w:val="00355084"/>
    <w:rsid w:val="003576B2"/>
    <w:rsid w:val="00357DBB"/>
    <w:rsid w:val="003620E7"/>
    <w:rsid w:val="00362F02"/>
    <w:rsid w:val="00365947"/>
    <w:rsid w:val="0037148C"/>
    <w:rsid w:val="00373BFD"/>
    <w:rsid w:val="003746C1"/>
    <w:rsid w:val="003754DD"/>
    <w:rsid w:val="00383A6D"/>
    <w:rsid w:val="00385426"/>
    <w:rsid w:val="00386CCC"/>
    <w:rsid w:val="00387C09"/>
    <w:rsid w:val="00390F70"/>
    <w:rsid w:val="003943EF"/>
    <w:rsid w:val="003A15CE"/>
    <w:rsid w:val="003A42B1"/>
    <w:rsid w:val="003A4CA4"/>
    <w:rsid w:val="003A591C"/>
    <w:rsid w:val="003A765A"/>
    <w:rsid w:val="003B2CB0"/>
    <w:rsid w:val="003B3C5D"/>
    <w:rsid w:val="003B5386"/>
    <w:rsid w:val="003C0D6A"/>
    <w:rsid w:val="003C47A3"/>
    <w:rsid w:val="003C6769"/>
    <w:rsid w:val="003C7224"/>
    <w:rsid w:val="003D1AE5"/>
    <w:rsid w:val="003E3488"/>
    <w:rsid w:val="003E4F38"/>
    <w:rsid w:val="003F0001"/>
    <w:rsid w:val="003F02E2"/>
    <w:rsid w:val="003F5A3D"/>
    <w:rsid w:val="003F7BC3"/>
    <w:rsid w:val="00400C18"/>
    <w:rsid w:val="00401549"/>
    <w:rsid w:val="00402B13"/>
    <w:rsid w:val="0040455B"/>
    <w:rsid w:val="00405864"/>
    <w:rsid w:val="0040709A"/>
    <w:rsid w:val="004166F9"/>
    <w:rsid w:val="00417FDB"/>
    <w:rsid w:val="00420241"/>
    <w:rsid w:val="00420636"/>
    <w:rsid w:val="00420833"/>
    <w:rsid w:val="004264B1"/>
    <w:rsid w:val="004279F2"/>
    <w:rsid w:val="00434B52"/>
    <w:rsid w:val="00437AA5"/>
    <w:rsid w:val="00443884"/>
    <w:rsid w:val="00450106"/>
    <w:rsid w:val="00450D29"/>
    <w:rsid w:val="004578F1"/>
    <w:rsid w:val="00464401"/>
    <w:rsid w:val="00470D3E"/>
    <w:rsid w:val="00475066"/>
    <w:rsid w:val="004755D7"/>
    <w:rsid w:val="0047673D"/>
    <w:rsid w:val="00486512"/>
    <w:rsid w:val="004869A4"/>
    <w:rsid w:val="00490C99"/>
    <w:rsid w:val="0049287F"/>
    <w:rsid w:val="0049356B"/>
    <w:rsid w:val="004958B3"/>
    <w:rsid w:val="00496822"/>
    <w:rsid w:val="004A7B07"/>
    <w:rsid w:val="004B0D98"/>
    <w:rsid w:val="004B112A"/>
    <w:rsid w:val="004B1CB8"/>
    <w:rsid w:val="004B2729"/>
    <w:rsid w:val="004C0AA6"/>
    <w:rsid w:val="004C1ACF"/>
    <w:rsid w:val="004C21D2"/>
    <w:rsid w:val="004C36C2"/>
    <w:rsid w:val="004C3CC2"/>
    <w:rsid w:val="004C3E36"/>
    <w:rsid w:val="004D1427"/>
    <w:rsid w:val="004D1F6F"/>
    <w:rsid w:val="004D71E5"/>
    <w:rsid w:val="004E0950"/>
    <w:rsid w:val="004E20FF"/>
    <w:rsid w:val="004E2C4E"/>
    <w:rsid w:val="004E67E1"/>
    <w:rsid w:val="004F2797"/>
    <w:rsid w:val="004F3841"/>
    <w:rsid w:val="004F3912"/>
    <w:rsid w:val="004F59D0"/>
    <w:rsid w:val="004F708A"/>
    <w:rsid w:val="00502393"/>
    <w:rsid w:val="00504351"/>
    <w:rsid w:val="00510E20"/>
    <w:rsid w:val="00510E46"/>
    <w:rsid w:val="005116A7"/>
    <w:rsid w:val="00512822"/>
    <w:rsid w:val="00515358"/>
    <w:rsid w:val="005157A0"/>
    <w:rsid w:val="00523F47"/>
    <w:rsid w:val="005274EC"/>
    <w:rsid w:val="0053174C"/>
    <w:rsid w:val="00532DBA"/>
    <w:rsid w:val="00535F41"/>
    <w:rsid w:val="0054140F"/>
    <w:rsid w:val="00547368"/>
    <w:rsid w:val="00547C4C"/>
    <w:rsid w:val="00551F8A"/>
    <w:rsid w:val="0056160D"/>
    <w:rsid w:val="00566D26"/>
    <w:rsid w:val="0057203E"/>
    <w:rsid w:val="00575755"/>
    <w:rsid w:val="00575921"/>
    <w:rsid w:val="00575F43"/>
    <w:rsid w:val="00586F84"/>
    <w:rsid w:val="00587588"/>
    <w:rsid w:val="0058797E"/>
    <w:rsid w:val="005940DA"/>
    <w:rsid w:val="00594462"/>
    <w:rsid w:val="00594535"/>
    <w:rsid w:val="00594E1F"/>
    <w:rsid w:val="005A69B1"/>
    <w:rsid w:val="005A6F45"/>
    <w:rsid w:val="005B170C"/>
    <w:rsid w:val="005B1D2F"/>
    <w:rsid w:val="005B2213"/>
    <w:rsid w:val="005B2706"/>
    <w:rsid w:val="005B34F0"/>
    <w:rsid w:val="005B3CFE"/>
    <w:rsid w:val="005B4073"/>
    <w:rsid w:val="005B5094"/>
    <w:rsid w:val="005B7C5D"/>
    <w:rsid w:val="005C1196"/>
    <w:rsid w:val="005C1885"/>
    <w:rsid w:val="005C1E6C"/>
    <w:rsid w:val="005C2A5A"/>
    <w:rsid w:val="005D4BF8"/>
    <w:rsid w:val="005D69EB"/>
    <w:rsid w:val="005D6E1D"/>
    <w:rsid w:val="005D7A68"/>
    <w:rsid w:val="005D7E61"/>
    <w:rsid w:val="005E183D"/>
    <w:rsid w:val="005E1957"/>
    <w:rsid w:val="005E2B87"/>
    <w:rsid w:val="005E3023"/>
    <w:rsid w:val="005E338F"/>
    <w:rsid w:val="005E5788"/>
    <w:rsid w:val="005E6692"/>
    <w:rsid w:val="005F0D4C"/>
    <w:rsid w:val="005F1B51"/>
    <w:rsid w:val="005F265D"/>
    <w:rsid w:val="005F49C4"/>
    <w:rsid w:val="00600845"/>
    <w:rsid w:val="00602360"/>
    <w:rsid w:val="0060466B"/>
    <w:rsid w:val="00604719"/>
    <w:rsid w:val="006104EA"/>
    <w:rsid w:val="006136BF"/>
    <w:rsid w:val="0061526C"/>
    <w:rsid w:val="00617889"/>
    <w:rsid w:val="00622A56"/>
    <w:rsid w:val="00627FDB"/>
    <w:rsid w:val="00630EB1"/>
    <w:rsid w:val="006317D3"/>
    <w:rsid w:val="0063365E"/>
    <w:rsid w:val="00637F1A"/>
    <w:rsid w:val="006421AA"/>
    <w:rsid w:val="00642358"/>
    <w:rsid w:val="00642AD9"/>
    <w:rsid w:val="0064390B"/>
    <w:rsid w:val="0065033A"/>
    <w:rsid w:val="00654F47"/>
    <w:rsid w:val="00654F9A"/>
    <w:rsid w:val="00655108"/>
    <w:rsid w:val="00656F4C"/>
    <w:rsid w:val="00657E0D"/>
    <w:rsid w:val="00662210"/>
    <w:rsid w:val="0066252A"/>
    <w:rsid w:val="00665B9A"/>
    <w:rsid w:val="0067178D"/>
    <w:rsid w:val="006737A1"/>
    <w:rsid w:val="00673B27"/>
    <w:rsid w:val="00674732"/>
    <w:rsid w:val="00674DCE"/>
    <w:rsid w:val="00680E1F"/>
    <w:rsid w:val="00681217"/>
    <w:rsid w:val="00686D5E"/>
    <w:rsid w:val="00687313"/>
    <w:rsid w:val="006914B0"/>
    <w:rsid w:val="00694980"/>
    <w:rsid w:val="00697FA9"/>
    <w:rsid w:val="006A0135"/>
    <w:rsid w:val="006A0D53"/>
    <w:rsid w:val="006A2163"/>
    <w:rsid w:val="006B352A"/>
    <w:rsid w:val="006C2A4B"/>
    <w:rsid w:val="006C5023"/>
    <w:rsid w:val="006C627B"/>
    <w:rsid w:val="006D6B7D"/>
    <w:rsid w:val="006E0F27"/>
    <w:rsid w:val="006E2713"/>
    <w:rsid w:val="006E33FC"/>
    <w:rsid w:val="006F16C6"/>
    <w:rsid w:val="006F3D4F"/>
    <w:rsid w:val="006F633A"/>
    <w:rsid w:val="007069FF"/>
    <w:rsid w:val="00707A0D"/>
    <w:rsid w:val="007108BF"/>
    <w:rsid w:val="007122B6"/>
    <w:rsid w:val="00714F56"/>
    <w:rsid w:val="007153FE"/>
    <w:rsid w:val="0071675A"/>
    <w:rsid w:val="00716955"/>
    <w:rsid w:val="00720740"/>
    <w:rsid w:val="00720EB5"/>
    <w:rsid w:val="0072349F"/>
    <w:rsid w:val="00724180"/>
    <w:rsid w:val="00724F5D"/>
    <w:rsid w:val="0075170B"/>
    <w:rsid w:val="0075295B"/>
    <w:rsid w:val="00752B91"/>
    <w:rsid w:val="007568A7"/>
    <w:rsid w:val="007611AE"/>
    <w:rsid w:val="00762344"/>
    <w:rsid w:val="007626EB"/>
    <w:rsid w:val="00762ED6"/>
    <w:rsid w:val="00770DC3"/>
    <w:rsid w:val="007727D9"/>
    <w:rsid w:val="00774395"/>
    <w:rsid w:val="00782BF0"/>
    <w:rsid w:val="0078496A"/>
    <w:rsid w:val="00785329"/>
    <w:rsid w:val="0079120A"/>
    <w:rsid w:val="007947A7"/>
    <w:rsid w:val="007953C2"/>
    <w:rsid w:val="00795CAB"/>
    <w:rsid w:val="007A2F1E"/>
    <w:rsid w:val="007A42D0"/>
    <w:rsid w:val="007A45AD"/>
    <w:rsid w:val="007A5F7B"/>
    <w:rsid w:val="007A6040"/>
    <w:rsid w:val="007A6214"/>
    <w:rsid w:val="007B135D"/>
    <w:rsid w:val="007B7D11"/>
    <w:rsid w:val="007C186F"/>
    <w:rsid w:val="007C39E1"/>
    <w:rsid w:val="007C57A7"/>
    <w:rsid w:val="007C791C"/>
    <w:rsid w:val="007D094C"/>
    <w:rsid w:val="007D16FA"/>
    <w:rsid w:val="007D1B10"/>
    <w:rsid w:val="007D5F92"/>
    <w:rsid w:val="007D687B"/>
    <w:rsid w:val="007D6AE4"/>
    <w:rsid w:val="007D7C2B"/>
    <w:rsid w:val="007E2C6F"/>
    <w:rsid w:val="007E4030"/>
    <w:rsid w:val="007F5C90"/>
    <w:rsid w:val="007F7DA1"/>
    <w:rsid w:val="0080047D"/>
    <w:rsid w:val="008008CC"/>
    <w:rsid w:val="00807E4C"/>
    <w:rsid w:val="00810A15"/>
    <w:rsid w:val="00816859"/>
    <w:rsid w:val="00817DA3"/>
    <w:rsid w:val="00820EB1"/>
    <w:rsid w:val="00820FBD"/>
    <w:rsid w:val="00821332"/>
    <w:rsid w:val="0082257B"/>
    <w:rsid w:val="00825A0D"/>
    <w:rsid w:val="0082642F"/>
    <w:rsid w:val="00830ECF"/>
    <w:rsid w:val="00831222"/>
    <w:rsid w:val="008327CC"/>
    <w:rsid w:val="00833B7F"/>
    <w:rsid w:val="00835FC5"/>
    <w:rsid w:val="008364E2"/>
    <w:rsid w:val="00841A06"/>
    <w:rsid w:val="00841D46"/>
    <w:rsid w:val="00843D95"/>
    <w:rsid w:val="00847D87"/>
    <w:rsid w:val="00850F05"/>
    <w:rsid w:val="0086166D"/>
    <w:rsid w:val="008646F9"/>
    <w:rsid w:val="00865FDC"/>
    <w:rsid w:val="00871536"/>
    <w:rsid w:val="00873EC6"/>
    <w:rsid w:val="008773B4"/>
    <w:rsid w:val="00881C6E"/>
    <w:rsid w:val="008839D4"/>
    <w:rsid w:val="0088560E"/>
    <w:rsid w:val="00887E8B"/>
    <w:rsid w:val="00891394"/>
    <w:rsid w:val="00892153"/>
    <w:rsid w:val="00893B34"/>
    <w:rsid w:val="00894221"/>
    <w:rsid w:val="00896CCB"/>
    <w:rsid w:val="008A2D91"/>
    <w:rsid w:val="008A3815"/>
    <w:rsid w:val="008B4195"/>
    <w:rsid w:val="008B6109"/>
    <w:rsid w:val="008C254C"/>
    <w:rsid w:val="008C5889"/>
    <w:rsid w:val="008C5F1C"/>
    <w:rsid w:val="008C7B82"/>
    <w:rsid w:val="008D250A"/>
    <w:rsid w:val="008D4B0C"/>
    <w:rsid w:val="008D5C2D"/>
    <w:rsid w:val="008D7FC0"/>
    <w:rsid w:val="008E2B74"/>
    <w:rsid w:val="008E3E67"/>
    <w:rsid w:val="008E52EA"/>
    <w:rsid w:val="008E56EC"/>
    <w:rsid w:val="008F3953"/>
    <w:rsid w:val="008F533B"/>
    <w:rsid w:val="008F582C"/>
    <w:rsid w:val="008F6C21"/>
    <w:rsid w:val="00913FB2"/>
    <w:rsid w:val="00914143"/>
    <w:rsid w:val="0092109C"/>
    <w:rsid w:val="00924E64"/>
    <w:rsid w:val="00931D35"/>
    <w:rsid w:val="0093210C"/>
    <w:rsid w:val="009327DB"/>
    <w:rsid w:val="009359A2"/>
    <w:rsid w:val="0094293A"/>
    <w:rsid w:val="0094656B"/>
    <w:rsid w:val="0094714D"/>
    <w:rsid w:val="009474B0"/>
    <w:rsid w:val="00954F6B"/>
    <w:rsid w:val="00956B88"/>
    <w:rsid w:val="00961E5D"/>
    <w:rsid w:val="00964FE7"/>
    <w:rsid w:val="009678F8"/>
    <w:rsid w:val="00971D3E"/>
    <w:rsid w:val="00975A7B"/>
    <w:rsid w:val="00977568"/>
    <w:rsid w:val="00977853"/>
    <w:rsid w:val="00984435"/>
    <w:rsid w:val="00984D15"/>
    <w:rsid w:val="00985A34"/>
    <w:rsid w:val="00986FE4"/>
    <w:rsid w:val="00987FCB"/>
    <w:rsid w:val="00992E3A"/>
    <w:rsid w:val="009A3738"/>
    <w:rsid w:val="009A380E"/>
    <w:rsid w:val="009B00D0"/>
    <w:rsid w:val="009B20C8"/>
    <w:rsid w:val="009B3A11"/>
    <w:rsid w:val="009B3BF3"/>
    <w:rsid w:val="009B4493"/>
    <w:rsid w:val="009C0F6D"/>
    <w:rsid w:val="009D32DA"/>
    <w:rsid w:val="009D4034"/>
    <w:rsid w:val="009D47B0"/>
    <w:rsid w:val="009D47E7"/>
    <w:rsid w:val="009D5092"/>
    <w:rsid w:val="009E2858"/>
    <w:rsid w:val="009E37C4"/>
    <w:rsid w:val="009F0ECE"/>
    <w:rsid w:val="009F3904"/>
    <w:rsid w:val="00A0062A"/>
    <w:rsid w:val="00A074CE"/>
    <w:rsid w:val="00A1078B"/>
    <w:rsid w:val="00A135F1"/>
    <w:rsid w:val="00A137C5"/>
    <w:rsid w:val="00A15A1C"/>
    <w:rsid w:val="00A175F0"/>
    <w:rsid w:val="00A1784F"/>
    <w:rsid w:val="00A257D5"/>
    <w:rsid w:val="00A25BD4"/>
    <w:rsid w:val="00A26074"/>
    <w:rsid w:val="00A379CD"/>
    <w:rsid w:val="00A420ED"/>
    <w:rsid w:val="00A4439D"/>
    <w:rsid w:val="00A4708B"/>
    <w:rsid w:val="00A4773A"/>
    <w:rsid w:val="00A502F8"/>
    <w:rsid w:val="00A51F87"/>
    <w:rsid w:val="00A563EB"/>
    <w:rsid w:val="00A62484"/>
    <w:rsid w:val="00A62BB6"/>
    <w:rsid w:val="00A74619"/>
    <w:rsid w:val="00A77A48"/>
    <w:rsid w:val="00A834DD"/>
    <w:rsid w:val="00A84216"/>
    <w:rsid w:val="00A93476"/>
    <w:rsid w:val="00A9679A"/>
    <w:rsid w:val="00A976B9"/>
    <w:rsid w:val="00AA335D"/>
    <w:rsid w:val="00AA6776"/>
    <w:rsid w:val="00AB15B2"/>
    <w:rsid w:val="00AB261A"/>
    <w:rsid w:val="00AB29A0"/>
    <w:rsid w:val="00AB60A5"/>
    <w:rsid w:val="00AC09B8"/>
    <w:rsid w:val="00AC3F49"/>
    <w:rsid w:val="00AC679C"/>
    <w:rsid w:val="00AD281E"/>
    <w:rsid w:val="00AD3687"/>
    <w:rsid w:val="00AE2B10"/>
    <w:rsid w:val="00AE700C"/>
    <w:rsid w:val="00AF2CD7"/>
    <w:rsid w:val="00AF4DB8"/>
    <w:rsid w:val="00B04CC1"/>
    <w:rsid w:val="00B0794D"/>
    <w:rsid w:val="00B1199E"/>
    <w:rsid w:val="00B133F8"/>
    <w:rsid w:val="00B14094"/>
    <w:rsid w:val="00B14222"/>
    <w:rsid w:val="00B22DD9"/>
    <w:rsid w:val="00B33089"/>
    <w:rsid w:val="00B34BEB"/>
    <w:rsid w:val="00B36882"/>
    <w:rsid w:val="00B3699C"/>
    <w:rsid w:val="00B46021"/>
    <w:rsid w:val="00B513B3"/>
    <w:rsid w:val="00B51C3B"/>
    <w:rsid w:val="00B5343F"/>
    <w:rsid w:val="00B53DDC"/>
    <w:rsid w:val="00B56158"/>
    <w:rsid w:val="00B5689D"/>
    <w:rsid w:val="00B577D3"/>
    <w:rsid w:val="00B70824"/>
    <w:rsid w:val="00B71AE8"/>
    <w:rsid w:val="00B72B01"/>
    <w:rsid w:val="00B72DFD"/>
    <w:rsid w:val="00B732E8"/>
    <w:rsid w:val="00B738A5"/>
    <w:rsid w:val="00B73DEB"/>
    <w:rsid w:val="00B80111"/>
    <w:rsid w:val="00B80770"/>
    <w:rsid w:val="00B84162"/>
    <w:rsid w:val="00B8510F"/>
    <w:rsid w:val="00B9798A"/>
    <w:rsid w:val="00BA0E69"/>
    <w:rsid w:val="00BA2A9F"/>
    <w:rsid w:val="00BA482D"/>
    <w:rsid w:val="00BB170D"/>
    <w:rsid w:val="00BB5A59"/>
    <w:rsid w:val="00BB5DCF"/>
    <w:rsid w:val="00BB6B46"/>
    <w:rsid w:val="00BC3A01"/>
    <w:rsid w:val="00BD4333"/>
    <w:rsid w:val="00BD5E0A"/>
    <w:rsid w:val="00BD5E74"/>
    <w:rsid w:val="00BE11AC"/>
    <w:rsid w:val="00BE40D5"/>
    <w:rsid w:val="00BE75C0"/>
    <w:rsid w:val="00BF0A48"/>
    <w:rsid w:val="00BF144C"/>
    <w:rsid w:val="00BF2417"/>
    <w:rsid w:val="00BF2F2C"/>
    <w:rsid w:val="00BF3595"/>
    <w:rsid w:val="00BF36B6"/>
    <w:rsid w:val="00C00B64"/>
    <w:rsid w:val="00C01492"/>
    <w:rsid w:val="00C03F88"/>
    <w:rsid w:val="00C04897"/>
    <w:rsid w:val="00C04C07"/>
    <w:rsid w:val="00C05433"/>
    <w:rsid w:val="00C059C3"/>
    <w:rsid w:val="00C06BA1"/>
    <w:rsid w:val="00C12200"/>
    <w:rsid w:val="00C14518"/>
    <w:rsid w:val="00C2384E"/>
    <w:rsid w:val="00C270C0"/>
    <w:rsid w:val="00C30EE4"/>
    <w:rsid w:val="00C32F5A"/>
    <w:rsid w:val="00C42860"/>
    <w:rsid w:val="00C43EC3"/>
    <w:rsid w:val="00C45CBC"/>
    <w:rsid w:val="00C5174D"/>
    <w:rsid w:val="00C51FB8"/>
    <w:rsid w:val="00C55DB7"/>
    <w:rsid w:val="00C5730F"/>
    <w:rsid w:val="00C60F2C"/>
    <w:rsid w:val="00C6333D"/>
    <w:rsid w:val="00C703AD"/>
    <w:rsid w:val="00C70D60"/>
    <w:rsid w:val="00C770D6"/>
    <w:rsid w:val="00C90714"/>
    <w:rsid w:val="00C90D20"/>
    <w:rsid w:val="00C92500"/>
    <w:rsid w:val="00C9405A"/>
    <w:rsid w:val="00C94AA3"/>
    <w:rsid w:val="00CA4466"/>
    <w:rsid w:val="00CA4F81"/>
    <w:rsid w:val="00CB4B6A"/>
    <w:rsid w:val="00CC1713"/>
    <w:rsid w:val="00CC4467"/>
    <w:rsid w:val="00CD2A4A"/>
    <w:rsid w:val="00CE0B3B"/>
    <w:rsid w:val="00CE209E"/>
    <w:rsid w:val="00CE4C3A"/>
    <w:rsid w:val="00CE7249"/>
    <w:rsid w:val="00CF2159"/>
    <w:rsid w:val="00CF6E2B"/>
    <w:rsid w:val="00D161C2"/>
    <w:rsid w:val="00D17037"/>
    <w:rsid w:val="00D3461B"/>
    <w:rsid w:val="00D34E41"/>
    <w:rsid w:val="00D403EF"/>
    <w:rsid w:val="00D40B85"/>
    <w:rsid w:val="00D421C0"/>
    <w:rsid w:val="00D43AAC"/>
    <w:rsid w:val="00D44D46"/>
    <w:rsid w:val="00D45B6C"/>
    <w:rsid w:val="00D4693F"/>
    <w:rsid w:val="00D46B3B"/>
    <w:rsid w:val="00D47E8A"/>
    <w:rsid w:val="00D50677"/>
    <w:rsid w:val="00D50E6A"/>
    <w:rsid w:val="00D512AE"/>
    <w:rsid w:val="00D5418F"/>
    <w:rsid w:val="00D56318"/>
    <w:rsid w:val="00D56D8D"/>
    <w:rsid w:val="00D619F3"/>
    <w:rsid w:val="00D62214"/>
    <w:rsid w:val="00D67CA0"/>
    <w:rsid w:val="00D729A1"/>
    <w:rsid w:val="00D73F09"/>
    <w:rsid w:val="00D75BA2"/>
    <w:rsid w:val="00D77310"/>
    <w:rsid w:val="00D80E87"/>
    <w:rsid w:val="00D85DD9"/>
    <w:rsid w:val="00D90CB5"/>
    <w:rsid w:val="00D933EE"/>
    <w:rsid w:val="00DA111C"/>
    <w:rsid w:val="00DA380B"/>
    <w:rsid w:val="00DA712B"/>
    <w:rsid w:val="00DA757E"/>
    <w:rsid w:val="00DB0FD8"/>
    <w:rsid w:val="00DB1C4D"/>
    <w:rsid w:val="00DB55E0"/>
    <w:rsid w:val="00DB7566"/>
    <w:rsid w:val="00DC08FC"/>
    <w:rsid w:val="00DC434E"/>
    <w:rsid w:val="00DC47B6"/>
    <w:rsid w:val="00DC4B44"/>
    <w:rsid w:val="00DC5666"/>
    <w:rsid w:val="00DD0657"/>
    <w:rsid w:val="00DD30E1"/>
    <w:rsid w:val="00DD3AEB"/>
    <w:rsid w:val="00DE0F03"/>
    <w:rsid w:val="00DE1AA3"/>
    <w:rsid w:val="00DE50EA"/>
    <w:rsid w:val="00DE7AB5"/>
    <w:rsid w:val="00DF32E9"/>
    <w:rsid w:val="00E00DEA"/>
    <w:rsid w:val="00E00FF4"/>
    <w:rsid w:val="00E0241E"/>
    <w:rsid w:val="00E0790E"/>
    <w:rsid w:val="00E1244C"/>
    <w:rsid w:val="00E12B40"/>
    <w:rsid w:val="00E1619A"/>
    <w:rsid w:val="00E206BF"/>
    <w:rsid w:val="00E20F26"/>
    <w:rsid w:val="00E335E5"/>
    <w:rsid w:val="00E33F7E"/>
    <w:rsid w:val="00E356AC"/>
    <w:rsid w:val="00E35DFF"/>
    <w:rsid w:val="00E435AB"/>
    <w:rsid w:val="00E457D8"/>
    <w:rsid w:val="00E511D8"/>
    <w:rsid w:val="00E513DC"/>
    <w:rsid w:val="00E53FFF"/>
    <w:rsid w:val="00E54700"/>
    <w:rsid w:val="00E604BD"/>
    <w:rsid w:val="00E6187E"/>
    <w:rsid w:val="00E6390C"/>
    <w:rsid w:val="00E64E41"/>
    <w:rsid w:val="00E73EA9"/>
    <w:rsid w:val="00E763E9"/>
    <w:rsid w:val="00E90D25"/>
    <w:rsid w:val="00E91EC6"/>
    <w:rsid w:val="00E9457C"/>
    <w:rsid w:val="00EA20D8"/>
    <w:rsid w:val="00EA7425"/>
    <w:rsid w:val="00EB1CB2"/>
    <w:rsid w:val="00EB1DC7"/>
    <w:rsid w:val="00EB3508"/>
    <w:rsid w:val="00EB3A4A"/>
    <w:rsid w:val="00EB7120"/>
    <w:rsid w:val="00EB73BE"/>
    <w:rsid w:val="00EC10D4"/>
    <w:rsid w:val="00EC18DC"/>
    <w:rsid w:val="00EC27AB"/>
    <w:rsid w:val="00EC2E83"/>
    <w:rsid w:val="00EC4BE5"/>
    <w:rsid w:val="00EC7980"/>
    <w:rsid w:val="00ED2CF5"/>
    <w:rsid w:val="00ED357F"/>
    <w:rsid w:val="00ED3DB4"/>
    <w:rsid w:val="00ED6399"/>
    <w:rsid w:val="00EE0DB3"/>
    <w:rsid w:val="00EE1A52"/>
    <w:rsid w:val="00EE4DDD"/>
    <w:rsid w:val="00EE6A1E"/>
    <w:rsid w:val="00EF20D3"/>
    <w:rsid w:val="00EF7348"/>
    <w:rsid w:val="00F075C2"/>
    <w:rsid w:val="00F1263A"/>
    <w:rsid w:val="00F12EC3"/>
    <w:rsid w:val="00F154A9"/>
    <w:rsid w:val="00F15AAD"/>
    <w:rsid w:val="00F15B66"/>
    <w:rsid w:val="00F200DB"/>
    <w:rsid w:val="00F219D6"/>
    <w:rsid w:val="00F21B4C"/>
    <w:rsid w:val="00F221C4"/>
    <w:rsid w:val="00F372F1"/>
    <w:rsid w:val="00F46AAA"/>
    <w:rsid w:val="00F47BA7"/>
    <w:rsid w:val="00F519E1"/>
    <w:rsid w:val="00F60FBC"/>
    <w:rsid w:val="00F65841"/>
    <w:rsid w:val="00F710DB"/>
    <w:rsid w:val="00F72AE0"/>
    <w:rsid w:val="00F75ED5"/>
    <w:rsid w:val="00F8095D"/>
    <w:rsid w:val="00F82162"/>
    <w:rsid w:val="00F8314F"/>
    <w:rsid w:val="00F84B85"/>
    <w:rsid w:val="00F84E08"/>
    <w:rsid w:val="00F853DE"/>
    <w:rsid w:val="00F95900"/>
    <w:rsid w:val="00F962E4"/>
    <w:rsid w:val="00F9709B"/>
    <w:rsid w:val="00FA790B"/>
    <w:rsid w:val="00FB3B18"/>
    <w:rsid w:val="00FC06BD"/>
    <w:rsid w:val="00FC15D6"/>
    <w:rsid w:val="00FC17F9"/>
    <w:rsid w:val="00FC2C33"/>
    <w:rsid w:val="00FC4108"/>
    <w:rsid w:val="00FC65A6"/>
    <w:rsid w:val="00FD114A"/>
    <w:rsid w:val="00FD30D3"/>
    <w:rsid w:val="00FD3F53"/>
    <w:rsid w:val="00FE062F"/>
    <w:rsid w:val="00FE149E"/>
    <w:rsid w:val="00FE176A"/>
    <w:rsid w:val="00FE6DF1"/>
    <w:rsid w:val="00FF0FE7"/>
    <w:rsid w:val="00FF246E"/>
    <w:rsid w:val="00FF4792"/>
    <w:rsid w:val="00FF4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96"/>
  <w15:docId w15:val="{92635423-C6DA-44FE-955F-B73AD7C7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14A"/>
    <w:rPr>
      <w:rFonts w:ascii="Arial" w:hAnsi="Arial"/>
      <w:lang w:val="en-AU"/>
    </w:rPr>
  </w:style>
  <w:style w:type="paragraph" w:styleId="Heading1">
    <w:name w:val="heading 1"/>
    <w:basedOn w:val="Title"/>
    <w:next w:val="Normal"/>
    <w:link w:val="Heading1Char1"/>
    <w:uiPriority w:val="9"/>
    <w:qFormat/>
    <w:rsid w:val="00E604BD"/>
    <w:pPr>
      <w:tabs>
        <w:tab w:val="left" w:pos="5812"/>
      </w:tabs>
    </w:pPr>
  </w:style>
  <w:style w:type="paragraph" w:styleId="Heading2">
    <w:name w:val="heading 2"/>
    <w:basedOn w:val="Subhead3Table"/>
    <w:next w:val="Normal"/>
    <w:link w:val="Heading2Char1"/>
    <w:uiPriority w:val="9"/>
    <w:unhideWhenUsed/>
    <w:qFormat/>
    <w:rsid w:val="00E604BD"/>
    <w:pPr>
      <w:spacing w:before="240" w:line="288" w:lineRule="auto"/>
      <w:ind w:left="992" w:hanging="567"/>
      <w:outlineLvl w:val="1"/>
    </w:pPr>
    <w:rPr>
      <w:sz w:val="32"/>
    </w:rPr>
  </w:style>
  <w:style w:type="paragraph" w:styleId="Heading3">
    <w:name w:val="heading 3"/>
    <w:basedOn w:val="Normal"/>
    <w:next w:val="Normal"/>
    <w:link w:val="Heading3Char1"/>
    <w:uiPriority w:val="9"/>
    <w:unhideWhenUsed/>
    <w:qFormat/>
    <w:rsid w:val="00E604BD"/>
    <w:pPr>
      <w:suppressAutoHyphens/>
      <w:spacing w:after="120" w:line="288" w:lineRule="auto"/>
      <w:ind w:left="567"/>
      <w:outlineLvl w:val="2"/>
    </w:pPr>
    <w:rPr>
      <w:rFonts w:eastAsia="Calibri"/>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autoRedefine/>
    <w:rsid w:val="00281E08"/>
    <w:pPr>
      <w:widowControl w:val="0"/>
      <w:autoSpaceDE w:val="0"/>
      <w:autoSpaceDN w:val="0"/>
      <w:adjustRightInd w:val="0"/>
      <w:spacing w:line="288" w:lineRule="auto"/>
      <w:textAlignment w:val="center"/>
    </w:pPr>
    <w:rPr>
      <w:rFonts w:ascii="Arial" w:hAnsi="Arial" w:cs="MinionPro-Regular"/>
      <w:color w:val="000000"/>
      <w:sz w:val="24"/>
      <w:szCs w:val="24"/>
    </w:rPr>
  </w:style>
  <w:style w:type="paragraph" w:customStyle="1" w:styleId="BasicParagraph">
    <w:name w:val="[Basic Paragraph]"/>
    <w:basedOn w:val="NoParagraphStyle"/>
    <w:autoRedefine/>
    <w:uiPriority w:val="99"/>
    <w:rsid w:val="00281E08"/>
  </w:style>
  <w:style w:type="paragraph" w:customStyle="1" w:styleId="Text">
    <w:name w:val="Text"/>
    <w:basedOn w:val="NoParagraphStyle"/>
    <w:autoRedefine/>
    <w:uiPriority w:val="99"/>
    <w:rsid w:val="00C45CBC"/>
    <w:pPr>
      <w:suppressAutoHyphens/>
      <w:spacing w:before="170" w:line="280" w:lineRule="atLeast"/>
    </w:pPr>
    <w:rPr>
      <w:rFonts w:cs="AGaramondPro-Regular"/>
      <w:sz w:val="20"/>
      <w:szCs w:val="20"/>
      <w:lang w:val="en-AU"/>
    </w:rPr>
  </w:style>
  <w:style w:type="paragraph" w:customStyle="1" w:styleId="Subhead1">
    <w:name w:val="Subhead 1"/>
    <w:basedOn w:val="NoParagraphStyle"/>
    <w:autoRedefine/>
    <w:uiPriority w:val="99"/>
    <w:rsid w:val="004F3912"/>
    <w:pPr>
      <w:suppressAutoHyphens/>
      <w:spacing w:after="120" w:line="620" w:lineRule="atLeast"/>
      <w:outlineLvl w:val="0"/>
    </w:pPr>
    <w:rPr>
      <w:rFonts w:cs="MyriadPro-Regular"/>
      <w:sz w:val="52"/>
      <w:szCs w:val="52"/>
    </w:rPr>
  </w:style>
  <w:style w:type="paragraph" w:styleId="TOC1">
    <w:name w:val="toc 1"/>
    <w:basedOn w:val="NoParagraphStyle"/>
    <w:autoRedefine/>
    <w:uiPriority w:val="39"/>
    <w:rsid w:val="00A93476"/>
    <w:pPr>
      <w:tabs>
        <w:tab w:val="right" w:leader="dot" w:pos="9072"/>
      </w:tabs>
      <w:suppressAutoHyphens/>
      <w:ind w:left="426" w:hanging="426"/>
    </w:pPr>
    <w:rPr>
      <w:rFonts w:cs="MyriadPro-Regular"/>
      <w:noProof/>
      <w:sz w:val="20"/>
      <w:szCs w:val="22"/>
      <w:lang w:val="en-GB"/>
    </w:rPr>
  </w:style>
  <w:style w:type="paragraph" w:customStyle="1" w:styleId="Subhead3">
    <w:name w:val="Subhead 3"/>
    <w:basedOn w:val="NoParagraphStyle"/>
    <w:autoRedefine/>
    <w:uiPriority w:val="99"/>
    <w:rsid w:val="00587588"/>
    <w:pPr>
      <w:suppressAutoHyphens/>
      <w:spacing w:before="397" w:line="320" w:lineRule="atLeast"/>
    </w:pPr>
    <w:rPr>
      <w:rFonts w:cs="MyriadPro-Regular"/>
      <w:sz w:val="28"/>
      <w:szCs w:val="28"/>
      <w:lang w:val="en-GB"/>
    </w:rPr>
  </w:style>
  <w:style w:type="paragraph" w:customStyle="1" w:styleId="Subhead4">
    <w:name w:val="Subhead 4"/>
    <w:basedOn w:val="Subhead3"/>
    <w:uiPriority w:val="99"/>
    <w:rsid w:val="009E2858"/>
    <w:pPr>
      <w:spacing w:before="283" w:after="160"/>
      <w:ind w:left="964" w:hanging="964"/>
    </w:pPr>
    <w:rPr>
      <w:sz w:val="24"/>
      <w:szCs w:val="24"/>
    </w:rPr>
  </w:style>
  <w:style w:type="paragraph" w:customStyle="1" w:styleId="Note">
    <w:name w:val="Note"/>
    <w:basedOn w:val="Text"/>
    <w:uiPriority w:val="99"/>
    <w:pPr>
      <w:spacing w:before="0" w:line="200" w:lineRule="atLeast"/>
    </w:pPr>
    <w:rPr>
      <w:sz w:val="16"/>
      <w:szCs w:val="16"/>
    </w:rPr>
  </w:style>
  <w:style w:type="paragraph" w:customStyle="1" w:styleId="Subhead2">
    <w:name w:val="Subhead 2"/>
    <w:basedOn w:val="NoParagraphStyle"/>
    <w:autoRedefine/>
    <w:uiPriority w:val="99"/>
    <w:rsid w:val="00594535"/>
    <w:pPr>
      <w:suppressAutoHyphens/>
      <w:spacing w:before="397" w:line="380" w:lineRule="atLeast"/>
    </w:pPr>
    <w:rPr>
      <w:rFonts w:cs="MyriadPro-Semibold"/>
      <w:color w:val="000000" w:themeColor="text1"/>
      <w:sz w:val="44"/>
      <w:szCs w:val="32"/>
    </w:rPr>
  </w:style>
  <w:style w:type="paragraph" w:customStyle="1" w:styleId="Bullets1">
    <w:name w:val="Bullets 1"/>
    <w:basedOn w:val="Text"/>
    <w:autoRedefine/>
    <w:uiPriority w:val="99"/>
    <w:qFormat/>
    <w:rsid w:val="00D90CB5"/>
    <w:pPr>
      <w:widowControl/>
      <w:numPr>
        <w:numId w:val="1"/>
      </w:numPr>
      <w:spacing w:before="25" w:line="300" w:lineRule="atLeast"/>
    </w:pPr>
  </w:style>
  <w:style w:type="paragraph" w:customStyle="1" w:styleId="Footnote">
    <w:name w:val="Footnote"/>
    <w:basedOn w:val="Text"/>
    <w:autoRedefine/>
    <w:uiPriority w:val="99"/>
    <w:rsid w:val="0005180E"/>
    <w:pPr>
      <w:spacing w:line="190" w:lineRule="atLeast"/>
      <w:ind w:left="227" w:hanging="227"/>
    </w:pPr>
    <w:rPr>
      <w:sz w:val="15"/>
      <w:szCs w:val="15"/>
    </w:rPr>
  </w:style>
  <w:style w:type="character" w:customStyle="1" w:styleId="Leaderdots">
    <w:name w:val="Leader dots"/>
    <w:uiPriority w:val="99"/>
    <w:rPr>
      <w:sz w:val="16"/>
      <w:szCs w:val="16"/>
    </w:rPr>
  </w:style>
  <w:style w:type="character" w:customStyle="1" w:styleId="TextSemibold">
    <w:name w:val="Text Semibold"/>
    <w:uiPriority w:val="99"/>
    <w:rsid w:val="009E2858"/>
    <w:rPr>
      <w:b/>
    </w:rPr>
  </w:style>
  <w:style w:type="character" w:customStyle="1" w:styleId="Footnotenumber">
    <w:name w:val="Footnote number"/>
    <w:uiPriority w:val="99"/>
    <w:rPr>
      <w:vertAlign w:val="superscript"/>
    </w:rPr>
  </w:style>
  <w:style w:type="character" w:customStyle="1" w:styleId="Hyperlinkblue">
    <w:name w:val="Hyperlink blue"/>
    <w:uiPriority w:val="99"/>
    <w:rsid w:val="0005180E"/>
    <w:rPr>
      <w:color w:val="000000"/>
    </w:rPr>
  </w:style>
  <w:style w:type="character" w:customStyle="1" w:styleId="Invisiblecharacter">
    <w:name w:val="Invisible characte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Boldhyperlink">
    <w:name w:val="Bold hyperlink"/>
    <w:uiPriority w:val="99"/>
  </w:style>
  <w:style w:type="character" w:customStyle="1" w:styleId="TextItalic">
    <w:name w:val="Text Italic"/>
    <w:uiPriority w:val="99"/>
    <w:qFormat/>
    <w:rsid w:val="0060466B"/>
    <w:rPr>
      <w:rFonts w:ascii="Arial" w:hAnsi="Arial"/>
      <w:b w:val="0"/>
      <w:i/>
      <w:iCs/>
      <w:color w:val="auto"/>
      <w14:shadow w14:blurRad="0" w14:dist="0" w14:dir="0" w14:sx="0" w14:sy="0" w14:kx="0" w14:ky="0" w14:algn="none">
        <w14:srgbClr w14:val="000000"/>
      </w14:shadow>
      <w14:textOutline w14:w="0" w14:cap="rnd" w14:cmpd="sng" w14:algn="ctr">
        <w14:noFill/>
        <w14:prstDash w14:val="solid"/>
        <w14:bevel/>
      </w14:textOutline>
    </w:rPr>
  </w:style>
  <w:style w:type="paragraph" w:styleId="DocumentMap">
    <w:name w:val="Document Map"/>
    <w:basedOn w:val="Normal"/>
    <w:link w:val="DocumentMapChar"/>
    <w:uiPriority w:val="99"/>
    <w:semiHidden/>
    <w:unhideWhenUsed/>
    <w:rsid w:val="0005180E"/>
    <w:rPr>
      <w:sz w:val="24"/>
      <w:szCs w:val="24"/>
    </w:rPr>
  </w:style>
  <w:style w:type="character" w:customStyle="1" w:styleId="DocumentMapChar">
    <w:name w:val="Document Map Char"/>
    <w:link w:val="DocumentMap"/>
    <w:uiPriority w:val="99"/>
    <w:semiHidden/>
    <w:rsid w:val="0005180E"/>
    <w:rPr>
      <w:rFonts w:ascii="Arial" w:hAnsi="Arial"/>
      <w:sz w:val="24"/>
      <w:szCs w:val="24"/>
      <w:lang w:val="en-AU"/>
    </w:rPr>
  </w:style>
  <w:style w:type="paragraph" w:styleId="Revision">
    <w:name w:val="Revision"/>
    <w:hidden/>
    <w:uiPriority w:val="99"/>
    <w:semiHidden/>
    <w:rsid w:val="0005180E"/>
    <w:rPr>
      <w:lang w:val="en-AU"/>
    </w:rPr>
  </w:style>
  <w:style w:type="paragraph" w:styleId="Header">
    <w:name w:val="header"/>
    <w:basedOn w:val="Normal"/>
    <w:link w:val="HeaderChar"/>
    <w:uiPriority w:val="99"/>
    <w:unhideWhenUsed/>
    <w:rsid w:val="00A175F0"/>
    <w:pPr>
      <w:tabs>
        <w:tab w:val="center" w:pos="4513"/>
        <w:tab w:val="right" w:pos="9026"/>
      </w:tabs>
    </w:pPr>
  </w:style>
  <w:style w:type="character" w:customStyle="1" w:styleId="HeaderChar">
    <w:name w:val="Header Char"/>
    <w:basedOn w:val="DefaultParagraphFont"/>
    <w:link w:val="Header"/>
    <w:uiPriority w:val="99"/>
    <w:rsid w:val="00A175F0"/>
    <w:rPr>
      <w:rFonts w:ascii="Arial" w:hAnsi="Arial"/>
      <w:lang w:val="en-AU"/>
    </w:rPr>
  </w:style>
  <w:style w:type="paragraph" w:styleId="Footer">
    <w:name w:val="footer"/>
    <w:basedOn w:val="Normal"/>
    <w:link w:val="FooterChar"/>
    <w:uiPriority w:val="99"/>
    <w:unhideWhenUsed/>
    <w:rsid w:val="00A175F0"/>
    <w:pPr>
      <w:tabs>
        <w:tab w:val="center" w:pos="4513"/>
        <w:tab w:val="right" w:pos="9026"/>
      </w:tabs>
    </w:pPr>
  </w:style>
  <w:style w:type="character" w:customStyle="1" w:styleId="FooterChar">
    <w:name w:val="Footer Char"/>
    <w:basedOn w:val="DefaultParagraphFont"/>
    <w:link w:val="Footer"/>
    <w:uiPriority w:val="99"/>
    <w:rsid w:val="00A175F0"/>
    <w:rPr>
      <w:rFonts w:ascii="Arial" w:hAnsi="Arial"/>
      <w:lang w:val="en-AU"/>
    </w:rPr>
  </w:style>
  <w:style w:type="character" w:styleId="PageNumber">
    <w:name w:val="page number"/>
    <w:basedOn w:val="DefaultParagraphFont"/>
    <w:uiPriority w:val="99"/>
    <w:semiHidden/>
    <w:unhideWhenUsed/>
    <w:rsid w:val="00A175F0"/>
  </w:style>
  <w:style w:type="paragraph" w:customStyle="1" w:styleId="p1">
    <w:name w:val="p1"/>
    <w:basedOn w:val="Normal"/>
    <w:rsid w:val="009D47E7"/>
    <w:pPr>
      <w:spacing w:before="128" w:line="180" w:lineRule="atLeast"/>
    </w:pPr>
    <w:rPr>
      <w:rFonts w:ascii="Adobe Garamond Pro" w:hAnsi="Adobe Garamond Pro"/>
      <w:sz w:val="14"/>
      <w:szCs w:val="14"/>
      <w:lang w:val="en-US"/>
    </w:rPr>
  </w:style>
  <w:style w:type="paragraph" w:customStyle="1" w:styleId="p2">
    <w:name w:val="p2"/>
    <w:basedOn w:val="Normal"/>
    <w:rsid w:val="009D47E7"/>
    <w:pPr>
      <w:spacing w:before="128" w:line="180" w:lineRule="atLeast"/>
    </w:pPr>
    <w:rPr>
      <w:rFonts w:ascii="Adobe Garamond Pro" w:hAnsi="Adobe Garamond Pro"/>
      <w:sz w:val="14"/>
      <w:szCs w:val="14"/>
      <w:lang w:val="en-US"/>
    </w:rPr>
  </w:style>
  <w:style w:type="character" w:customStyle="1" w:styleId="Heading1Char">
    <w:name w:val="Heading 1 Char"/>
    <w:basedOn w:val="DefaultParagraphFont"/>
    <w:uiPriority w:val="9"/>
    <w:rsid w:val="0082642F"/>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uiPriority w:val="9"/>
    <w:semiHidden/>
    <w:rsid w:val="0082642F"/>
    <w:rPr>
      <w:rFonts w:asciiTheme="majorHAnsi" w:eastAsiaTheme="majorEastAsia" w:hAnsiTheme="majorHAnsi" w:cstheme="majorBidi"/>
      <w:color w:val="2F5496" w:themeColor="accent1" w:themeShade="BF"/>
      <w:sz w:val="26"/>
      <w:szCs w:val="26"/>
      <w:lang w:val="en-AU"/>
    </w:rPr>
  </w:style>
  <w:style w:type="character" w:customStyle="1" w:styleId="Heading3Char">
    <w:name w:val="Heading 3 Char"/>
    <w:basedOn w:val="DefaultParagraphFont"/>
    <w:uiPriority w:val="9"/>
    <w:semiHidden/>
    <w:rsid w:val="0082642F"/>
    <w:rPr>
      <w:rFonts w:asciiTheme="majorHAnsi" w:eastAsiaTheme="majorEastAsia" w:hAnsiTheme="majorHAnsi" w:cstheme="majorBidi"/>
      <w:color w:val="1F3763" w:themeColor="accent1" w:themeShade="7F"/>
      <w:sz w:val="24"/>
      <w:szCs w:val="24"/>
      <w:lang w:val="en-AU"/>
    </w:rPr>
  </w:style>
  <w:style w:type="character" w:customStyle="1" w:styleId="Heading4Char">
    <w:name w:val="Heading 4 Char"/>
    <w:basedOn w:val="DefaultParagraphFont"/>
    <w:uiPriority w:val="9"/>
    <w:semiHidden/>
    <w:rsid w:val="0082642F"/>
    <w:rPr>
      <w:rFonts w:asciiTheme="majorHAnsi" w:eastAsiaTheme="majorEastAsia" w:hAnsiTheme="majorHAnsi" w:cstheme="majorBidi"/>
      <w:i/>
      <w:iCs/>
      <w:color w:val="2F5496" w:themeColor="accent1" w:themeShade="BF"/>
      <w:lang w:val="en-AU"/>
    </w:rPr>
  </w:style>
  <w:style w:type="character" w:customStyle="1" w:styleId="Heading5Char">
    <w:name w:val="Heading 5 Char"/>
    <w:basedOn w:val="DefaultParagraphFont"/>
    <w:uiPriority w:val="9"/>
    <w:semiHidden/>
    <w:rsid w:val="0082642F"/>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uiPriority w:val="9"/>
    <w:semiHidden/>
    <w:rsid w:val="0082642F"/>
    <w:rPr>
      <w:rFonts w:asciiTheme="majorHAnsi" w:eastAsiaTheme="majorEastAsia" w:hAnsiTheme="majorHAnsi" w:cstheme="majorBidi"/>
      <w:color w:val="1F3763" w:themeColor="accent1" w:themeShade="7F"/>
      <w:lang w:val="en-AU"/>
    </w:rPr>
  </w:style>
  <w:style w:type="character" w:customStyle="1" w:styleId="Heading7Char">
    <w:name w:val="Heading 7 Char"/>
    <w:basedOn w:val="DefaultParagraphFont"/>
    <w:uiPriority w:val="9"/>
    <w:semiHidden/>
    <w:rsid w:val="0082642F"/>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uiPriority w:val="9"/>
    <w:semiHidden/>
    <w:rsid w:val="0082642F"/>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uiPriority w:val="9"/>
    <w:semiHidden/>
    <w:rsid w:val="0082642F"/>
    <w:rPr>
      <w:rFonts w:asciiTheme="majorHAnsi" w:eastAsiaTheme="majorEastAsia" w:hAnsiTheme="majorHAnsi" w:cstheme="majorBidi"/>
      <w:i/>
      <w:iCs/>
      <w:color w:val="272727" w:themeColor="text1" w:themeTint="D8"/>
      <w:sz w:val="21"/>
      <w:szCs w:val="21"/>
      <w:lang w:val="en-AU"/>
    </w:rPr>
  </w:style>
  <w:style w:type="paragraph" w:customStyle="1" w:styleId="Subhead3Table">
    <w:name w:val="Subhead 3 Table"/>
    <w:basedOn w:val="Subhead3"/>
    <w:qFormat/>
    <w:rsid w:val="0037148C"/>
    <w:pPr>
      <w:spacing w:before="0" w:after="180"/>
    </w:pPr>
  </w:style>
  <w:style w:type="paragraph" w:customStyle="1" w:styleId="footnotesnumbering">
    <w:name w:val="footnotes numbering"/>
    <w:basedOn w:val="Footnote"/>
    <w:qFormat/>
    <w:rsid w:val="000217FD"/>
    <w:rPr>
      <w:outline/>
      <w:lang w:val="en-GB"/>
      <w14:textOutline w14:w="9525" w14:cap="flat" w14:cmpd="sng" w14:algn="ctr">
        <w14:solidFill>
          <w14:srgbClr w14:val="000000"/>
        </w14:solidFill>
        <w14:prstDash w14:val="solid"/>
        <w14:round/>
      </w14:textOutline>
      <w14:textFill>
        <w14:noFill/>
      </w14:textFill>
    </w:rPr>
  </w:style>
  <w:style w:type="paragraph" w:styleId="TOC2">
    <w:name w:val="toc 2"/>
    <w:basedOn w:val="Normal"/>
    <w:next w:val="Normal"/>
    <w:autoRedefine/>
    <w:uiPriority w:val="39"/>
    <w:unhideWhenUsed/>
    <w:rsid w:val="00810A15"/>
    <w:pPr>
      <w:tabs>
        <w:tab w:val="left" w:pos="7797"/>
        <w:tab w:val="right" w:leader="dot" w:pos="8364"/>
        <w:tab w:val="right" w:leader="dot" w:pos="10450"/>
      </w:tabs>
      <w:spacing w:after="120"/>
      <w:ind w:left="426" w:right="1388"/>
    </w:pPr>
  </w:style>
  <w:style w:type="paragraph" w:styleId="TOC3">
    <w:name w:val="toc 3"/>
    <w:basedOn w:val="Normal"/>
    <w:next w:val="Normal"/>
    <w:autoRedefine/>
    <w:uiPriority w:val="39"/>
    <w:unhideWhenUsed/>
    <w:rsid w:val="00C51FB8"/>
    <w:pPr>
      <w:ind w:left="400"/>
    </w:pPr>
  </w:style>
  <w:style w:type="paragraph" w:styleId="TOC4">
    <w:name w:val="toc 4"/>
    <w:basedOn w:val="Normal"/>
    <w:next w:val="Normal"/>
    <w:autoRedefine/>
    <w:uiPriority w:val="39"/>
    <w:unhideWhenUsed/>
    <w:rsid w:val="00C51FB8"/>
    <w:pPr>
      <w:ind w:left="600"/>
    </w:pPr>
  </w:style>
  <w:style w:type="paragraph" w:styleId="TOC5">
    <w:name w:val="toc 5"/>
    <w:basedOn w:val="Normal"/>
    <w:next w:val="Normal"/>
    <w:autoRedefine/>
    <w:uiPriority w:val="39"/>
    <w:unhideWhenUsed/>
    <w:rsid w:val="00C51FB8"/>
    <w:pPr>
      <w:ind w:left="800"/>
    </w:pPr>
  </w:style>
  <w:style w:type="paragraph" w:styleId="TOC6">
    <w:name w:val="toc 6"/>
    <w:basedOn w:val="Normal"/>
    <w:next w:val="Normal"/>
    <w:autoRedefine/>
    <w:uiPriority w:val="39"/>
    <w:unhideWhenUsed/>
    <w:rsid w:val="00C51FB8"/>
    <w:pPr>
      <w:ind w:left="1000"/>
    </w:pPr>
  </w:style>
  <w:style w:type="paragraph" w:styleId="TOC7">
    <w:name w:val="toc 7"/>
    <w:basedOn w:val="Normal"/>
    <w:next w:val="Normal"/>
    <w:autoRedefine/>
    <w:uiPriority w:val="39"/>
    <w:unhideWhenUsed/>
    <w:rsid w:val="00C51FB8"/>
    <w:pPr>
      <w:ind w:left="1200"/>
    </w:pPr>
  </w:style>
  <w:style w:type="paragraph" w:styleId="TOC8">
    <w:name w:val="toc 8"/>
    <w:basedOn w:val="Normal"/>
    <w:next w:val="Normal"/>
    <w:autoRedefine/>
    <w:uiPriority w:val="39"/>
    <w:unhideWhenUsed/>
    <w:rsid w:val="00C51FB8"/>
    <w:pPr>
      <w:ind w:left="1400"/>
    </w:pPr>
  </w:style>
  <w:style w:type="paragraph" w:styleId="TOC9">
    <w:name w:val="toc 9"/>
    <w:basedOn w:val="Normal"/>
    <w:next w:val="Normal"/>
    <w:autoRedefine/>
    <w:uiPriority w:val="39"/>
    <w:unhideWhenUsed/>
    <w:rsid w:val="00C51FB8"/>
    <w:pPr>
      <w:ind w:left="1600"/>
    </w:pPr>
  </w:style>
  <w:style w:type="character" w:styleId="Hyperlink">
    <w:name w:val="Hyperlink"/>
    <w:basedOn w:val="DefaultParagraphFont"/>
    <w:uiPriority w:val="99"/>
    <w:unhideWhenUsed/>
    <w:rsid w:val="008646F9"/>
    <w:rPr>
      <w:color w:val="0563C1" w:themeColor="hyperlink"/>
      <w:u w:val="single"/>
    </w:rPr>
  </w:style>
  <w:style w:type="character" w:styleId="FollowedHyperlink">
    <w:name w:val="FollowedHyperlink"/>
    <w:basedOn w:val="DefaultParagraphFont"/>
    <w:uiPriority w:val="99"/>
    <w:semiHidden/>
    <w:unhideWhenUsed/>
    <w:rsid w:val="00475066"/>
    <w:rPr>
      <w:color w:val="954F72" w:themeColor="followedHyperlink"/>
      <w:u w:val="single"/>
    </w:rPr>
  </w:style>
  <w:style w:type="paragraph" w:styleId="BalloonText">
    <w:name w:val="Balloon Text"/>
    <w:basedOn w:val="Normal"/>
    <w:link w:val="BalloonTextChar"/>
    <w:uiPriority w:val="99"/>
    <w:semiHidden/>
    <w:unhideWhenUsed/>
    <w:rsid w:val="00CD2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4A"/>
    <w:rPr>
      <w:rFonts w:ascii="Segoe UI" w:hAnsi="Segoe UI" w:cs="Segoe UI"/>
      <w:sz w:val="18"/>
      <w:szCs w:val="18"/>
      <w:lang w:val="en-AU"/>
    </w:rPr>
  </w:style>
  <w:style w:type="paragraph" w:styleId="ListBullet">
    <w:name w:val="List Bullet"/>
    <w:basedOn w:val="Normal"/>
    <w:uiPriority w:val="99"/>
    <w:unhideWhenUsed/>
    <w:qFormat/>
    <w:rsid w:val="005A6F45"/>
    <w:pPr>
      <w:numPr>
        <w:numId w:val="4"/>
      </w:numPr>
      <w:contextualSpacing/>
    </w:pPr>
  </w:style>
  <w:style w:type="table" w:styleId="TableGrid">
    <w:name w:val="Table Grid"/>
    <w:basedOn w:val="TableNormal"/>
    <w:uiPriority w:val="59"/>
    <w:rsid w:val="008E3E67"/>
    <w:rPr>
      <w:rFonts w:ascii="Arial" w:eastAsia="Calibri" w:hAnsi="Arial"/>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CommentReference">
    <w:name w:val="annotation reference"/>
    <w:basedOn w:val="DefaultParagraphFont"/>
    <w:uiPriority w:val="99"/>
    <w:semiHidden/>
    <w:unhideWhenUsed/>
    <w:rsid w:val="005B2706"/>
    <w:rPr>
      <w:sz w:val="16"/>
      <w:szCs w:val="16"/>
    </w:rPr>
  </w:style>
  <w:style w:type="paragraph" w:styleId="CommentText">
    <w:name w:val="annotation text"/>
    <w:basedOn w:val="Normal"/>
    <w:link w:val="CommentTextChar"/>
    <w:uiPriority w:val="99"/>
    <w:semiHidden/>
    <w:unhideWhenUsed/>
    <w:rsid w:val="005B2706"/>
  </w:style>
  <w:style w:type="character" w:customStyle="1" w:styleId="CommentTextChar">
    <w:name w:val="Comment Text Char"/>
    <w:basedOn w:val="DefaultParagraphFont"/>
    <w:link w:val="CommentText"/>
    <w:uiPriority w:val="99"/>
    <w:semiHidden/>
    <w:rsid w:val="005B2706"/>
    <w:rPr>
      <w:rFonts w:ascii="Arial" w:hAnsi="Arial"/>
      <w:lang w:val="en-AU"/>
    </w:rPr>
  </w:style>
  <w:style w:type="paragraph" w:styleId="CommentSubject">
    <w:name w:val="annotation subject"/>
    <w:basedOn w:val="CommentText"/>
    <w:next w:val="CommentText"/>
    <w:link w:val="CommentSubjectChar"/>
    <w:uiPriority w:val="99"/>
    <w:semiHidden/>
    <w:unhideWhenUsed/>
    <w:rsid w:val="005B2706"/>
    <w:rPr>
      <w:b/>
      <w:bCs/>
    </w:rPr>
  </w:style>
  <w:style w:type="character" w:customStyle="1" w:styleId="CommentSubjectChar">
    <w:name w:val="Comment Subject Char"/>
    <w:basedOn w:val="CommentTextChar"/>
    <w:link w:val="CommentSubject"/>
    <w:uiPriority w:val="99"/>
    <w:semiHidden/>
    <w:rsid w:val="005B2706"/>
    <w:rPr>
      <w:rFonts w:ascii="Arial" w:hAnsi="Arial"/>
      <w:b/>
      <w:bCs/>
      <w:lang w:val="en-AU"/>
    </w:rPr>
  </w:style>
  <w:style w:type="paragraph" w:styleId="FootnoteText">
    <w:name w:val="footnote text"/>
    <w:basedOn w:val="Normal"/>
    <w:link w:val="FootnoteTextChar"/>
    <w:uiPriority w:val="99"/>
    <w:unhideWhenUsed/>
    <w:rsid w:val="001222E8"/>
    <w:rPr>
      <w:rFonts w:eastAsia="Calibri"/>
    </w:rPr>
  </w:style>
  <w:style w:type="character" w:customStyle="1" w:styleId="FootnoteTextChar">
    <w:name w:val="Footnote Text Char"/>
    <w:basedOn w:val="DefaultParagraphFont"/>
    <w:link w:val="FootnoteText"/>
    <w:uiPriority w:val="99"/>
    <w:rsid w:val="001222E8"/>
    <w:rPr>
      <w:rFonts w:ascii="Arial" w:eastAsia="Calibri" w:hAnsi="Arial"/>
      <w:lang w:val="en-AU"/>
    </w:rPr>
  </w:style>
  <w:style w:type="character" w:styleId="FootnoteReference">
    <w:name w:val="footnote reference"/>
    <w:aliases w:val="EN Footnote Reference,SUPERS,number,(NECG) Footnote Reference"/>
    <w:basedOn w:val="DefaultParagraphFont"/>
    <w:uiPriority w:val="99"/>
    <w:unhideWhenUsed/>
    <w:rsid w:val="001222E8"/>
    <w:rPr>
      <w:vertAlign w:val="superscript"/>
    </w:rPr>
  </w:style>
  <w:style w:type="paragraph" w:styleId="ListBullet2">
    <w:name w:val="List Bullet 2"/>
    <w:basedOn w:val="Normal"/>
    <w:uiPriority w:val="99"/>
    <w:unhideWhenUsed/>
    <w:rsid w:val="001222E8"/>
    <w:pPr>
      <w:numPr>
        <w:numId w:val="5"/>
      </w:numPr>
      <w:contextualSpacing/>
    </w:pPr>
  </w:style>
  <w:style w:type="paragraph" w:styleId="ListBullet3">
    <w:name w:val="List Bullet 3"/>
    <w:basedOn w:val="Normal"/>
    <w:uiPriority w:val="99"/>
    <w:unhideWhenUsed/>
    <w:rsid w:val="00961E5D"/>
    <w:pPr>
      <w:numPr>
        <w:numId w:val="7"/>
      </w:numPr>
      <w:contextualSpacing/>
    </w:pPr>
  </w:style>
  <w:style w:type="numbering" w:customStyle="1" w:styleId="BulletList">
    <w:name w:val="Bullet List"/>
    <w:uiPriority w:val="99"/>
    <w:rsid w:val="00961E5D"/>
    <w:pPr>
      <w:numPr>
        <w:numId w:val="8"/>
      </w:numPr>
    </w:pPr>
  </w:style>
  <w:style w:type="paragraph" w:styleId="ListBullet4">
    <w:name w:val="List Bullet 4"/>
    <w:basedOn w:val="Normal"/>
    <w:uiPriority w:val="99"/>
    <w:unhideWhenUsed/>
    <w:rsid w:val="00961E5D"/>
    <w:pPr>
      <w:spacing w:after="200" w:line="276" w:lineRule="auto"/>
      <w:ind w:left="1474" w:hanging="368"/>
    </w:pPr>
    <w:rPr>
      <w:rFonts w:eastAsia="Calibri"/>
      <w:sz w:val="22"/>
      <w:szCs w:val="22"/>
    </w:rPr>
  </w:style>
  <w:style w:type="paragraph" w:styleId="ListBullet5">
    <w:name w:val="List Bullet 5"/>
    <w:basedOn w:val="Normal"/>
    <w:uiPriority w:val="99"/>
    <w:unhideWhenUsed/>
    <w:rsid w:val="00961E5D"/>
    <w:pPr>
      <w:spacing w:after="200" w:line="276" w:lineRule="auto"/>
      <w:ind w:left="1800" w:hanging="360"/>
    </w:pPr>
    <w:rPr>
      <w:rFonts w:eastAsia="Calibri"/>
      <w:sz w:val="22"/>
      <w:szCs w:val="22"/>
    </w:rPr>
  </w:style>
  <w:style w:type="paragraph" w:styleId="ListParagraph">
    <w:name w:val="List Paragraph"/>
    <w:basedOn w:val="Normal"/>
    <w:uiPriority w:val="34"/>
    <w:qFormat/>
    <w:rsid w:val="00961E5D"/>
    <w:pPr>
      <w:ind w:left="720"/>
      <w:contextualSpacing/>
    </w:pPr>
  </w:style>
  <w:style w:type="paragraph" w:styleId="Title">
    <w:name w:val="Title"/>
    <w:basedOn w:val="Subhead1"/>
    <w:next w:val="Normal"/>
    <w:link w:val="TitleChar"/>
    <w:uiPriority w:val="10"/>
    <w:qFormat/>
    <w:rsid w:val="00E604BD"/>
    <w:pPr>
      <w:spacing w:line="288" w:lineRule="auto"/>
      <w:ind w:left="567" w:hanging="567"/>
    </w:pPr>
  </w:style>
  <w:style w:type="character" w:customStyle="1" w:styleId="TitleChar">
    <w:name w:val="Title Char"/>
    <w:basedOn w:val="DefaultParagraphFont"/>
    <w:link w:val="Title"/>
    <w:uiPriority w:val="10"/>
    <w:rsid w:val="00E604BD"/>
    <w:rPr>
      <w:rFonts w:ascii="Arial" w:hAnsi="Arial" w:cs="MyriadPro-Regular"/>
      <w:color w:val="000000"/>
      <w:sz w:val="52"/>
      <w:szCs w:val="52"/>
    </w:rPr>
  </w:style>
  <w:style w:type="character" w:customStyle="1" w:styleId="Heading1Char1">
    <w:name w:val="Heading 1 Char1"/>
    <w:basedOn w:val="DefaultParagraphFont"/>
    <w:link w:val="Heading1"/>
    <w:uiPriority w:val="9"/>
    <w:rsid w:val="00E604BD"/>
    <w:rPr>
      <w:rFonts w:ascii="Arial" w:hAnsi="Arial" w:cs="MyriadPro-Regular"/>
      <w:color w:val="000000"/>
      <w:sz w:val="52"/>
      <w:szCs w:val="52"/>
    </w:rPr>
  </w:style>
  <w:style w:type="character" w:customStyle="1" w:styleId="Heading2Char1">
    <w:name w:val="Heading 2 Char1"/>
    <w:basedOn w:val="DefaultParagraphFont"/>
    <w:link w:val="Heading2"/>
    <w:uiPriority w:val="9"/>
    <w:rsid w:val="00E604BD"/>
    <w:rPr>
      <w:rFonts w:ascii="Arial" w:hAnsi="Arial" w:cs="MyriadPro-Regular"/>
      <w:color w:val="000000"/>
      <w:sz w:val="32"/>
      <w:szCs w:val="28"/>
      <w:lang w:val="en-GB"/>
    </w:rPr>
  </w:style>
  <w:style w:type="character" w:customStyle="1" w:styleId="Heading3Char1">
    <w:name w:val="Heading 3 Char1"/>
    <w:basedOn w:val="DefaultParagraphFont"/>
    <w:link w:val="Heading3"/>
    <w:uiPriority w:val="9"/>
    <w:rsid w:val="00E604BD"/>
    <w:rPr>
      <w:rFonts w:ascii="Arial" w:eastAsia="Calibri" w:hAnsi="Arial"/>
      <w:b/>
      <w:bCs/>
      <w:sz w:val="24"/>
      <w:szCs w:val="22"/>
      <w:lang w:val="en-AU"/>
    </w:rPr>
  </w:style>
  <w:style w:type="character" w:styleId="Strong">
    <w:name w:val="Strong"/>
    <w:basedOn w:val="DefaultParagraphFont"/>
    <w:uiPriority w:val="22"/>
    <w:qFormat/>
    <w:rsid w:val="00B73DEB"/>
    <w:rPr>
      <w:b/>
      <w:bCs/>
      <w:sz w:val="24"/>
      <w:szCs w:val="24"/>
      <w:bdr w:val="none" w:sz="0" w:space="0" w:color="auto" w:frame="1"/>
      <w:vertAlign w:val="baseline"/>
    </w:rPr>
  </w:style>
  <w:style w:type="paragraph" w:styleId="NormalWeb">
    <w:name w:val="Normal (Web)"/>
    <w:basedOn w:val="Normal"/>
    <w:uiPriority w:val="99"/>
    <w:semiHidden/>
    <w:unhideWhenUsed/>
    <w:rsid w:val="00B73DEB"/>
    <w:pPr>
      <w:textAlignment w:val="baseline"/>
    </w:pPr>
    <w:rPr>
      <w:rFonts w:ascii="Times New Roman" w:hAnsi="Times New Roman"/>
      <w:sz w:val="24"/>
      <w:szCs w:val="24"/>
      <w:lang w:eastAsia="en-AU"/>
    </w:rPr>
  </w:style>
  <w:style w:type="paragraph" w:styleId="TOCHeading">
    <w:name w:val="TOC Heading"/>
    <w:basedOn w:val="Heading1"/>
    <w:next w:val="Normal"/>
    <w:uiPriority w:val="39"/>
    <w:unhideWhenUsed/>
    <w:qFormat/>
    <w:rsid w:val="009474B0"/>
    <w:pPr>
      <w:keepNext/>
      <w:keepLines/>
      <w:widowControl/>
      <w:tabs>
        <w:tab w:val="clear" w:pos="5812"/>
      </w:tabs>
      <w:suppressAutoHyphens w:val="0"/>
      <w:autoSpaceDE/>
      <w:autoSpaceDN/>
      <w:adjustRightInd/>
      <w:spacing w:before="240" w:after="0" w:line="259" w:lineRule="auto"/>
      <w:ind w:left="0" w:firstLine="0"/>
      <w:textAlignment w:val="auto"/>
      <w:outlineLvl w:val="9"/>
    </w:pPr>
    <w:rPr>
      <w:rFonts w:asciiTheme="majorHAnsi" w:eastAsiaTheme="majorEastAsia" w:hAnsiTheme="majorHAnsi" w:cstheme="majorBidi"/>
      <w:color w:val="2F5496" w:themeColor="accent1" w:themeShade="BF"/>
      <w:sz w:val="32"/>
      <w:szCs w:val="32"/>
    </w:rPr>
  </w:style>
  <w:style w:type="paragraph" w:styleId="ListNumber">
    <w:name w:val="List Number"/>
    <w:basedOn w:val="Normal"/>
    <w:uiPriority w:val="99"/>
    <w:unhideWhenUsed/>
    <w:rsid w:val="005B3CFE"/>
    <w:pPr>
      <w:numPr>
        <w:numId w:val="10"/>
      </w:numPr>
      <w:contextualSpacing/>
    </w:pPr>
  </w:style>
  <w:style w:type="character" w:customStyle="1" w:styleId="E3BulletsChar">
    <w:name w:val="E3 Bullets Char"/>
    <w:basedOn w:val="DefaultParagraphFont"/>
    <w:link w:val="E3Bullets"/>
    <w:locked/>
    <w:rsid w:val="00674732"/>
    <w:rPr>
      <w:rFonts w:ascii="Calibri" w:hAnsi="Calibri"/>
    </w:rPr>
  </w:style>
  <w:style w:type="paragraph" w:customStyle="1" w:styleId="E3Bullets">
    <w:name w:val="E3 Bullets"/>
    <w:basedOn w:val="Normal"/>
    <w:link w:val="E3BulletsChar"/>
    <w:rsid w:val="00674732"/>
    <w:pPr>
      <w:numPr>
        <w:numId w:val="13"/>
      </w:numPr>
      <w:autoSpaceDE w:val="0"/>
      <w:autoSpaceDN w:val="0"/>
      <w:spacing w:after="120" w:line="300" w:lineRule="auto"/>
      <w:contextualSpacing/>
    </w:pPr>
    <w:rPr>
      <w:rFonts w:ascii="Calibri" w:hAnsi="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2735">
      <w:bodyDiv w:val="1"/>
      <w:marLeft w:val="0"/>
      <w:marRight w:val="0"/>
      <w:marTop w:val="0"/>
      <w:marBottom w:val="0"/>
      <w:divBdr>
        <w:top w:val="none" w:sz="0" w:space="0" w:color="auto"/>
        <w:left w:val="none" w:sz="0" w:space="0" w:color="auto"/>
        <w:bottom w:val="none" w:sz="0" w:space="0" w:color="auto"/>
        <w:right w:val="none" w:sz="0" w:space="0" w:color="auto"/>
      </w:divBdr>
    </w:div>
    <w:div w:id="132915269">
      <w:bodyDiv w:val="1"/>
      <w:marLeft w:val="0"/>
      <w:marRight w:val="0"/>
      <w:marTop w:val="0"/>
      <w:marBottom w:val="0"/>
      <w:divBdr>
        <w:top w:val="none" w:sz="0" w:space="0" w:color="auto"/>
        <w:left w:val="none" w:sz="0" w:space="0" w:color="auto"/>
        <w:bottom w:val="none" w:sz="0" w:space="0" w:color="auto"/>
        <w:right w:val="none" w:sz="0" w:space="0" w:color="auto"/>
      </w:divBdr>
    </w:div>
    <w:div w:id="135876044">
      <w:bodyDiv w:val="1"/>
      <w:marLeft w:val="0"/>
      <w:marRight w:val="0"/>
      <w:marTop w:val="0"/>
      <w:marBottom w:val="0"/>
      <w:divBdr>
        <w:top w:val="none" w:sz="0" w:space="0" w:color="auto"/>
        <w:left w:val="none" w:sz="0" w:space="0" w:color="auto"/>
        <w:bottom w:val="none" w:sz="0" w:space="0" w:color="auto"/>
        <w:right w:val="none" w:sz="0" w:space="0" w:color="auto"/>
      </w:divBdr>
    </w:div>
    <w:div w:id="160974732">
      <w:bodyDiv w:val="1"/>
      <w:marLeft w:val="0"/>
      <w:marRight w:val="0"/>
      <w:marTop w:val="0"/>
      <w:marBottom w:val="0"/>
      <w:divBdr>
        <w:top w:val="none" w:sz="0" w:space="0" w:color="auto"/>
        <w:left w:val="none" w:sz="0" w:space="0" w:color="auto"/>
        <w:bottom w:val="none" w:sz="0" w:space="0" w:color="auto"/>
        <w:right w:val="none" w:sz="0" w:space="0" w:color="auto"/>
      </w:divBdr>
    </w:div>
    <w:div w:id="175314480">
      <w:bodyDiv w:val="1"/>
      <w:marLeft w:val="0"/>
      <w:marRight w:val="0"/>
      <w:marTop w:val="0"/>
      <w:marBottom w:val="0"/>
      <w:divBdr>
        <w:top w:val="none" w:sz="0" w:space="0" w:color="auto"/>
        <w:left w:val="none" w:sz="0" w:space="0" w:color="auto"/>
        <w:bottom w:val="none" w:sz="0" w:space="0" w:color="auto"/>
        <w:right w:val="none" w:sz="0" w:space="0" w:color="auto"/>
      </w:divBdr>
    </w:div>
    <w:div w:id="194120878">
      <w:bodyDiv w:val="1"/>
      <w:marLeft w:val="0"/>
      <w:marRight w:val="0"/>
      <w:marTop w:val="0"/>
      <w:marBottom w:val="0"/>
      <w:divBdr>
        <w:top w:val="none" w:sz="0" w:space="0" w:color="auto"/>
        <w:left w:val="none" w:sz="0" w:space="0" w:color="auto"/>
        <w:bottom w:val="none" w:sz="0" w:space="0" w:color="auto"/>
        <w:right w:val="none" w:sz="0" w:space="0" w:color="auto"/>
      </w:divBdr>
    </w:div>
    <w:div w:id="201752161">
      <w:bodyDiv w:val="1"/>
      <w:marLeft w:val="0"/>
      <w:marRight w:val="0"/>
      <w:marTop w:val="0"/>
      <w:marBottom w:val="0"/>
      <w:divBdr>
        <w:top w:val="none" w:sz="0" w:space="0" w:color="auto"/>
        <w:left w:val="none" w:sz="0" w:space="0" w:color="auto"/>
        <w:bottom w:val="none" w:sz="0" w:space="0" w:color="auto"/>
        <w:right w:val="none" w:sz="0" w:space="0" w:color="auto"/>
      </w:divBdr>
    </w:div>
    <w:div w:id="224994409">
      <w:bodyDiv w:val="1"/>
      <w:marLeft w:val="0"/>
      <w:marRight w:val="0"/>
      <w:marTop w:val="0"/>
      <w:marBottom w:val="0"/>
      <w:divBdr>
        <w:top w:val="none" w:sz="0" w:space="0" w:color="auto"/>
        <w:left w:val="none" w:sz="0" w:space="0" w:color="auto"/>
        <w:bottom w:val="none" w:sz="0" w:space="0" w:color="auto"/>
        <w:right w:val="none" w:sz="0" w:space="0" w:color="auto"/>
      </w:divBdr>
    </w:div>
    <w:div w:id="242952618">
      <w:bodyDiv w:val="1"/>
      <w:marLeft w:val="0"/>
      <w:marRight w:val="0"/>
      <w:marTop w:val="0"/>
      <w:marBottom w:val="0"/>
      <w:divBdr>
        <w:top w:val="none" w:sz="0" w:space="0" w:color="auto"/>
        <w:left w:val="none" w:sz="0" w:space="0" w:color="auto"/>
        <w:bottom w:val="none" w:sz="0" w:space="0" w:color="auto"/>
        <w:right w:val="none" w:sz="0" w:space="0" w:color="auto"/>
      </w:divBdr>
    </w:div>
    <w:div w:id="318459841">
      <w:bodyDiv w:val="1"/>
      <w:marLeft w:val="0"/>
      <w:marRight w:val="0"/>
      <w:marTop w:val="0"/>
      <w:marBottom w:val="0"/>
      <w:divBdr>
        <w:top w:val="none" w:sz="0" w:space="0" w:color="auto"/>
        <w:left w:val="none" w:sz="0" w:space="0" w:color="auto"/>
        <w:bottom w:val="none" w:sz="0" w:space="0" w:color="auto"/>
        <w:right w:val="none" w:sz="0" w:space="0" w:color="auto"/>
      </w:divBdr>
    </w:div>
    <w:div w:id="376465718">
      <w:bodyDiv w:val="1"/>
      <w:marLeft w:val="0"/>
      <w:marRight w:val="0"/>
      <w:marTop w:val="0"/>
      <w:marBottom w:val="0"/>
      <w:divBdr>
        <w:top w:val="none" w:sz="0" w:space="0" w:color="auto"/>
        <w:left w:val="none" w:sz="0" w:space="0" w:color="auto"/>
        <w:bottom w:val="none" w:sz="0" w:space="0" w:color="auto"/>
        <w:right w:val="none" w:sz="0" w:space="0" w:color="auto"/>
      </w:divBdr>
    </w:div>
    <w:div w:id="431710650">
      <w:bodyDiv w:val="1"/>
      <w:marLeft w:val="0"/>
      <w:marRight w:val="0"/>
      <w:marTop w:val="0"/>
      <w:marBottom w:val="0"/>
      <w:divBdr>
        <w:top w:val="none" w:sz="0" w:space="0" w:color="auto"/>
        <w:left w:val="none" w:sz="0" w:space="0" w:color="auto"/>
        <w:bottom w:val="none" w:sz="0" w:space="0" w:color="auto"/>
        <w:right w:val="none" w:sz="0" w:space="0" w:color="auto"/>
      </w:divBdr>
    </w:div>
    <w:div w:id="455951332">
      <w:bodyDiv w:val="1"/>
      <w:marLeft w:val="0"/>
      <w:marRight w:val="0"/>
      <w:marTop w:val="0"/>
      <w:marBottom w:val="0"/>
      <w:divBdr>
        <w:top w:val="none" w:sz="0" w:space="0" w:color="auto"/>
        <w:left w:val="none" w:sz="0" w:space="0" w:color="auto"/>
        <w:bottom w:val="none" w:sz="0" w:space="0" w:color="auto"/>
        <w:right w:val="none" w:sz="0" w:space="0" w:color="auto"/>
      </w:divBdr>
      <w:divsChild>
        <w:div w:id="392854187">
          <w:marLeft w:val="0"/>
          <w:marRight w:val="0"/>
          <w:marTop w:val="0"/>
          <w:marBottom w:val="0"/>
          <w:divBdr>
            <w:top w:val="none" w:sz="0" w:space="0" w:color="auto"/>
            <w:left w:val="none" w:sz="0" w:space="0" w:color="auto"/>
            <w:bottom w:val="none" w:sz="0" w:space="0" w:color="auto"/>
            <w:right w:val="none" w:sz="0" w:space="0" w:color="auto"/>
          </w:divBdr>
          <w:divsChild>
            <w:div w:id="1943756654">
              <w:marLeft w:val="0"/>
              <w:marRight w:val="0"/>
              <w:marTop w:val="0"/>
              <w:marBottom w:val="0"/>
              <w:divBdr>
                <w:top w:val="none" w:sz="0" w:space="0" w:color="auto"/>
                <w:left w:val="none" w:sz="0" w:space="0" w:color="auto"/>
                <w:bottom w:val="none" w:sz="0" w:space="0" w:color="auto"/>
                <w:right w:val="none" w:sz="0" w:space="0" w:color="auto"/>
              </w:divBdr>
              <w:divsChild>
                <w:div w:id="890388524">
                  <w:marLeft w:val="0"/>
                  <w:marRight w:val="0"/>
                  <w:marTop w:val="0"/>
                  <w:marBottom w:val="0"/>
                  <w:divBdr>
                    <w:top w:val="none" w:sz="0" w:space="0" w:color="auto"/>
                    <w:left w:val="none" w:sz="0" w:space="0" w:color="auto"/>
                    <w:bottom w:val="none" w:sz="0" w:space="0" w:color="auto"/>
                    <w:right w:val="none" w:sz="0" w:space="0" w:color="auto"/>
                  </w:divBdr>
                  <w:divsChild>
                    <w:div w:id="2040086714">
                      <w:marLeft w:val="0"/>
                      <w:marRight w:val="0"/>
                      <w:marTop w:val="45"/>
                      <w:marBottom w:val="0"/>
                      <w:divBdr>
                        <w:top w:val="none" w:sz="0" w:space="0" w:color="auto"/>
                        <w:left w:val="none" w:sz="0" w:space="0" w:color="auto"/>
                        <w:bottom w:val="none" w:sz="0" w:space="0" w:color="auto"/>
                        <w:right w:val="none" w:sz="0" w:space="0" w:color="auto"/>
                      </w:divBdr>
                      <w:divsChild>
                        <w:div w:id="1484468634">
                          <w:marLeft w:val="150"/>
                          <w:marRight w:val="150"/>
                          <w:marTop w:val="0"/>
                          <w:marBottom w:val="0"/>
                          <w:divBdr>
                            <w:top w:val="none" w:sz="0" w:space="0" w:color="auto"/>
                            <w:left w:val="none" w:sz="0" w:space="0" w:color="auto"/>
                            <w:bottom w:val="none" w:sz="0" w:space="0" w:color="auto"/>
                            <w:right w:val="none" w:sz="0" w:space="0" w:color="auto"/>
                          </w:divBdr>
                          <w:divsChild>
                            <w:div w:id="553078221">
                              <w:marLeft w:val="0"/>
                              <w:marRight w:val="0"/>
                              <w:marTop w:val="0"/>
                              <w:marBottom w:val="0"/>
                              <w:divBdr>
                                <w:top w:val="none" w:sz="0" w:space="0" w:color="auto"/>
                                <w:left w:val="none" w:sz="0" w:space="0" w:color="auto"/>
                                <w:bottom w:val="none" w:sz="0" w:space="0" w:color="auto"/>
                                <w:right w:val="none" w:sz="0" w:space="0" w:color="auto"/>
                              </w:divBdr>
                              <w:divsChild>
                                <w:div w:id="1299338674">
                                  <w:marLeft w:val="0"/>
                                  <w:marRight w:val="0"/>
                                  <w:marTop w:val="0"/>
                                  <w:marBottom w:val="0"/>
                                  <w:divBdr>
                                    <w:top w:val="none" w:sz="0" w:space="0" w:color="auto"/>
                                    <w:left w:val="none" w:sz="0" w:space="0" w:color="auto"/>
                                    <w:bottom w:val="none" w:sz="0" w:space="0" w:color="auto"/>
                                    <w:right w:val="none" w:sz="0" w:space="0" w:color="auto"/>
                                  </w:divBdr>
                                  <w:divsChild>
                                    <w:div w:id="2127120201">
                                      <w:marLeft w:val="0"/>
                                      <w:marRight w:val="0"/>
                                      <w:marTop w:val="0"/>
                                      <w:marBottom w:val="0"/>
                                      <w:divBdr>
                                        <w:top w:val="none" w:sz="0" w:space="0" w:color="auto"/>
                                        <w:left w:val="none" w:sz="0" w:space="0" w:color="auto"/>
                                        <w:bottom w:val="none" w:sz="0" w:space="0" w:color="auto"/>
                                        <w:right w:val="none" w:sz="0" w:space="0" w:color="auto"/>
                                      </w:divBdr>
                                      <w:divsChild>
                                        <w:div w:id="1237202481">
                                          <w:marLeft w:val="0"/>
                                          <w:marRight w:val="0"/>
                                          <w:marTop w:val="0"/>
                                          <w:marBottom w:val="0"/>
                                          <w:divBdr>
                                            <w:top w:val="none" w:sz="0" w:space="0" w:color="auto"/>
                                            <w:left w:val="none" w:sz="0" w:space="0" w:color="auto"/>
                                            <w:bottom w:val="none" w:sz="0" w:space="0" w:color="auto"/>
                                            <w:right w:val="none" w:sz="0" w:space="0" w:color="auto"/>
                                          </w:divBdr>
                                          <w:divsChild>
                                            <w:div w:id="1599017927">
                                              <w:marLeft w:val="0"/>
                                              <w:marRight w:val="0"/>
                                              <w:marTop w:val="0"/>
                                              <w:marBottom w:val="0"/>
                                              <w:divBdr>
                                                <w:top w:val="none" w:sz="0" w:space="0" w:color="auto"/>
                                                <w:left w:val="none" w:sz="0" w:space="0" w:color="auto"/>
                                                <w:bottom w:val="none" w:sz="0" w:space="0" w:color="auto"/>
                                                <w:right w:val="none" w:sz="0" w:space="0" w:color="auto"/>
                                              </w:divBdr>
                                              <w:divsChild>
                                                <w:div w:id="928467305">
                                                  <w:marLeft w:val="0"/>
                                                  <w:marRight w:val="0"/>
                                                  <w:marTop w:val="0"/>
                                                  <w:marBottom w:val="0"/>
                                                  <w:divBdr>
                                                    <w:top w:val="none" w:sz="0" w:space="0" w:color="auto"/>
                                                    <w:left w:val="none" w:sz="0" w:space="0" w:color="auto"/>
                                                    <w:bottom w:val="none" w:sz="0" w:space="0" w:color="auto"/>
                                                    <w:right w:val="none" w:sz="0" w:space="0" w:color="auto"/>
                                                  </w:divBdr>
                                                  <w:divsChild>
                                                    <w:div w:id="663122">
                                                      <w:marLeft w:val="0"/>
                                                      <w:marRight w:val="0"/>
                                                      <w:marTop w:val="0"/>
                                                      <w:marBottom w:val="0"/>
                                                      <w:divBdr>
                                                        <w:top w:val="none" w:sz="0" w:space="0" w:color="auto"/>
                                                        <w:left w:val="none" w:sz="0" w:space="0" w:color="auto"/>
                                                        <w:bottom w:val="none" w:sz="0" w:space="0" w:color="auto"/>
                                                        <w:right w:val="none" w:sz="0" w:space="0" w:color="auto"/>
                                                      </w:divBdr>
                                                      <w:divsChild>
                                                        <w:div w:id="2021227949">
                                                          <w:marLeft w:val="0"/>
                                                          <w:marRight w:val="0"/>
                                                          <w:marTop w:val="0"/>
                                                          <w:marBottom w:val="0"/>
                                                          <w:divBdr>
                                                            <w:top w:val="none" w:sz="0" w:space="0" w:color="auto"/>
                                                            <w:left w:val="none" w:sz="0" w:space="0" w:color="auto"/>
                                                            <w:bottom w:val="none" w:sz="0" w:space="0" w:color="auto"/>
                                                            <w:right w:val="none" w:sz="0" w:space="0" w:color="auto"/>
                                                          </w:divBdr>
                                                          <w:divsChild>
                                                            <w:div w:id="115608186">
                                                              <w:marLeft w:val="0"/>
                                                              <w:marRight w:val="0"/>
                                                              <w:marTop w:val="0"/>
                                                              <w:marBottom w:val="0"/>
                                                              <w:divBdr>
                                                                <w:top w:val="none" w:sz="0" w:space="0" w:color="auto"/>
                                                                <w:left w:val="none" w:sz="0" w:space="0" w:color="auto"/>
                                                                <w:bottom w:val="none" w:sz="0" w:space="0" w:color="auto"/>
                                                                <w:right w:val="none" w:sz="0" w:space="0" w:color="auto"/>
                                                              </w:divBdr>
                                                              <w:divsChild>
                                                                <w:div w:id="1474175198">
                                                                  <w:marLeft w:val="0"/>
                                                                  <w:marRight w:val="0"/>
                                                                  <w:marTop w:val="0"/>
                                                                  <w:marBottom w:val="0"/>
                                                                  <w:divBdr>
                                                                    <w:top w:val="none" w:sz="0" w:space="0" w:color="auto"/>
                                                                    <w:left w:val="none" w:sz="0" w:space="0" w:color="auto"/>
                                                                    <w:bottom w:val="none" w:sz="0" w:space="0" w:color="auto"/>
                                                                    <w:right w:val="none" w:sz="0" w:space="0" w:color="auto"/>
                                                                  </w:divBdr>
                                                                  <w:divsChild>
                                                                    <w:div w:id="770008790">
                                                                      <w:marLeft w:val="0"/>
                                                                      <w:marRight w:val="0"/>
                                                                      <w:marTop w:val="480"/>
                                                                      <w:marBottom w:val="480"/>
                                                                      <w:divBdr>
                                                                        <w:top w:val="none" w:sz="0" w:space="0" w:color="auto"/>
                                                                        <w:left w:val="none" w:sz="0" w:space="0" w:color="auto"/>
                                                                        <w:bottom w:val="none" w:sz="0" w:space="0" w:color="auto"/>
                                                                        <w:right w:val="none" w:sz="0" w:space="0" w:color="auto"/>
                                                                      </w:divBdr>
                                                                      <w:divsChild>
                                                                        <w:div w:id="1438014458">
                                                                          <w:marLeft w:val="0"/>
                                                                          <w:marRight w:val="0"/>
                                                                          <w:marTop w:val="0"/>
                                                                          <w:marBottom w:val="0"/>
                                                                          <w:divBdr>
                                                                            <w:top w:val="none" w:sz="0" w:space="0" w:color="auto"/>
                                                                            <w:left w:val="none" w:sz="0" w:space="0" w:color="auto"/>
                                                                            <w:bottom w:val="none" w:sz="0" w:space="0" w:color="auto"/>
                                                                            <w:right w:val="none" w:sz="0" w:space="0" w:color="auto"/>
                                                                          </w:divBdr>
                                                                          <w:divsChild>
                                                                            <w:div w:id="260336893">
                                                                              <w:marLeft w:val="0"/>
                                                                              <w:marRight w:val="0"/>
                                                                              <w:marTop w:val="300"/>
                                                                              <w:marBottom w:val="0"/>
                                                                              <w:divBdr>
                                                                                <w:top w:val="none" w:sz="0" w:space="0" w:color="auto"/>
                                                                                <w:left w:val="none" w:sz="0" w:space="0" w:color="auto"/>
                                                                                <w:bottom w:val="none" w:sz="0" w:space="0" w:color="auto"/>
                                                                                <w:right w:val="none" w:sz="0" w:space="0" w:color="auto"/>
                                                                              </w:divBdr>
                                                                              <w:divsChild>
                                                                                <w:div w:id="133909563">
                                                                                  <w:marLeft w:val="0"/>
                                                                                  <w:marRight w:val="0"/>
                                                                                  <w:marTop w:val="0"/>
                                                                                  <w:marBottom w:val="0"/>
                                                                                  <w:divBdr>
                                                                                    <w:top w:val="none" w:sz="0" w:space="0" w:color="auto"/>
                                                                                    <w:left w:val="none" w:sz="0" w:space="0" w:color="auto"/>
                                                                                    <w:bottom w:val="none" w:sz="0" w:space="0" w:color="auto"/>
                                                                                    <w:right w:val="none" w:sz="0" w:space="0" w:color="auto"/>
                                                                                  </w:divBdr>
                                                                                  <w:divsChild>
                                                                                    <w:div w:id="8664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067590">
      <w:bodyDiv w:val="1"/>
      <w:marLeft w:val="0"/>
      <w:marRight w:val="0"/>
      <w:marTop w:val="0"/>
      <w:marBottom w:val="0"/>
      <w:divBdr>
        <w:top w:val="none" w:sz="0" w:space="0" w:color="auto"/>
        <w:left w:val="none" w:sz="0" w:space="0" w:color="auto"/>
        <w:bottom w:val="none" w:sz="0" w:space="0" w:color="auto"/>
        <w:right w:val="none" w:sz="0" w:space="0" w:color="auto"/>
      </w:divBdr>
    </w:div>
    <w:div w:id="477572379">
      <w:bodyDiv w:val="1"/>
      <w:marLeft w:val="0"/>
      <w:marRight w:val="0"/>
      <w:marTop w:val="0"/>
      <w:marBottom w:val="0"/>
      <w:divBdr>
        <w:top w:val="none" w:sz="0" w:space="0" w:color="auto"/>
        <w:left w:val="none" w:sz="0" w:space="0" w:color="auto"/>
        <w:bottom w:val="none" w:sz="0" w:space="0" w:color="auto"/>
        <w:right w:val="none" w:sz="0" w:space="0" w:color="auto"/>
      </w:divBdr>
    </w:div>
    <w:div w:id="496001476">
      <w:bodyDiv w:val="1"/>
      <w:marLeft w:val="0"/>
      <w:marRight w:val="0"/>
      <w:marTop w:val="0"/>
      <w:marBottom w:val="0"/>
      <w:divBdr>
        <w:top w:val="none" w:sz="0" w:space="0" w:color="auto"/>
        <w:left w:val="none" w:sz="0" w:space="0" w:color="auto"/>
        <w:bottom w:val="none" w:sz="0" w:space="0" w:color="auto"/>
        <w:right w:val="none" w:sz="0" w:space="0" w:color="auto"/>
      </w:divBdr>
    </w:div>
    <w:div w:id="520051356">
      <w:bodyDiv w:val="1"/>
      <w:marLeft w:val="0"/>
      <w:marRight w:val="0"/>
      <w:marTop w:val="0"/>
      <w:marBottom w:val="0"/>
      <w:divBdr>
        <w:top w:val="none" w:sz="0" w:space="0" w:color="auto"/>
        <w:left w:val="none" w:sz="0" w:space="0" w:color="auto"/>
        <w:bottom w:val="none" w:sz="0" w:space="0" w:color="auto"/>
        <w:right w:val="none" w:sz="0" w:space="0" w:color="auto"/>
      </w:divBdr>
    </w:div>
    <w:div w:id="541988071">
      <w:bodyDiv w:val="1"/>
      <w:marLeft w:val="0"/>
      <w:marRight w:val="0"/>
      <w:marTop w:val="0"/>
      <w:marBottom w:val="0"/>
      <w:divBdr>
        <w:top w:val="none" w:sz="0" w:space="0" w:color="auto"/>
        <w:left w:val="none" w:sz="0" w:space="0" w:color="auto"/>
        <w:bottom w:val="none" w:sz="0" w:space="0" w:color="auto"/>
        <w:right w:val="none" w:sz="0" w:space="0" w:color="auto"/>
      </w:divBdr>
    </w:div>
    <w:div w:id="618294943">
      <w:bodyDiv w:val="1"/>
      <w:marLeft w:val="0"/>
      <w:marRight w:val="0"/>
      <w:marTop w:val="0"/>
      <w:marBottom w:val="0"/>
      <w:divBdr>
        <w:top w:val="none" w:sz="0" w:space="0" w:color="auto"/>
        <w:left w:val="none" w:sz="0" w:space="0" w:color="auto"/>
        <w:bottom w:val="none" w:sz="0" w:space="0" w:color="auto"/>
        <w:right w:val="none" w:sz="0" w:space="0" w:color="auto"/>
      </w:divBdr>
    </w:div>
    <w:div w:id="641740596">
      <w:bodyDiv w:val="1"/>
      <w:marLeft w:val="0"/>
      <w:marRight w:val="0"/>
      <w:marTop w:val="0"/>
      <w:marBottom w:val="0"/>
      <w:divBdr>
        <w:top w:val="none" w:sz="0" w:space="0" w:color="auto"/>
        <w:left w:val="none" w:sz="0" w:space="0" w:color="auto"/>
        <w:bottom w:val="none" w:sz="0" w:space="0" w:color="auto"/>
        <w:right w:val="none" w:sz="0" w:space="0" w:color="auto"/>
      </w:divBdr>
    </w:div>
    <w:div w:id="647172842">
      <w:bodyDiv w:val="1"/>
      <w:marLeft w:val="0"/>
      <w:marRight w:val="0"/>
      <w:marTop w:val="0"/>
      <w:marBottom w:val="0"/>
      <w:divBdr>
        <w:top w:val="none" w:sz="0" w:space="0" w:color="auto"/>
        <w:left w:val="none" w:sz="0" w:space="0" w:color="auto"/>
        <w:bottom w:val="none" w:sz="0" w:space="0" w:color="auto"/>
        <w:right w:val="none" w:sz="0" w:space="0" w:color="auto"/>
      </w:divBdr>
    </w:div>
    <w:div w:id="688945106">
      <w:bodyDiv w:val="1"/>
      <w:marLeft w:val="0"/>
      <w:marRight w:val="0"/>
      <w:marTop w:val="0"/>
      <w:marBottom w:val="0"/>
      <w:divBdr>
        <w:top w:val="none" w:sz="0" w:space="0" w:color="auto"/>
        <w:left w:val="none" w:sz="0" w:space="0" w:color="auto"/>
        <w:bottom w:val="none" w:sz="0" w:space="0" w:color="auto"/>
        <w:right w:val="none" w:sz="0" w:space="0" w:color="auto"/>
      </w:divBdr>
    </w:div>
    <w:div w:id="716321120">
      <w:bodyDiv w:val="1"/>
      <w:marLeft w:val="0"/>
      <w:marRight w:val="0"/>
      <w:marTop w:val="0"/>
      <w:marBottom w:val="0"/>
      <w:divBdr>
        <w:top w:val="none" w:sz="0" w:space="0" w:color="auto"/>
        <w:left w:val="none" w:sz="0" w:space="0" w:color="auto"/>
        <w:bottom w:val="none" w:sz="0" w:space="0" w:color="auto"/>
        <w:right w:val="none" w:sz="0" w:space="0" w:color="auto"/>
      </w:divBdr>
    </w:div>
    <w:div w:id="790830685">
      <w:bodyDiv w:val="1"/>
      <w:marLeft w:val="0"/>
      <w:marRight w:val="0"/>
      <w:marTop w:val="0"/>
      <w:marBottom w:val="0"/>
      <w:divBdr>
        <w:top w:val="none" w:sz="0" w:space="0" w:color="auto"/>
        <w:left w:val="none" w:sz="0" w:space="0" w:color="auto"/>
        <w:bottom w:val="none" w:sz="0" w:space="0" w:color="auto"/>
        <w:right w:val="none" w:sz="0" w:space="0" w:color="auto"/>
      </w:divBdr>
    </w:div>
    <w:div w:id="891968247">
      <w:bodyDiv w:val="1"/>
      <w:marLeft w:val="0"/>
      <w:marRight w:val="0"/>
      <w:marTop w:val="0"/>
      <w:marBottom w:val="0"/>
      <w:divBdr>
        <w:top w:val="none" w:sz="0" w:space="0" w:color="auto"/>
        <w:left w:val="none" w:sz="0" w:space="0" w:color="auto"/>
        <w:bottom w:val="none" w:sz="0" w:space="0" w:color="auto"/>
        <w:right w:val="none" w:sz="0" w:space="0" w:color="auto"/>
      </w:divBdr>
    </w:div>
    <w:div w:id="897546177">
      <w:bodyDiv w:val="1"/>
      <w:marLeft w:val="0"/>
      <w:marRight w:val="0"/>
      <w:marTop w:val="0"/>
      <w:marBottom w:val="0"/>
      <w:divBdr>
        <w:top w:val="none" w:sz="0" w:space="0" w:color="auto"/>
        <w:left w:val="none" w:sz="0" w:space="0" w:color="auto"/>
        <w:bottom w:val="none" w:sz="0" w:space="0" w:color="auto"/>
        <w:right w:val="none" w:sz="0" w:space="0" w:color="auto"/>
      </w:divBdr>
    </w:div>
    <w:div w:id="932394402">
      <w:bodyDiv w:val="1"/>
      <w:marLeft w:val="0"/>
      <w:marRight w:val="0"/>
      <w:marTop w:val="0"/>
      <w:marBottom w:val="0"/>
      <w:divBdr>
        <w:top w:val="none" w:sz="0" w:space="0" w:color="auto"/>
        <w:left w:val="none" w:sz="0" w:space="0" w:color="auto"/>
        <w:bottom w:val="none" w:sz="0" w:space="0" w:color="auto"/>
        <w:right w:val="none" w:sz="0" w:space="0" w:color="auto"/>
      </w:divBdr>
    </w:div>
    <w:div w:id="955018109">
      <w:bodyDiv w:val="1"/>
      <w:marLeft w:val="0"/>
      <w:marRight w:val="0"/>
      <w:marTop w:val="0"/>
      <w:marBottom w:val="0"/>
      <w:divBdr>
        <w:top w:val="none" w:sz="0" w:space="0" w:color="auto"/>
        <w:left w:val="none" w:sz="0" w:space="0" w:color="auto"/>
        <w:bottom w:val="none" w:sz="0" w:space="0" w:color="auto"/>
        <w:right w:val="none" w:sz="0" w:space="0" w:color="auto"/>
      </w:divBdr>
    </w:div>
    <w:div w:id="967469878">
      <w:bodyDiv w:val="1"/>
      <w:marLeft w:val="0"/>
      <w:marRight w:val="0"/>
      <w:marTop w:val="0"/>
      <w:marBottom w:val="0"/>
      <w:divBdr>
        <w:top w:val="none" w:sz="0" w:space="0" w:color="auto"/>
        <w:left w:val="none" w:sz="0" w:space="0" w:color="auto"/>
        <w:bottom w:val="none" w:sz="0" w:space="0" w:color="auto"/>
        <w:right w:val="none" w:sz="0" w:space="0" w:color="auto"/>
      </w:divBdr>
    </w:div>
    <w:div w:id="968582985">
      <w:bodyDiv w:val="1"/>
      <w:marLeft w:val="0"/>
      <w:marRight w:val="0"/>
      <w:marTop w:val="0"/>
      <w:marBottom w:val="0"/>
      <w:divBdr>
        <w:top w:val="none" w:sz="0" w:space="0" w:color="auto"/>
        <w:left w:val="none" w:sz="0" w:space="0" w:color="auto"/>
        <w:bottom w:val="none" w:sz="0" w:space="0" w:color="auto"/>
        <w:right w:val="none" w:sz="0" w:space="0" w:color="auto"/>
      </w:divBdr>
    </w:div>
    <w:div w:id="975719851">
      <w:bodyDiv w:val="1"/>
      <w:marLeft w:val="0"/>
      <w:marRight w:val="0"/>
      <w:marTop w:val="0"/>
      <w:marBottom w:val="0"/>
      <w:divBdr>
        <w:top w:val="none" w:sz="0" w:space="0" w:color="auto"/>
        <w:left w:val="none" w:sz="0" w:space="0" w:color="auto"/>
        <w:bottom w:val="none" w:sz="0" w:space="0" w:color="auto"/>
        <w:right w:val="none" w:sz="0" w:space="0" w:color="auto"/>
      </w:divBdr>
    </w:div>
    <w:div w:id="1010835825">
      <w:bodyDiv w:val="1"/>
      <w:marLeft w:val="0"/>
      <w:marRight w:val="0"/>
      <w:marTop w:val="0"/>
      <w:marBottom w:val="0"/>
      <w:divBdr>
        <w:top w:val="none" w:sz="0" w:space="0" w:color="auto"/>
        <w:left w:val="none" w:sz="0" w:space="0" w:color="auto"/>
        <w:bottom w:val="none" w:sz="0" w:space="0" w:color="auto"/>
        <w:right w:val="none" w:sz="0" w:space="0" w:color="auto"/>
      </w:divBdr>
    </w:div>
    <w:div w:id="1015109208">
      <w:bodyDiv w:val="1"/>
      <w:marLeft w:val="0"/>
      <w:marRight w:val="0"/>
      <w:marTop w:val="0"/>
      <w:marBottom w:val="0"/>
      <w:divBdr>
        <w:top w:val="none" w:sz="0" w:space="0" w:color="auto"/>
        <w:left w:val="none" w:sz="0" w:space="0" w:color="auto"/>
        <w:bottom w:val="none" w:sz="0" w:space="0" w:color="auto"/>
        <w:right w:val="none" w:sz="0" w:space="0" w:color="auto"/>
      </w:divBdr>
    </w:div>
    <w:div w:id="1039548501">
      <w:bodyDiv w:val="1"/>
      <w:marLeft w:val="0"/>
      <w:marRight w:val="0"/>
      <w:marTop w:val="0"/>
      <w:marBottom w:val="0"/>
      <w:divBdr>
        <w:top w:val="none" w:sz="0" w:space="0" w:color="auto"/>
        <w:left w:val="none" w:sz="0" w:space="0" w:color="auto"/>
        <w:bottom w:val="none" w:sz="0" w:space="0" w:color="auto"/>
        <w:right w:val="none" w:sz="0" w:space="0" w:color="auto"/>
      </w:divBdr>
    </w:div>
    <w:div w:id="1044718491">
      <w:bodyDiv w:val="1"/>
      <w:marLeft w:val="0"/>
      <w:marRight w:val="0"/>
      <w:marTop w:val="0"/>
      <w:marBottom w:val="0"/>
      <w:divBdr>
        <w:top w:val="none" w:sz="0" w:space="0" w:color="auto"/>
        <w:left w:val="none" w:sz="0" w:space="0" w:color="auto"/>
        <w:bottom w:val="none" w:sz="0" w:space="0" w:color="auto"/>
        <w:right w:val="none" w:sz="0" w:space="0" w:color="auto"/>
      </w:divBdr>
    </w:div>
    <w:div w:id="1085877579">
      <w:bodyDiv w:val="1"/>
      <w:marLeft w:val="0"/>
      <w:marRight w:val="0"/>
      <w:marTop w:val="0"/>
      <w:marBottom w:val="0"/>
      <w:divBdr>
        <w:top w:val="none" w:sz="0" w:space="0" w:color="auto"/>
        <w:left w:val="none" w:sz="0" w:space="0" w:color="auto"/>
        <w:bottom w:val="none" w:sz="0" w:space="0" w:color="auto"/>
        <w:right w:val="none" w:sz="0" w:space="0" w:color="auto"/>
      </w:divBdr>
    </w:div>
    <w:div w:id="1119691284">
      <w:bodyDiv w:val="1"/>
      <w:marLeft w:val="0"/>
      <w:marRight w:val="0"/>
      <w:marTop w:val="0"/>
      <w:marBottom w:val="0"/>
      <w:divBdr>
        <w:top w:val="none" w:sz="0" w:space="0" w:color="auto"/>
        <w:left w:val="none" w:sz="0" w:space="0" w:color="auto"/>
        <w:bottom w:val="none" w:sz="0" w:space="0" w:color="auto"/>
        <w:right w:val="none" w:sz="0" w:space="0" w:color="auto"/>
      </w:divBdr>
    </w:div>
    <w:div w:id="1212884186">
      <w:bodyDiv w:val="1"/>
      <w:marLeft w:val="0"/>
      <w:marRight w:val="0"/>
      <w:marTop w:val="0"/>
      <w:marBottom w:val="0"/>
      <w:divBdr>
        <w:top w:val="none" w:sz="0" w:space="0" w:color="auto"/>
        <w:left w:val="none" w:sz="0" w:space="0" w:color="auto"/>
        <w:bottom w:val="none" w:sz="0" w:space="0" w:color="auto"/>
        <w:right w:val="none" w:sz="0" w:space="0" w:color="auto"/>
      </w:divBdr>
    </w:div>
    <w:div w:id="1227884085">
      <w:bodyDiv w:val="1"/>
      <w:marLeft w:val="0"/>
      <w:marRight w:val="0"/>
      <w:marTop w:val="0"/>
      <w:marBottom w:val="0"/>
      <w:divBdr>
        <w:top w:val="none" w:sz="0" w:space="0" w:color="auto"/>
        <w:left w:val="none" w:sz="0" w:space="0" w:color="auto"/>
        <w:bottom w:val="none" w:sz="0" w:space="0" w:color="auto"/>
        <w:right w:val="none" w:sz="0" w:space="0" w:color="auto"/>
      </w:divBdr>
    </w:div>
    <w:div w:id="1278832061">
      <w:bodyDiv w:val="1"/>
      <w:marLeft w:val="0"/>
      <w:marRight w:val="0"/>
      <w:marTop w:val="0"/>
      <w:marBottom w:val="0"/>
      <w:divBdr>
        <w:top w:val="none" w:sz="0" w:space="0" w:color="auto"/>
        <w:left w:val="none" w:sz="0" w:space="0" w:color="auto"/>
        <w:bottom w:val="none" w:sz="0" w:space="0" w:color="auto"/>
        <w:right w:val="none" w:sz="0" w:space="0" w:color="auto"/>
      </w:divBdr>
    </w:div>
    <w:div w:id="1295216317">
      <w:bodyDiv w:val="1"/>
      <w:marLeft w:val="0"/>
      <w:marRight w:val="0"/>
      <w:marTop w:val="0"/>
      <w:marBottom w:val="0"/>
      <w:divBdr>
        <w:top w:val="none" w:sz="0" w:space="0" w:color="auto"/>
        <w:left w:val="none" w:sz="0" w:space="0" w:color="auto"/>
        <w:bottom w:val="none" w:sz="0" w:space="0" w:color="auto"/>
        <w:right w:val="none" w:sz="0" w:space="0" w:color="auto"/>
      </w:divBdr>
    </w:div>
    <w:div w:id="1339844036">
      <w:bodyDiv w:val="1"/>
      <w:marLeft w:val="0"/>
      <w:marRight w:val="0"/>
      <w:marTop w:val="0"/>
      <w:marBottom w:val="0"/>
      <w:divBdr>
        <w:top w:val="none" w:sz="0" w:space="0" w:color="auto"/>
        <w:left w:val="none" w:sz="0" w:space="0" w:color="auto"/>
        <w:bottom w:val="none" w:sz="0" w:space="0" w:color="auto"/>
        <w:right w:val="none" w:sz="0" w:space="0" w:color="auto"/>
      </w:divBdr>
    </w:div>
    <w:div w:id="1348366151">
      <w:bodyDiv w:val="1"/>
      <w:marLeft w:val="0"/>
      <w:marRight w:val="0"/>
      <w:marTop w:val="0"/>
      <w:marBottom w:val="0"/>
      <w:divBdr>
        <w:top w:val="none" w:sz="0" w:space="0" w:color="auto"/>
        <w:left w:val="none" w:sz="0" w:space="0" w:color="auto"/>
        <w:bottom w:val="none" w:sz="0" w:space="0" w:color="auto"/>
        <w:right w:val="none" w:sz="0" w:space="0" w:color="auto"/>
      </w:divBdr>
    </w:div>
    <w:div w:id="1391657092">
      <w:bodyDiv w:val="1"/>
      <w:marLeft w:val="0"/>
      <w:marRight w:val="0"/>
      <w:marTop w:val="0"/>
      <w:marBottom w:val="0"/>
      <w:divBdr>
        <w:top w:val="none" w:sz="0" w:space="0" w:color="auto"/>
        <w:left w:val="none" w:sz="0" w:space="0" w:color="auto"/>
        <w:bottom w:val="none" w:sz="0" w:space="0" w:color="auto"/>
        <w:right w:val="none" w:sz="0" w:space="0" w:color="auto"/>
      </w:divBdr>
    </w:div>
    <w:div w:id="1406606144">
      <w:bodyDiv w:val="1"/>
      <w:marLeft w:val="0"/>
      <w:marRight w:val="0"/>
      <w:marTop w:val="0"/>
      <w:marBottom w:val="0"/>
      <w:divBdr>
        <w:top w:val="none" w:sz="0" w:space="0" w:color="auto"/>
        <w:left w:val="none" w:sz="0" w:space="0" w:color="auto"/>
        <w:bottom w:val="none" w:sz="0" w:space="0" w:color="auto"/>
        <w:right w:val="none" w:sz="0" w:space="0" w:color="auto"/>
      </w:divBdr>
    </w:div>
    <w:div w:id="1466004541">
      <w:bodyDiv w:val="1"/>
      <w:marLeft w:val="0"/>
      <w:marRight w:val="0"/>
      <w:marTop w:val="0"/>
      <w:marBottom w:val="0"/>
      <w:divBdr>
        <w:top w:val="none" w:sz="0" w:space="0" w:color="auto"/>
        <w:left w:val="none" w:sz="0" w:space="0" w:color="auto"/>
        <w:bottom w:val="none" w:sz="0" w:space="0" w:color="auto"/>
        <w:right w:val="none" w:sz="0" w:space="0" w:color="auto"/>
      </w:divBdr>
    </w:div>
    <w:div w:id="1470630617">
      <w:bodyDiv w:val="1"/>
      <w:marLeft w:val="0"/>
      <w:marRight w:val="0"/>
      <w:marTop w:val="0"/>
      <w:marBottom w:val="0"/>
      <w:divBdr>
        <w:top w:val="none" w:sz="0" w:space="0" w:color="auto"/>
        <w:left w:val="none" w:sz="0" w:space="0" w:color="auto"/>
        <w:bottom w:val="none" w:sz="0" w:space="0" w:color="auto"/>
        <w:right w:val="none" w:sz="0" w:space="0" w:color="auto"/>
      </w:divBdr>
    </w:div>
    <w:div w:id="1528174639">
      <w:bodyDiv w:val="1"/>
      <w:marLeft w:val="0"/>
      <w:marRight w:val="0"/>
      <w:marTop w:val="0"/>
      <w:marBottom w:val="0"/>
      <w:divBdr>
        <w:top w:val="none" w:sz="0" w:space="0" w:color="auto"/>
        <w:left w:val="none" w:sz="0" w:space="0" w:color="auto"/>
        <w:bottom w:val="none" w:sz="0" w:space="0" w:color="auto"/>
        <w:right w:val="none" w:sz="0" w:space="0" w:color="auto"/>
      </w:divBdr>
    </w:div>
    <w:div w:id="1548175336">
      <w:bodyDiv w:val="1"/>
      <w:marLeft w:val="0"/>
      <w:marRight w:val="0"/>
      <w:marTop w:val="0"/>
      <w:marBottom w:val="0"/>
      <w:divBdr>
        <w:top w:val="none" w:sz="0" w:space="0" w:color="auto"/>
        <w:left w:val="none" w:sz="0" w:space="0" w:color="auto"/>
        <w:bottom w:val="none" w:sz="0" w:space="0" w:color="auto"/>
        <w:right w:val="none" w:sz="0" w:space="0" w:color="auto"/>
      </w:divBdr>
    </w:div>
    <w:div w:id="1562331324">
      <w:bodyDiv w:val="1"/>
      <w:marLeft w:val="0"/>
      <w:marRight w:val="0"/>
      <w:marTop w:val="0"/>
      <w:marBottom w:val="0"/>
      <w:divBdr>
        <w:top w:val="none" w:sz="0" w:space="0" w:color="auto"/>
        <w:left w:val="none" w:sz="0" w:space="0" w:color="auto"/>
        <w:bottom w:val="none" w:sz="0" w:space="0" w:color="auto"/>
        <w:right w:val="none" w:sz="0" w:space="0" w:color="auto"/>
      </w:divBdr>
    </w:div>
    <w:div w:id="1563758349">
      <w:bodyDiv w:val="1"/>
      <w:marLeft w:val="0"/>
      <w:marRight w:val="0"/>
      <w:marTop w:val="0"/>
      <w:marBottom w:val="0"/>
      <w:divBdr>
        <w:top w:val="none" w:sz="0" w:space="0" w:color="auto"/>
        <w:left w:val="none" w:sz="0" w:space="0" w:color="auto"/>
        <w:bottom w:val="none" w:sz="0" w:space="0" w:color="auto"/>
        <w:right w:val="none" w:sz="0" w:space="0" w:color="auto"/>
      </w:divBdr>
    </w:div>
    <w:div w:id="1586451797">
      <w:bodyDiv w:val="1"/>
      <w:marLeft w:val="0"/>
      <w:marRight w:val="0"/>
      <w:marTop w:val="0"/>
      <w:marBottom w:val="0"/>
      <w:divBdr>
        <w:top w:val="none" w:sz="0" w:space="0" w:color="auto"/>
        <w:left w:val="none" w:sz="0" w:space="0" w:color="auto"/>
        <w:bottom w:val="none" w:sz="0" w:space="0" w:color="auto"/>
        <w:right w:val="none" w:sz="0" w:space="0" w:color="auto"/>
      </w:divBdr>
    </w:div>
    <w:div w:id="1599410262">
      <w:bodyDiv w:val="1"/>
      <w:marLeft w:val="0"/>
      <w:marRight w:val="0"/>
      <w:marTop w:val="0"/>
      <w:marBottom w:val="0"/>
      <w:divBdr>
        <w:top w:val="none" w:sz="0" w:space="0" w:color="auto"/>
        <w:left w:val="none" w:sz="0" w:space="0" w:color="auto"/>
        <w:bottom w:val="none" w:sz="0" w:space="0" w:color="auto"/>
        <w:right w:val="none" w:sz="0" w:space="0" w:color="auto"/>
      </w:divBdr>
    </w:div>
    <w:div w:id="1678842951">
      <w:bodyDiv w:val="1"/>
      <w:marLeft w:val="0"/>
      <w:marRight w:val="0"/>
      <w:marTop w:val="0"/>
      <w:marBottom w:val="0"/>
      <w:divBdr>
        <w:top w:val="none" w:sz="0" w:space="0" w:color="auto"/>
        <w:left w:val="none" w:sz="0" w:space="0" w:color="auto"/>
        <w:bottom w:val="none" w:sz="0" w:space="0" w:color="auto"/>
        <w:right w:val="none" w:sz="0" w:space="0" w:color="auto"/>
      </w:divBdr>
    </w:div>
    <w:div w:id="1710256066">
      <w:bodyDiv w:val="1"/>
      <w:marLeft w:val="0"/>
      <w:marRight w:val="0"/>
      <w:marTop w:val="0"/>
      <w:marBottom w:val="0"/>
      <w:divBdr>
        <w:top w:val="none" w:sz="0" w:space="0" w:color="auto"/>
        <w:left w:val="none" w:sz="0" w:space="0" w:color="auto"/>
        <w:bottom w:val="none" w:sz="0" w:space="0" w:color="auto"/>
        <w:right w:val="none" w:sz="0" w:space="0" w:color="auto"/>
      </w:divBdr>
    </w:div>
    <w:div w:id="1741175539">
      <w:bodyDiv w:val="1"/>
      <w:marLeft w:val="0"/>
      <w:marRight w:val="0"/>
      <w:marTop w:val="0"/>
      <w:marBottom w:val="0"/>
      <w:divBdr>
        <w:top w:val="none" w:sz="0" w:space="0" w:color="auto"/>
        <w:left w:val="none" w:sz="0" w:space="0" w:color="auto"/>
        <w:bottom w:val="none" w:sz="0" w:space="0" w:color="auto"/>
        <w:right w:val="none" w:sz="0" w:space="0" w:color="auto"/>
      </w:divBdr>
    </w:div>
    <w:div w:id="1752504451">
      <w:bodyDiv w:val="1"/>
      <w:marLeft w:val="0"/>
      <w:marRight w:val="0"/>
      <w:marTop w:val="0"/>
      <w:marBottom w:val="0"/>
      <w:divBdr>
        <w:top w:val="none" w:sz="0" w:space="0" w:color="auto"/>
        <w:left w:val="none" w:sz="0" w:space="0" w:color="auto"/>
        <w:bottom w:val="none" w:sz="0" w:space="0" w:color="auto"/>
        <w:right w:val="none" w:sz="0" w:space="0" w:color="auto"/>
      </w:divBdr>
    </w:div>
    <w:div w:id="1767113246">
      <w:bodyDiv w:val="1"/>
      <w:marLeft w:val="0"/>
      <w:marRight w:val="0"/>
      <w:marTop w:val="0"/>
      <w:marBottom w:val="0"/>
      <w:divBdr>
        <w:top w:val="none" w:sz="0" w:space="0" w:color="auto"/>
        <w:left w:val="none" w:sz="0" w:space="0" w:color="auto"/>
        <w:bottom w:val="none" w:sz="0" w:space="0" w:color="auto"/>
        <w:right w:val="none" w:sz="0" w:space="0" w:color="auto"/>
      </w:divBdr>
    </w:div>
    <w:div w:id="1812022138">
      <w:bodyDiv w:val="1"/>
      <w:marLeft w:val="0"/>
      <w:marRight w:val="0"/>
      <w:marTop w:val="0"/>
      <w:marBottom w:val="0"/>
      <w:divBdr>
        <w:top w:val="none" w:sz="0" w:space="0" w:color="auto"/>
        <w:left w:val="none" w:sz="0" w:space="0" w:color="auto"/>
        <w:bottom w:val="none" w:sz="0" w:space="0" w:color="auto"/>
        <w:right w:val="none" w:sz="0" w:space="0" w:color="auto"/>
      </w:divBdr>
    </w:div>
    <w:div w:id="1850556531">
      <w:bodyDiv w:val="1"/>
      <w:marLeft w:val="0"/>
      <w:marRight w:val="0"/>
      <w:marTop w:val="0"/>
      <w:marBottom w:val="0"/>
      <w:divBdr>
        <w:top w:val="none" w:sz="0" w:space="0" w:color="auto"/>
        <w:left w:val="none" w:sz="0" w:space="0" w:color="auto"/>
        <w:bottom w:val="none" w:sz="0" w:space="0" w:color="auto"/>
        <w:right w:val="none" w:sz="0" w:space="0" w:color="auto"/>
      </w:divBdr>
    </w:div>
    <w:div w:id="1851212142">
      <w:bodyDiv w:val="1"/>
      <w:marLeft w:val="0"/>
      <w:marRight w:val="0"/>
      <w:marTop w:val="0"/>
      <w:marBottom w:val="0"/>
      <w:divBdr>
        <w:top w:val="none" w:sz="0" w:space="0" w:color="auto"/>
        <w:left w:val="none" w:sz="0" w:space="0" w:color="auto"/>
        <w:bottom w:val="none" w:sz="0" w:space="0" w:color="auto"/>
        <w:right w:val="none" w:sz="0" w:space="0" w:color="auto"/>
      </w:divBdr>
    </w:div>
    <w:div w:id="1854417770">
      <w:bodyDiv w:val="1"/>
      <w:marLeft w:val="0"/>
      <w:marRight w:val="0"/>
      <w:marTop w:val="0"/>
      <w:marBottom w:val="0"/>
      <w:divBdr>
        <w:top w:val="none" w:sz="0" w:space="0" w:color="auto"/>
        <w:left w:val="none" w:sz="0" w:space="0" w:color="auto"/>
        <w:bottom w:val="none" w:sz="0" w:space="0" w:color="auto"/>
        <w:right w:val="none" w:sz="0" w:space="0" w:color="auto"/>
      </w:divBdr>
    </w:div>
    <w:div w:id="1869945045">
      <w:bodyDiv w:val="1"/>
      <w:marLeft w:val="0"/>
      <w:marRight w:val="0"/>
      <w:marTop w:val="0"/>
      <w:marBottom w:val="0"/>
      <w:divBdr>
        <w:top w:val="none" w:sz="0" w:space="0" w:color="auto"/>
        <w:left w:val="none" w:sz="0" w:space="0" w:color="auto"/>
        <w:bottom w:val="none" w:sz="0" w:space="0" w:color="auto"/>
        <w:right w:val="none" w:sz="0" w:space="0" w:color="auto"/>
      </w:divBdr>
    </w:div>
    <w:div w:id="1893999516">
      <w:bodyDiv w:val="1"/>
      <w:marLeft w:val="0"/>
      <w:marRight w:val="0"/>
      <w:marTop w:val="0"/>
      <w:marBottom w:val="0"/>
      <w:divBdr>
        <w:top w:val="none" w:sz="0" w:space="0" w:color="auto"/>
        <w:left w:val="none" w:sz="0" w:space="0" w:color="auto"/>
        <w:bottom w:val="none" w:sz="0" w:space="0" w:color="auto"/>
        <w:right w:val="none" w:sz="0" w:space="0" w:color="auto"/>
      </w:divBdr>
    </w:div>
    <w:div w:id="1934893534">
      <w:bodyDiv w:val="1"/>
      <w:marLeft w:val="0"/>
      <w:marRight w:val="0"/>
      <w:marTop w:val="0"/>
      <w:marBottom w:val="0"/>
      <w:divBdr>
        <w:top w:val="none" w:sz="0" w:space="0" w:color="auto"/>
        <w:left w:val="none" w:sz="0" w:space="0" w:color="auto"/>
        <w:bottom w:val="none" w:sz="0" w:space="0" w:color="auto"/>
        <w:right w:val="none" w:sz="0" w:space="0" w:color="auto"/>
      </w:divBdr>
    </w:div>
    <w:div w:id="2019649410">
      <w:bodyDiv w:val="1"/>
      <w:marLeft w:val="0"/>
      <w:marRight w:val="0"/>
      <w:marTop w:val="0"/>
      <w:marBottom w:val="0"/>
      <w:divBdr>
        <w:top w:val="none" w:sz="0" w:space="0" w:color="auto"/>
        <w:left w:val="none" w:sz="0" w:space="0" w:color="auto"/>
        <w:bottom w:val="none" w:sz="0" w:space="0" w:color="auto"/>
        <w:right w:val="none" w:sz="0" w:space="0" w:color="auto"/>
      </w:divBdr>
    </w:div>
    <w:div w:id="2031031099">
      <w:bodyDiv w:val="1"/>
      <w:marLeft w:val="0"/>
      <w:marRight w:val="0"/>
      <w:marTop w:val="0"/>
      <w:marBottom w:val="0"/>
      <w:divBdr>
        <w:top w:val="none" w:sz="0" w:space="0" w:color="auto"/>
        <w:left w:val="none" w:sz="0" w:space="0" w:color="auto"/>
        <w:bottom w:val="none" w:sz="0" w:space="0" w:color="auto"/>
        <w:right w:val="none" w:sz="0" w:space="0" w:color="auto"/>
      </w:divBdr>
    </w:div>
    <w:div w:id="2043357596">
      <w:bodyDiv w:val="1"/>
      <w:marLeft w:val="0"/>
      <w:marRight w:val="0"/>
      <w:marTop w:val="0"/>
      <w:marBottom w:val="0"/>
      <w:divBdr>
        <w:top w:val="none" w:sz="0" w:space="0" w:color="auto"/>
        <w:left w:val="none" w:sz="0" w:space="0" w:color="auto"/>
        <w:bottom w:val="none" w:sz="0" w:space="0" w:color="auto"/>
        <w:right w:val="none" w:sz="0" w:space="0" w:color="auto"/>
      </w:divBdr>
    </w:div>
    <w:div w:id="2068335773">
      <w:bodyDiv w:val="1"/>
      <w:marLeft w:val="0"/>
      <w:marRight w:val="0"/>
      <w:marTop w:val="0"/>
      <w:marBottom w:val="0"/>
      <w:divBdr>
        <w:top w:val="none" w:sz="0" w:space="0" w:color="auto"/>
        <w:left w:val="none" w:sz="0" w:space="0" w:color="auto"/>
        <w:bottom w:val="none" w:sz="0" w:space="0" w:color="auto"/>
        <w:right w:val="none" w:sz="0" w:space="0" w:color="auto"/>
      </w:divBdr>
    </w:div>
    <w:div w:id="2084527358">
      <w:bodyDiv w:val="1"/>
      <w:marLeft w:val="0"/>
      <w:marRight w:val="0"/>
      <w:marTop w:val="0"/>
      <w:marBottom w:val="0"/>
      <w:divBdr>
        <w:top w:val="none" w:sz="0" w:space="0" w:color="auto"/>
        <w:left w:val="none" w:sz="0" w:space="0" w:color="auto"/>
        <w:bottom w:val="none" w:sz="0" w:space="0" w:color="auto"/>
        <w:right w:val="none" w:sz="0" w:space="0" w:color="auto"/>
      </w:divBdr>
    </w:div>
    <w:div w:id="2107339979">
      <w:bodyDiv w:val="1"/>
      <w:marLeft w:val="0"/>
      <w:marRight w:val="0"/>
      <w:marTop w:val="0"/>
      <w:marBottom w:val="0"/>
      <w:divBdr>
        <w:top w:val="none" w:sz="0" w:space="0" w:color="auto"/>
        <w:left w:val="none" w:sz="0" w:space="0" w:color="auto"/>
        <w:bottom w:val="none" w:sz="0" w:space="0" w:color="auto"/>
        <w:right w:val="none" w:sz="0" w:space="0" w:color="auto"/>
      </w:divBdr>
      <w:divsChild>
        <w:div w:id="883296476">
          <w:marLeft w:val="0"/>
          <w:marRight w:val="0"/>
          <w:marTop w:val="0"/>
          <w:marBottom w:val="0"/>
          <w:divBdr>
            <w:top w:val="none" w:sz="0" w:space="0" w:color="auto"/>
            <w:left w:val="none" w:sz="0" w:space="0" w:color="auto"/>
            <w:bottom w:val="none" w:sz="0" w:space="0" w:color="auto"/>
            <w:right w:val="none" w:sz="0" w:space="0" w:color="auto"/>
          </w:divBdr>
          <w:divsChild>
            <w:div w:id="1752314811">
              <w:marLeft w:val="0"/>
              <w:marRight w:val="0"/>
              <w:marTop w:val="0"/>
              <w:marBottom w:val="0"/>
              <w:divBdr>
                <w:top w:val="none" w:sz="0" w:space="0" w:color="auto"/>
                <w:left w:val="none" w:sz="0" w:space="0" w:color="auto"/>
                <w:bottom w:val="none" w:sz="0" w:space="0" w:color="auto"/>
                <w:right w:val="none" w:sz="0" w:space="0" w:color="auto"/>
              </w:divBdr>
              <w:divsChild>
                <w:div w:id="1220477688">
                  <w:marLeft w:val="0"/>
                  <w:marRight w:val="0"/>
                  <w:marTop w:val="0"/>
                  <w:marBottom w:val="0"/>
                  <w:divBdr>
                    <w:top w:val="none" w:sz="0" w:space="0" w:color="auto"/>
                    <w:left w:val="none" w:sz="0" w:space="0" w:color="auto"/>
                    <w:bottom w:val="none" w:sz="0" w:space="0" w:color="auto"/>
                    <w:right w:val="none" w:sz="0" w:space="0" w:color="auto"/>
                  </w:divBdr>
                  <w:divsChild>
                    <w:div w:id="1076125461">
                      <w:marLeft w:val="0"/>
                      <w:marRight w:val="0"/>
                      <w:marTop w:val="45"/>
                      <w:marBottom w:val="0"/>
                      <w:divBdr>
                        <w:top w:val="none" w:sz="0" w:space="0" w:color="auto"/>
                        <w:left w:val="none" w:sz="0" w:space="0" w:color="auto"/>
                        <w:bottom w:val="none" w:sz="0" w:space="0" w:color="auto"/>
                        <w:right w:val="none" w:sz="0" w:space="0" w:color="auto"/>
                      </w:divBdr>
                      <w:divsChild>
                        <w:div w:id="1518882716">
                          <w:marLeft w:val="150"/>
                          <w:marRight w:val="150"/>
                          <w:marTop w:val="0"/>
                          <w:marBottom w:val="0"/>
                          <w:divBdr>
                            <w:top w:val="none" w:sz="0" w:space="0" w:color="auto"/>
                            <w:left w:val="none" w:sz="0" w:space="0" w:color="auto"/>
                            <w:bottom w:val="none" w:sz="0" w:space="0" w:color="auto"/>
                            <w:right w:val="none" w:sz="0" w:space="0" w:color="auto"/>
                          </w:divBdr>
                          <w:divsChild>
                            <w:div w:id="921259796">
                              <w:marLeft w:val="0"/>
                              <w:marRight w:val="0"/>
                              <w:marTop w:val="0"/>
                              <w:marBottom w:val="0"/>
                              <w:divBdr>
                                <w:top w:val="none" w:sz="0" w:space="0" w:color="auto"/>
                                <w:left w:val="none" w:sz="0" w:space="0" w:color="auto"/>
                                <w:bottom w:val="none" w:sz="0" w:space="0" w:color="auto"/>
                                <w:right w:val="none" w:sz="0" w:space="0" w:color="auto"/>
                              </w:divBdr>
                              <w:divsChild>
                                <w:div w:id="1658149946">
                                  <w:marLeft w:val="0"/>
                                  <w:marRight w:val="0"/>
                                  <w:marTop w:val="0"/>
                                  <w:marBottom w:val="0"/>
                                  <w:divBdr>
                                    <w:top w:val="none" w:sz="0" w:space="0" w:color="auto"/>
                                    <w:left w:val="none" w:sz="0" w:space="0" w:color="auto"/>
                                    <w:bottom w:val="none" w:sz="0" w:space="0" w:color="auto"/>
                                    <w:right w:val="none" w:sz="0" w:space="0" w:color="auto"/>
                                  </w:divBdr>
                                  <w:divsChild>
                                    <w:div w:id="735324249">
                                      <w:marLeft w:val="0"/>
                                      <w:marRight w:val="0"/>
                                      <w:marTop w:val="0"/>
                                      <w:marBottom w:val="0"/>
                                      <w:divBdr>
                                        <w:top w:val="none" w:sz="0" w:space="0" w:color="auto"/>
                                        <w:left w:val="none" w:sz="0" w:space="0" w:color="auto"/>
                                        <w:bottom w:val="none" w:sz="0" w:space="0" w:color="auto"/>
                                        <w:right w:val="none" w:sz="0" w:space="0" w:color="auto"/>
                                      </w:divBdr>
                                      <w:divsChild>
                                        <w:div w:id="1542475913">
                                          <w:marLeft w:val="0"/>
                                          <w:marRight w:val="0"/>
                                          <w:marTop w:val="0"/>
                                          <w:marBottom w:val="0"/>
                                          <w:divBdr>
                                            <w:top w:val="none" w:sz="0" w:space="0" w:color="auto"/>
                                            <w:left w:val="none" w:sz="0" w:space="0" w:color="auto"/>
                                            <w:bottom w:val="none" w:sz="0" w:space="0" w:color="auto"/>
                                            <w:right w:val="none" w:sz="0" w:space="0" w:color="auto"/>
                                          </w:divBdr>
                                          <w:divsChild>
                                            <w:div w:id="719592482">
                                              <w:marLeft w:val="0"/>
                                              <w:marRight w:val="0"/>
                                              <w:marTop w:val="0"/>
                                              <w:marBottom w:val="0"/>
                                              <w:divBdr>
                                                <w:top w:val="none" w:sz="0" w:space="0" w:color="auto"/>
                                                <w:left w:val="none" w:sz="0" w:space="0" w:color="auto"/>
                                                <w:bottom w:val="none" w:sz="0" w:space="0" w:color="auto"/>
                                                <w:right w:val="none" w:sz="0" w:space="0" w:color="auto"/>
                                              </w:divBdr>
                                              <w:divsChild>
                                                <w:div w:id="597955636">
                                                  <w:marLeft w:val="0"/>
                                                  <w:marRight w:val="0"/>
                                                  <w:marTop w:val="0"/>
                                                  <w:marBottom w:val="0"/>
                                                  <w:divBdr>
                                                    <w:top w:val="none" w:sz="0" w:space="0" w:color="auto"/>
                                                    <w:left w:val="none" w:sz="0" w:space="0" w:color="auto"/>
                                                    <w:bottom w:val="none" w:sz="0" w:space="0" w:color="auto"/>
                                                    <w:right w:val="none" w:sz="0" w:space="0" w:color="auto"/>
                                                  </w:divBdr>
                                                  <w:divsChild>
                                                    <w:div w:id="1527938832">
                                                      <w:marLeft w:val="0"/>
                                                      <w:marRight w:val="0"/>
                                                      <w:marTop w:val="0"/>
                                                      <w:marBottom w:val="0"/>
                                                      <w:divBdr>
                                                        <w:top w:val="none" w:sz="0" w:space="0" w:color="auto"/>
                                                        <w:left w:val="none" w:sz="0" w:space="0" w:color="auto"/>
                                                        <w:bottom w:val="none" w:sz="0" w:space="0" w:color="auto"/>
                                                        <w:right w:val="none" w:sz="0" w:space="0" w:color="auto"/>
                                                      </w:divBdr>
                                                      <w:divsChild>
                                                        <w:div w:id="1157302135">
                                                          <w:marLeft w:val="0"/>
                                                          <w:marRight w:val="0"/>
                                                          <w:marTop w:val="0"/>
                                                          <w:marBottom w:val="0"/>
                                                          <w:divBdr>
                                                            <w:top w:val="none" w:sz="0" w:space="0" w:color="auto"/>
                                                            <w:left w:val="none" w:sz="0" w:space="0" w:color="auto"/>
                                                            <w:bottom w:val="none" w:sz="0" w:space="0" w:color="auto"/>
                                                            <w:right w:val="none" w:sz="0" w:space="0" w:color="auto"/>
                                                          </w:divBdr>
                                                          <w:divsChild>
                                                            <w:div w:id="484132407">
                                                              <w:marLeft w:val="0"/>
                                                              <w:marRight w:val="0"/>
                                                              <w:marTop w:val="0"/>
                                                              <w:marBottom w:val="0"/>
                                                              <w:divBdr>
                                                                <w:top w:val="none" w:sz="0" w:space="0" w:color="auto"/>
                                                                <w:left w:val="none" w:sz="0" w:space="0" w:color="auto"/>
                                                                <w:bottom w:val="none" w:sz="0" w:space="0" w:color="auto"/>
                                                                <w:right w:val="none" w:sz="0" w:space="0" w:color="auto"/>
                                                              </w:divBdr>
                                                              <w:divsChild>
                                                                <w:div w:id="1407610318">
                                                                  <w:marLeft w:val="0"/>
                                                                  <w:marRight w:val="0"/>
                                                                  <w:marTop w:val="0"/>
                                                                  <w:marBottom w:val="0"/>
                                                                  <w:divBdr>
                                                                    <w:top w:val="none" w:sz="0" w:space="0" w:color="auto"/>
                                                                    <w:left w:val="none" w:sz="0" w:space="0" w:color="auto"/>
                                                                    <w:bottom w:val="none" w:sz="0" w:space="0" w:color="auto"/>
                                                                    <w:right w:val="none" w:sz="0" w:space="0" w:color="auto"/>
                                                                  </w:divBdr>
                                                                  <w:divsChild>
                                                                    <w:div w:id="1654527733">
                                                                      <w:marLeft w:val="0"/>
                                                                      <w:marRight w:val="0"/>
                                                                      <w:marTop w:val="480"/>
                                                                      <w:marBottom w:val="480"/>
                                                                      <w:divBdr>
                                                                        <w:top w:val="none" w:sz="0" w:space="0" w:color="auto"/>
                                                                        <w:left w:val="none" w:sz="0" w:space="0" w:color="auto"/>
                                                                        <w:bottom w:val="none" w:sz="0" w:space="0" w:color="auto"/>
                                                                        <w:right w:val="none" w:sz="0" w:space="0" w:color="auto"/>
                                                                      </w:divBdr>
                                                                      <w:divsChild>
                                                                        <w:div w:id="904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ergyrating.gov.au" TargetMode="External"/><Relationship Id="rId18" Type="http://schemas.openxmlformats.org/officeDocument/2006/relationships/header" Target="header5.xml"/><Relationship Id="rId26" Type="http://schemas.openxmlformats.org/officeDocument/2006/relationships/hyperlink" Target="mailto:GEMSreview@environment.gov.au" TargetMode="External"/><Relationship Id="rId3" Type="http://schemas.openxmlformats.org/officeDocument/2006/relationships/styles" Target="styles.xml"/><Relationship Id="rId21" Type="http://schemas.openxmlformats.org/officeDocument/2006/relationships/hyperlink" Target="https://www.legislation.gov.au/Details/C2012A00132" TargetMode="External"/><Relationship Id="rId7" Type="http://schemas.openxmlformats.org/officeDocument/2006/relationships/endnotes" Target="endnotes.xml"/><Relationship Id="rId12" Type="http://schemas.openxmlformats.org/officeDocument/2006/relationships/hyperlink" Target="mailto:GEMSreview@environment.gov.au" TargetMode="External"/><Relationship Id="rId17" Type="http://schemas.openxmlformats.org/officeDocument/2006/relationships/header" Target="header4.xml"/><Relationship Id="rId25" Type="http://schemas.openxmlformats.org/officeDocument/2006/relationships/hyperlink" Target="https://www.energy.gov.au/publications/greenhouse-and-energy-minimum-standards-review-act"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rgy.gov.au/publications/greenhouse-and-energy-minimum-standards-review-act" TargetMode="External"/><Relationship Id="rId24" Type="http://schemas.openxmlformats.org/officeDocument/2006/relationships/hyperlink" Target="http://www.energyrating.gov.au/suppliers/compliance"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reg.energyrating.gov.au/comparator/product_types/" TargetMode="External"/><Relationship Id="rId28" Type="http://schemas.openxmlformats.org/officeDocument/2006/relationships/fontTable" Target="fontTable.xml"/><Relationship Id="rId10" Type="http://schemas.openxmlformats.org/officeDocument/2006/relationships/hyperlink" Target="http://creativecommons.org/licenses/by/3.0/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energyrating.gov.au/consultation/gems-fee-review-supplementary-paper" TargetMode="External"/><Relationship Id="rId27" Type="http://schemas.openxmlformats.org/officeDocument/2006/relationships/hyperlink" Target="http://www.dpmc.gov.au/resource-centre/regulation/independent-reviews-and-ris-process-guidance-not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nergyrating.gov.au/news/gems-review-released" TargetMode="External"/><Relationship Id="rId2" Type="http://schemas.openxmlformats.org/officeDocument/2006/relationships/hyperlink" Target="https://www.cuttingredtape.gov.au/resources/rpf" TargetMode="External"/><Relationship Id="rId1" Type="http://schemas.openxmlformats.org/officeDocument/2006/relationships/hyperlink" Target="http://energyrating.gov.au/document/gems-iga-signed" TargetMode="External"/><Relationship Id="rId5" Type="http://schemas.openxmlformats.org/officeDocument/2006/relationships/hyperlink" Target="https://www.iea-4e.org/document/408/effectiveness-of-energy-efficiency-voluntary-agreements" TargetMode="External"/><Relationship Id="rId4" Type="http://schemas.openxmlformats.org/officeDocument/2006/relationships/hyperlink" Target="http://www.energyrating.gov.au/suppliers/registration/regulated-produ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F4C88-B182-4BE3-AA91-FD4CA748F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650403CA.dotm</Template>
  <TotalTime>8</TotalTime>
  <Pages>38</Pages>
  <Words>9391</Words>
  <Characters>53531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62797</CharactersWithSpaces>
  <SharedDoc>false</SharedDoc>
  <HLinks>
    <vt:vector size="264" baseType="variant">
      <vt:variant>
        <vt:i4>5636127</vt:i4>
      </vt:variant>
      <vt:variant>
        <vt:i4>126</vt:i4>
      </vt:variant>
      <vt:variant>
        <vt:i4>0</vt:i4>
      </vt:variant>
      <vt:variant>
        <vt:i4>5</vt:i4>
      </vt:variant>
      <vt:variant>
        <vt:lpwstr>file:///International Civil Aviation Organization 2016, The carbon offsetting and reduction scheme for international aviation, available at/ http/:..:www.icao.int:environmental-protection:pages:market-based-measures.aspx</vt:lpwstr>
      </vt:variant>
      <vt:variant>
        <vt:lpwstr/>
      </vt:variant>
      <vt:variant>
        <vt:i4>3997710</vt:i4>
      </vt:variant>
      <vt:variant>
        <vt:i4>123</vt:i4>
      </vt:variant>
      <vt:variant>
        <vt:i4>0</vt:i4>
      </vt:variant>
      <vt:variant>
        <vt:i4>5</vt:i4>
      </vt:variant>
      <vt:variant>
        <vt:lpwstr>https://dfat.gov.au/about-us/publications/trade-investment/Documents/monthly-trade-data.pdf</vt:lpwstr>
      </vt:variant>
      <vt:variant>
        <vt:lpwstr/>
      </vt:variant>
      <vt:variant>
        <vt:i4>1900596</vt:i4>
      </vt:variant>
      <vt:variant>
        <vt:i4>120</vt:i4>
      </vt:variant>
      <vt:variant>
        <vt:i4>0</vt:i4>
      </vt:variant>
      <vt:variant>
        <vt:i4>5</vt:i4>
      </vt:variant>
      <vt:variant>
        <vt:lpwstr>http://globalinvestorcoalition.org/form-registry/</vt:lpwstr>
      </vt:variant>
      <vt:variant>
        <vt:lpwstr/>
      </vt:variant>
      <vt:variant>
        <vt:i4>6881406</vt:i4>
      </vt:variant>
      <vt:variant>
        <vt:i4>117</vt:i4>
      </vt:variant>
      <vt:variant>
        <vt:i4>0</vt:i4>
      </vt:variant>
      <vt:variant>
        <vt:i4>5</vt:i4>
      </vt:variant>
      <vt:variant>
        <vt:lpwstr>http://www.cleanenergyregulator.gov.au/RET/Forms-and-resources/Postcode-data-for-small-scale-installations</vt:lpwstr>
      </vt:variant>
      <vt:variant>
        <vt:lpwstr/>
      </vt:variant>
      <vt:variant>
        <vt:i4>1507334</vt:i4>
      </vt:variant>
      <vt:variant>
        <vt:i4>114</vt:i4>
      </vt:variant>
      <vt:variant>
        <vt:i4>0</vt:i4>
      </vt:variant>
      <vt:variant>
        <vt:i4>5</vt:i4>
      </vt:variant>
      <vt:variant>
        <vt:lpwstr>https://www.eex.gov.au/resources/energy-efficiency-information-grants-eeig-evaluation-report</vt:lpwstr>
      </vt:variant>
      <vt:variant>
        <vt:lpwstr/>
      </vt:variant>
      <vt:variant>
        <vt:i4>1048584</vt:i4>
      </vt:variant>
      <vt:variant>
        <vt:i4>111</vt:i4>
      </vt:variant>
      <vt:variant>
        <vt:i4>0</vt:i4>
      </vt:variant>
      <vt:variant>
        <vt:i4>5</vt:i4>
      </vt:variant>
      <vt:variant>
        <vt:lpwstr>http://climateworksaustralia.org/sites/default/files/documents/publications/climateworks_lcgp_australia_full_report_mar2010.pdf</vt:lpwstr>
      </vt:variant>
      <vt:variant>
        <vt:lpwstr/>
      </vt:variant>
      <vt:variant>
        <vt:i4>1179701</vt:i4>
      </vt:variant>
      <vt:variant>
        <vt:i4>108</vt:i4>
      </vt:variant>
      <vt:variant>
        <vt:i4>0</vt:i4>
      </vt:variant>
      <vt:variant>
        <vt:i4>5</vt:i4>
      </vt:variant>
      <vt:variant>
        <vt:lpwstr>https://www.iea.org/publications/freepublications/publication/SME_2015.pdf</vt:lpwstr>
      </vt:variant>
      <vt:variant>
        <vt:lpwstr/>
      </vt:variant>
      <vt:variant>
        <vt:i4>1310758</vt:i4>
      </vt:variant>
      <vt:variant>
        <vt:i4>105</vt:i4>
      </vt:variant>
      <vt:variant>
        <vt:i4>0</vt:i4>
      </vt:variant>
      <vt:variant>
        <vt:i4>5</vt:i4>
      </vt:variant>
      <vt:variant>
        <vt:lpwstr>https://www.environment.gov.au/climate-change/carbon-neutral/ncos</vt:lpwstr>
      </vt:variant>
      <vt:variant>
        <vt:lpwstr/>
      </vt:variant>
      <vt:variant>
        <vt:i4>6094912</vt:i4>
      </vt:variant>
      <vt:variant>
        <vt:i4>102</vt:i4>
      </vt:variant>
      <vt:variant>
        <vt:i4>0</vt:i4>
      </vt:variant>
      <vt:variant>
        <vt:i4>5</vt:i4>
      </vt:variant>
      <vt:variant>
        <vt:lpwstr>https://www.environment.gov.au/climate-change/renewable-energy/solar-communities</vt:lpwstr>
      </vt:variant>
      <vt:variant>
        <vt:lpwstr/>
      </vt:variant>
      <vt:variant>
        <vt:i4>7077950</vt:i4>
      </vt:variant>
      <vt:variant>
        <vt:i4>99</vt:i4>
      </vt:variant>
      <vt:variant>
        <vt:i4>0</vt:i4>
      </vt:variant>
      <vt:variant>
        <vt:i4>5</vt:i4>
      </vt:variant>
      <vt:variant>
        <vt:lpwstr>http://www.cleanenergyfinancecorp.com.au/about-us.aspx</vt:lpwstr>
      </vt:variant>
      <vt:variant>
        <vt:lpwstr/>
      </vt:variant>
      <vt:variant>
        <vt:i4>1376278</vt:i4>
      </vt:variant>
      <vt:variant>
        <vt:i4>96</vt:i4>
      </vt:variant>
      <vt:variant>
        <vt:i4>0</vt:i4>
      </vt:variant>
      <vt:variant>
        <vt:i4>5</vt:i4>
      </vt:variant>
      <vt:variant>
        <vt:lpwstr>http://www.cleanenergyfinancecorp.com.au/where-we-invest/new-sources-of-capital.aspx</vt:lpwstr>
      </vt:variant>
      <vt:variant>
        <vt:lpwstr/>
      </vt:variant>
      <vt:variant>
        <vt:i4>458832</vt:i4>
      </vt:variant>
      <vt:variant>
        <vt:i4>93</vt:i4>
      </vt:variant>
      <vt:variant>
        <vt:i4>0</vt:i4>
      </vt:variant>
      <vt:variant>
        <vt:i4>5</vt:i4>
      </vt:variant>
      <vt:variant>
        <vt:lpwstr>http://www.sustainability.vic.gov.au/services-and-advice/business/energy-and-materials-efficiency-for-business/boosting-productivity</vt:lpwstr>
      </vt:variant>
      <vt:variant>
        <vt:lpwstr/>
      </vt:variant>
      <vt:variant>
        <vt:i4>4063254</vt:i4>
      </vt:variant>
      <vt:variant>
        <vt:i4>90</vt:i4>
      </vt:variant>
      <vt:variant>
        <vt:i4>0</vt:i4>
      </vt:variant>
      <vt:variant>
        <vt:i4>5</vt:i4>
      </vt:variant>
      <vt:variant>
        <vt:lpwstr>http://www.actsmart.act.gov.au/what-can-i-do/business/business-energy-and-water-program</vt:lpwstr>
      </vt:variant>
      <vt:variant>
        <vt:lpwstr/>
      </vt:variant>
      <vt:variant>
        <vt:i4>1048696</vt:i4>
      </vt:variant>
      <vt:variant>
        <vt:i4>87</vt:i4>
      </vt:variant>
      <vt:variant>
        <vt:i4>0</vt:i4>
      </vt:variant>
      <vt:variant>
        <vt:i4>5</vt:i4>
      </vt:variant>
      <vt:variant>
        <vt:lpwstr>https://www.veet.vic.gov.au/Public/Public.aspx?id=Certificates(VEECs)</vt:lpwstr>
      </vt:variant>
      <vt:variant>
        <vt:lpwstr/>
      </vt:variant>
      <vt:variant>
        <vt:i4>917549</vt:i4>
      </vt:variant>
      <vt:variant>
        <vt:i4>84</vt:i4>
      </vt:variant>
      <vt:variant>
        <vt:i4>0</vt:i4>
      </vt:variant>
      <vt:variant>
        <vt:i4>5</vt:i4>
      </vt:variant>
      <vt:variant>
        <vt:lpwstr>https://www.sa.gov.au/topics/energy-and-environment/using-saving-energy/retailer-energy-efficiency-scheme</vt:lpwstr>
      </vt:variant>
      <vt:variant>
        <vt:lpwstr/>
      </vt:variant>
      <vt:variant>
        <vt:i4>7405665</vt:i4>
      </vt:variant>
      <vt:variant>
        <vt:i4>81</vt:i4>
      </vt:variant>
      <vt:variant>
        <vt:i4>0</vt:i4>
      </vt:variant>
      <vt:variant>
        <vt:i4>5</vt:i4>
      </vt:variant>
      <vt:variant>
        <vt:lpwstr>http://www.ess.nsw.gov.au/Home</vt:lpwstr>
      </vt:variant>
      <vt:variant>
        <vt:lpwstr/>
      </vt:variant>
      <vt:variant>
        <vt:i4>7995395</vt:i4>
      </vt:variant>
      <vt:variant>
        <vt:i4>78</vt:i4>
      </vt:variant>
      <vt:variant>
        <vt:i4>0</vt:i4>
      </vt:variant>
      <vt:variant>
        <vt:i4>5</vt:i4>
      </vt:variant>
      <vt:variant>
        <vt:lpwstr>http://www.actsmart.act.gov.au/what-can-i-do/homes/energy-efficiency-improvement-scheme</vt:lpwstr>
      </vt:variant>
      <vt:variant>
        <vt:lpwstr/>
      </vt:variant>
      <vt:variant>
        <vt:i4>6881406</vt:i4>
      </vt:variant>
      <vt:variant>
        <vt:i4>75</vt:i4>
      </vt:variant>
      <vt:variant>
        <vt:i4>0</vt:i4>
      </vt:variant>
      <vt:variant>
        <vt:i4>5</vt:i4>
      </vt:variant>
      <vt:variant>
        <vt:lpwstr>http://www.cleanenergyregulator.gov.au/RET/Forms-and-resources/Postcode-data-for-small-scale-installations</vt:lpwstr>
      </vt:variant>
      <vt:variant>
        <vt:lpwstr/>
      </vt:variant>
      <vt:variant>
        <vt:i4>1376280</vt:i4>
      </vt:variant>
      <vt:variant>
        <vt:i4>72</vt:i4>
      </vt:variant>
      <vt:variant>
        <vt:i4>0</vt:i4>
      </vt:variant>
      <vt:variant>
        <vt:i4>5</vt:i4>
      </vt:variant>
      <vt:variant>
        <vt:lpwstr>https://www.environment.gov.au/climate-change/renewable-energy-target-scheme</vt:lpwstr>
      </vt:variant>
      <vt:variant>
        <vt:lpwstr/>
      </vt:variant>
      <vt:variant>
        <vt:i4>4653158</vt:i4>
      </vt:variant>
      <vt:variant>
        <vt:i4>69</vt:i4>
      </vt:variant>
      <vt:variant>
        <vt:i4>0</vt:i4>
      </vt:variant>
      <vt:variant>
        <vt:i4>5</vt:i4>
      </vt:variant>
      <vt:variant>
        <vt:lpwstr>https://www.environment.gov.au/protection/ozone/legislation/opsggm-review/hfc-phase-down-faqs</vt:lpwstr>
      </vt:variant>
      <vt:variant>
        <vt:lpwstr/>
      </vt:variant>
      <vt:variant>
        <vt:i4>393294</vt:i4>
      </vt:variant>
      <vt:variant>
        <vt:i4>66</vt:i4>
      </vt:variant>
      <vt:variant>
        <vt:i4>0</vt:i4>
      </vt:variant>
      <vt:variant>
        <vt:i4>5</vt:i4>
      </vt:variant>
      <vt:variant>
        <vt:lpwstr>http://environment.gov.au/energy/markets</vt:lpwstr>
      </vt:variant>
      <vt:variant>
        <vt:lpwstr/>
      </vt:variant>
      <vt:variant>
        <vt:i4>7864402</vt:i4>
      </vt:variant>
      <vt:variant>
        <vt:i4>63</vt:i4>
      </vt:variant>
      <vt:variant>
        <vt:i4>0</vt:i4>
      </vt:variant>
      <vt:variant>
        <vt:i4>5</vt:i4>
      </vt:variant>
      <vt:variant>
        <vt:lpwstr>https://www.dews.qld.gov.au/electricity/solar/solar-future/expert-panel</vt:lpwstr>
      </vt:variant>
      <vt:variant>
        <vt:lpwstr/>
      </vt:variant>
      <vt:variant>
        <vt:i4>4194325</vt:i4>
      </vt:variant>
      <vt:variant>
        <vt:i4>60</vt:i4>
      </vt:variant>
      <vt:variant>
        <vt:i4>0</vt:i4>
      </vt:variant>
      <vt:variant>
        <vt:i4>5</vt:i4>
      </vt:variant>
      <vt:variant>
        <vt:lpwstr>https://arena.gov.au/about-arena/corporate-publications/arena-annual-report-2015-16/</vt:lpwstr>
      </vt:variant>
      <vt:variant>
        <vt:lpwstr/>
      </vt:variant>
      <vt:variant>
        <vt:i4>7340060</vt:i4>
      </vt:variant>
      <vt:variant>
        <vt:i4>57</vt:i4>
      </vt:variant>
      <vt:variant>
        <vt:i4>0</vt:i4>
      </vt:variant>
      <vt:variant>
        <vt:i4>5</vt:i4>
      </vt:variant>
      <vt:variant>
        <vt:lpwstr>http://annualreport2016.cleanenergyfinancecorp.com.au/media/1243/cefc-annual-report-2015-16.pdf</vt:lpwstr>
      </vt:variant>
      <vt:variant>
        <vt:lpwstr/>
      </vt:variant>
      <vt:variant>
        <vt:i4>1376280</vt:i4>
      </vt:variant>
      <vt:variant>
        <vt:i4>54</vt:i4>
      </vt:variant>
      <vt:variant>
        <vt:i4>0</vt:i4>
      </vt:variant>
      <vt:variant>
        <vt:i4>5</vt:i4>
      </vt:variant>
      <vt:variant>
        <vt:lpwstr>https://www.environment.gov.au/climate-change/renewable-energy-target-scheme</vt:lpwstr>
      </vt:variant>
      <vt:variant>
        <vt:lpwstr/>
      </vt:variant>
      <vt:variant>
        <vt:i4>196657</vt:i4>
      </vt:variant>
      <vt:variant>
        <vt:i4>51</vt:i4>
      </vt:variant>
      <vt:variant>
        <vt:i4>0</vt:i4>
      </vt:variant>
      <vt:variant>
        <vt:i4>5</vt:i4>
      </vt:variant>
      <vt:variant>
        <vt:lpwstr>https://www.environment.gov.au/climate-change/emissions-reduction-fund/methods/facilities</vt:lpwstr>
      </vt:variant>
      <vt:variant>
        <vt:lpwstr/>
      </vt:variant>
      <vt:variant>
        <vt:i4>2883595</vt:i4>
      </vt:variant>
      <vt:variant>
        <vt:i4>48</vt:i4>
      </vt:variant>
      <vt:variant>
        <vt:i4>0</vt:i4>
      </vt:variant>
      <vt:variant>
        <vt:i4>5</vt:i4>
      </vt:variant>
      <vt:variant>
        <vt:lpwstr>https://www.environment.gov.au/energy/national-energy-productivity-plan</vt:lpwstr>
      </vt:variant>
      <vt:variant>
        <vt:lpwstr/>
      </vt:variant>
      <vt:variant>
        <vt:i4>1376280</vt:i4>
      </vt:variant>
      <vt:variant>
        <vt:i4>45</vt:i4>
      </vt:variant>
      <vt:variant>
        <vt:i4>0</vt:i4>
      </vt:variant>
      <vt:variant>
        <vt:i4>5</vt:i4>
      </vt:variant>
      <vt:variant>
        <vt:lpwstr>https://www.environment.gov.au/climate-change/renewable-energy-target-scheme</vt:lpwstr>
      </vt:variant>
      <vt:variant>
        <vt:lpwstr/>
      </vt:variant>
      <vt:variant>
        <vt:i4>1572874</vt:i4>
      </vt:variant>
      <vt:variant>
        <vt:i4>42</vt:i4>
      </vt:variant>
      <vt:variant>
        <vt:i4>0</vt:i4>
      </vt:variant>
      <vt:variant>
        <vt:i4>5</vt:i4>
      </vt:variant>
      <vt:variant>
        <vt:lpwstr>https://www.environment.gov.au/climate-change/emissions-reduction-fund/about/safeguard-mechanism</vt:lpwstr>
      </vt:variant>
      <vt:variant>
        <vt:lpwstr/>
      </vt:variant>
      <vt:variant>
        <vt:i4>1048584</vt:i4>
      </vt:variant>
      <vt:variant>
        <vt:i4>39</vt:i4>
      </vt:variant>
      <vt:variant>
        <vt:i4>0</vt:i4>
      </vt:variant>
      <vt:variant>
        <vt:i4>5</vt:i4>
      </vt:variant>
      <vt:variant>
        <vt:lpwstr>http://climateworksaustralia.org/sites/default/files/documents/publications/climateworks_lcgp_australia_full_report_mar2010.pdf</vt:lpwstr>
      </vt:variant>
      <vt:variant>
        <vt:lpwstr/>
      </vt:variant>
      <vt:variant>
        <vt:i4>1179701</vt:i4>
      </vt:variant>
      <vt:variant>
        <vt:i4>36</vt:i4>
      </vt:variant>
      <vt:variant>
        <vt:i4>0</vt:i4>
      </vt:variant>
      <vt:variant>
        <vt:i4>5</vt:i4>
      </vt:variant>
      <vt:variant>
        <vt:lpwstr>https://www.iea.org/publications/freepublications/publication/SME_2015.pdf</vt:lpwstr>
      </vt:variant>
      <vt:variant>
        <vt:lpwstr/>
      </vt:variant>
      <vt:variant>
        <vt:i4>983057</vt:i4>
      </vt:variant>
      <vt:variant>
        <vt:i4>33</vt:i4>
      </vt:variant>
      <vt:variant>
        <vt:i4>0</vt:i4>
      </vt:variant>
      <vt:variant>
        <vt:i4>5</vt:i4>
      </vt:variant>
      <vt:variant>
        <vt:lpwstr>https://www.eex.gov.au/sites/g/files/net1896/f/final_report_-_sme_and_nfp_enabling_best_practice_energy_efficiency.pdf</vt:lpwstr>
      </vt:variant>
      <vt:variant>
        <vt:lpwstr/>
      </vt:variant>
      <vt:variant>
        <vt:i4>1376278</vt:i4>
      </vt:variant>
      <vt:variant>
        <vt:i4>30</vt:i4>
      </vt:variant>
      <vt:variant>
        <vt:i4>0</vt:i4>
      </vt:variant>
      <vt:variant>
        <vt:i4>5</vt:i4>
      </vt:variant>
      <vt:variant>
        <vt:lpwstr>http://www.cleanenergyfinancecorp.com.au/where-we-invest/new-sources-of-capital.aspx</vt:lpwstr>
      </vt:variant>
      <vt:variant>
        <vt:lpwstr/>
      </vt:variant>
      <vt:variant>
        <vt:i4>1048696</vt:i4>
      </vt:variant>
      <vt:variant>
        <vt:i4>27</vt:i4>
      </vt:variant>
      <vt:variant>
        <vt:i4>0</vt:i4>
      </vt:variant>
      <vt:variant>
        <vt:i4>5</vt:i4>
      </vt:variant>
      <vt:variant>
        <vt:lpwstr>https://www.veet.vic.gov.au/Public/Public.aspx?id=Certificates(VEECs)</vt:lpwstr>
      </vt:variant>
      <vt:variant>
        <vt:lpwstr/>
      </vt:variant>
      <vt:variant>
        <vt:i4>458832</vt:i4>
      </vt:variant>
      <vt:variant>
        <vt:i4>24</vt:i4>
      </vt:variant>
      <vt:variant>
        <vt:i4>0</vt:i4>
      </vt:variant>
      <vt:variant>
        <vt:i4>5</vt:i4>
      </vt:variant>
      <vt:variant>
        <vt:lpwstr>http://www.sustainability.vic.gov.au/services-and-advice/business/energy-and-materials-efficiency-for-business/boosting-productivity</vt:lpwstr>
      </vt:variant>
      <vt:variant>
        <vt:lpwstr/>
      </vt:variant>
      <vt:variant>
        <vt:i4>6881406</vt:i4>
      </vt:variant>
      <vt:variant>
        <vt:i4>21</vt:i4>
      </vt:variant>
      <vt:variant>
        <vt:i4>0</vt:i4>
      </vt:variant>
      <vt:variant>
        <vt:i4>5</vt:i4>
      </vt:variant>
      <vt:variant>
        <vt:lpwstr>http://www.cleanenergyregulator.gov.au/RET/Forms-and-resources/Postcode-data-for-small-scale-installations</vt:lpwstr>
      </vt:variant>
      <vt:variant>
        <vt:lpwstr/>
      </vt:variant>
      <vt:variant>
        <vt:i4>4653158</vt:i4>
      </vt:variant>
      <vt:variant>
        <vt:i4>18</vt:i4>
      </vt:variant>
      <vt:variant>
        <vt:i4>0</vt:i4>
      </vt:variant>
      <vt:variant>
        <vt:i4>5</vt:i4>
      </vt:variant>
      <vt:variant>
        <vt:lpwstr>https://www.environment.gov.au/protection/ozone/legislation/opsggm-review/hfc-phase-down-faqs</vt:lpwstr>
      </vt:variant>
      <vt:variant>
        <vt:lpwstr/>
      </vt:variant>
      <vt:variant>
        <vt:i4>1376280</vt:i4>
      </vt:variant>
      <vt:variant>
        <vt:i4>15</vt:i4>
      </vt:variant>
      <vt:variant>
        <vt:i4>0</vt:i4>
      </vt:variant>
      <vt:variant>
        <vt:i4>5</vt:i4>
      </vt:variant>
      <vt:variant>
        <vt:lpwstr>https://www.environment.gov.au/climate-change/renewable-energy-target-scheme</vt:lpwstr>
      </vt:variant>
      <vt:variant>
        <vt:lpwstr/>
      </vt:variant>
      <vt:variant>
        <vt:i4>917549</vt:i4>
      </vt:variant>
      <vt:variant>
        <vt:i4>12</vt:i4>
      </vt:variant>
      <vt:variant>
        <vt:i4>0</vt:i4>
      </vt:variant>
      <vt:variant>
        <vt:i4>5</vt:i4>
      </vt:variant>
      <vt:variant>
        <vt:lpwstr>https://www.sa.gov.au/topics/energy-and-environment/using-saving-energy/retailer-energy-efficiency-scheme</vt:lpwstr>
      </vt:variant>
      <vt:variant>
        <vt:lpwstr/>
      </vt:variant>
      <vt:variant>
        <vt:i4>7864402</vt:i4>
      </vt:variant>
      <vt:variant>
        <vt:i4>9</vt:i4>
      </vt:variant>
      <vt:variant>
        <vt:i4>0</vt:i4>
      </vt:variant>
      <vt:variant>
        <vt:i4>5</vt:i4>
      </vt:variant>
      <vt:variant>
        <vt:lpwstr>https://www.dews.qld.gov.au/electricity/solar/solar-future/expert-panel</vt:lpwstr>
      </vt:variant>
      <vt:variant>
        <vt:lpwstr/>
      </vt:variant>
      <vt:variant>
        <vt:i4>1376280</vt:i4>
      </vt:variant>
      <vt:variant>
        <vt:i4>6</vt:i4>
      </vt:variant>
      <vt:variant>
        <vt:i4>0</vt:i4>
      </vt:variant>
      <vt:variant>
        <vt:i4>5</vt:i4>
      </vt:variant>
      <vt:variant>
        <vt:lpwstr>https://www.environment.gov.au/climate-change/renewable-energy-target-scheme</vt:lpwstr>
      </vt:variant>
      <vt:variant>
        <vt:lpwstr/>
      </vt:variant>
      <vt:variant>
        <vt:i4>7340060</vt:i4>
      </vt:variant>
      <vt:variant>
        <vt:i4>3</vt:i4>
      </vt:variant>
      <vt:variant>
        <vt:i4>0</vt:i4>
      </vt:variant>
      <vt:variant>
        <vt:i4>5</vt:i4>
      </vt:variant>
      <vt:variant>
        <vt:lpwstr>http://annualreport2016.cleanenergyfinancecorp.com.au/media/1243/cefc-annual-report-2015-16.pdf</vt:lpwstr>
      </vt:variant>
      <vt:variant>
        <vt:lpwstr/>
      </vt:variant>
      <vt:variant>
        <vt:i4>4194325</vt:i4>
      </vt:variant>
      <vt:variant>
        <vt:i4>0</vt:i4>
      </vt:variant>
      <vt:variant>
        <vt:i4>0</vt:i4>
      </vt:variant>
      <vt:variant>
        <vt:i4>5</vt:i4>
      </vt:variant>
      <vt:variant>
        <vt:lpwstr>https://arena.gov.au/about-arena/corporate-publications/arena-annual-report-2015-16/</vt:lpwstr>
      </vt:variant>
      <vt:variant>
        <vt:lpwstr/>
      </vt:variant>
      <vt:variant>
        <vt:i4>1310727</vt:i4>
      </vt:variant>
      <vt:variant>
        <vt:i4>0</vt:i4>
      </vt:variant>
      <vt:variant>
        <vt:i4>0</vt:i4>
      </vt:variant>
      <vt:variant>
        <vt:i4>5</vt:i4>
      </vt:variant>
      <vt:variant>
        <vt:lpwstr>http://www.fsb.org/2015/12/fsb-to-establish-task-force-on-climate-related-financial-disclosures/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Environment and Energy</dc:creator>
  <cp:keywords/>
  <dc:description/>
  <cp:lastModifiedBy>Huet, Peter</cp:lastModifiedBy>
  <cp:revision>6</cp:revision>
  <cp:lastPrinted>2018-02-28T03:52:00Z</cp:lastPrinted>
  <dcterms:created xsi:type="dcterms:W3CDTF">2018-02-28T04:40:00Z</dcterms:created>
  <dcterms:modified xsi:type="dcterms:W3CDTF">2018-03-01T03:21:00Z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Footer">
    <vt:lpwstr>albm A0141759599v2 120728406 </vt:lpwstr>
  </property>
  <property fmtid="{D5CDD505-2E9C-101B-9397-08002B2CF9AE}" pid="3" name="DOCSDocNumber">
    <vt:lpwstr>41759599</vt:lpwstr>
  </property>
  <property fmtid="{D5CDD505-2E9C-101B-9397-08002B2CF9AE}" pid="4" name="DOCSDocumentID">
    <vt:lpwstr>A0141759599</vt:lpwstr>
  </property>
</Properties>
</file>